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B9B1CF-5371-4498-AB59-94FC23E6D1E6" style="width:450.8pt;height:306.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SISSEJUHATUS – EUROOPA TEHISINTELLEKTI STRATEEGIA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Tehisintellekt saab muuta meie maailma paremaks, sest võib parandada tervishoidu, vähendada energiatarbimist, muuta autod turvalisemaks ning võimaldada põllumajandustootjatel kasutada vett ja loodusvarasid tõhusamalt. Selle abil saab prognoosida keskkonna- ja kliimamuutusi, paremini juhtida finantsriske ning vähendada meile vajalike toodete valmistamisel tekkivate jäätmete hulka. Tehisintellekt võib aidata avastada pettusi ja küberturvalisusega seotud ohte ning võimaldab õiguskaitseasutustel tõhusamalt võidelda kuritegevuse vastu.</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Tehisintellekt võib kasu tuua tervele ühiskonnale ja ka majandusele. Tegemist on strateegilise tehnoloogiaga, mida praegu kiiresti arendatakse ja kasutatakse kogu maailmas. Sellegipoolest toob tehisintellekt endaga kaasa ka uusi probleeme seoses töö tulevikuga ning tõstatab õiguslikke ja eetilisi küsimusi.</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Nende probleemidega tegelemiseks ja tehisintellekti võimaluste paremaks ärakasutamiseks avaldas komisjon 2018. aasta aprillis Euroopa strateegia</w:t>
      </w:r>
      <w:r>
        <w:rPr>
          <w:rStyle w:val="FootnoteReference"/>
          <w:rFonts w:ascii="Times New Roman" w:hAnsi="Times New Roman"/>
          <w:noProof/>
        </w:rPr>
        <w:footnoteReference w:id="1"/>
      </w:r>
      <w:r>
        <w:rPr>
          <w:rFonts w:ascii="Times New Roman" w:hAnsi="Times New Roman"/>
          <w:b/>
          <w:noProof/>
          <w:sz w:val="24"/>
        </w:rPr>
        <w:t xml:space="preserve">. </w:t>
      </w:r>
      <w:r>
        <w:rPr>
          <w:rFonts w:ascii="Times New Roman" w:hAnsi="Times New Roman"/>
          <w:noProof/>
          <w:sz w:val="24"/>
        </w:rPr>
        <w:t xml:space="preserve">Strateegias asetatakse tehisintellekti arendamise keskmesse inimesed – eesmärk on </w:t>
      </w:r>
      <w:r>
        <w:rPr>
          <w:rFonts w:ascii="Times New Roman" w:hAnsi="Times New Roman"/>
          <w:b/>
          <w:noProof/>
          <w:sz w:val="24"/>
        </w:rPr>
        <w:t>inimkeskne tehisintellekt</w:t>
      </w:r>
      <w:r>
        <w:rPr>
          <w:rFonts w:ascii="Times New Roman" w:hAnsi="Times New Roman"/>
          <w:noProof/>
          <w:sz w:val="24"/>
        </w:rPr>
        <w:t xml:space="preserve">. See on kolmeosaline tegevuskava, millega tahetakse suurendada ELi tehnoloogilist ja tööstuslikku suutlikkust ning tehisintellekti kasutuselevõttu kõigis majandusharudes, valmistuda sotsiaal-majanduslikeks muutusteks ning tagada asjakohane eetiline ja õigusraamistik.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Tehisintellekti strateegia elluviimiseks </w:t>
      </w:r>
      <w:r>
        <w:rPr>
          <w:rFonts w:ascii="Times New Roman" w:hAnsi="Times New Roman"/>
          <w:b/>
          <w:noProof/>
          <w:sz w:val="24"/>
        </w:rPr>
        <w:t>töötas komisjon koos liikmesriikidega välja tehisintellekti käsitleva kooskõlastatud kava</w:t>
      </w:r>
      <w:r>
        <w:rPr>
          <w:rStyle w:val="FootnoteReference"/>
          <w:rFonts w:ascii="Times New Roman" w:hAnsi="Times New Roman"/>
          <w:noProof/>
        </w:rPr>
        <w:footnoteReference w:id="2"/>
      </w:r>
      <w:r>
        <w:rPr>
          <w:rFonts w:ascii="Times New Roman" w:hAnsi="Times New Roman"/>
          <w:noProof/>
          <w:sz w:val="24"/>
        </w:rPr>
        <w:t xml:space="preserve">, mis avaldati 2018. aasta detsembris ning mille eesmärk on luua sünergiat, koondada andmeid, mis on paljude tehisintellektirakenduste lähtematerjaliks, ning suurendada ühisinvesteeringuid. Kavaga soovitakse edendada piiriülest koostööd ja koondada kõik asjaosalised suurendama avaliku ja erasektori investeeringuid järgmise kümne aasta jooksul </w:t>
      </w:r>
      <w:r>
        <w:rPr>
          <w:rFonts w:ascii="Times New Roman" w:hAnsi="Times New Roman"/>
          <w:b/>
          <w:noProof/>
          <w:sz w:val="24"/>
        </w:rPr>
        <w:t>vähemalt 20 miljardi euroni aastas</w:t>
      </w:r>
      <w:r>
        <w:rPr>
          <w:rStyle w:val="FootnoteReference"/>
          <w:rFonts w:ascii="Times New Roman" w:hAnsi="Times New Roman"/>
          <w:noProof/>
        </w:rPr>
        <w:footnoteReference w:id="3"/>
      </w:r>
      <w:r>
        <w:rPr>
          <w:rFonts w:ascii="Times New Roman" w:hAnsi="Times New Roman"/>
          <w:noProof/>
          <w:sz w:val="24"/>
        </w:rPr>
        <w:t>. Komisjon kahekordistas programmiga „Horisont 2020“ tehisintellekti valdkonda tehtavaid investeeringuid ja kavatseb investeerida programmi „Euroopa horisont“ ja digitaalse Euroopa programmi raames igal aastal 1 miljard eurot, et toetada eelkõige ühiseid andmeruume tervishoiu, transpordi ja tootmise valdkonnas, ning suuri katseprojekte (nt arukad haiglad ja automatiseeritud sõidukite taristu) ka strateegilist teadusuuringute kava.</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Sellise ühise strateegilise teadusuuringute, innovatsiooni ja kasutuselevõtu tegevuskava rakendamiseks peab komisjon tihedamat </w:t>
      </w:r>
      <w:r>
        <w:rPr>
          <w:rFonts w:ascii="Times New Roman" w:hAnsi="Times New Roman"/>
          <w:b/>
          <w:noProof/>
          <w:sz w:val="24"/>
        </w:rPr>
        <w:t>dialoogi kõigi asjassepuutuvate sidusrühmade</w:t>
      </w:r>
      <w:r>
        <w:rPr>
          <w:rFonts w:ascii="Times New Roman" w:hAnsi="Times New Roman"/>
          <w:noProof/>
          <w:sz w:val="24"/>
        </w:rPr>
        <w:t xml:space="preserve"> ehk ettevõtjate ning teadus- ja avaliku sektori asutustega. Uus digitaalse Euroopa programm on võtmetähtsusega ka selleks, et muuta tehisintellekt kõigi liikmesriikide väikestele ja keskmise suurusega ettevõtjatele kättesaadavaks digitaalse innovatsiooni keskuste, paremate testimis- ja katsetusvõimaluste, andmeruumide ja koolitusprogrammide abil.</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Euroopa tehisintellekti eetika käsitus tugineb ELi heale mainele tooteohutuse ja -kvaliteedi vallas ning suurendab kodanike usaldust digitaalarengu vastu, et luua Euroopa tehisintellektiettevõtjatele konkurentsieelis. Käesoleva teatise eesmärk on käivitada ulatuslik katseetapp, millesse kaasatakse võimalikult paljude valdkondade sidusrühmad, et katsetada tehisintellekti arendamise ja kasutamise eetiliste suuniste praktilist rakendamist.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USALDUSE LOOMINE INIMKESKSE TEHISINTELLEKTI VASTU</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Euroopa tehisintellekti strateegia ja kooskõlastatud kava toovad selgelt esile, et </w:t>
      </w:r>
      <w:r>
        <w:rPr>
          <w:rFonts w:ascii="Times New Roman" w:hAnsi="Times New Roman"/>
          <w:b/>
          <w:noProof/>
          <w:sz w:val="24"/>
        </w:rPr>
        <w:t>inimkeskne tehisintellektikäsitus põhineb eelkõige usaldusel</w:t>
      </w:r>
      <w:r>
        <w:rPr>
          <w:rFonts w:ascii="Times New Roman" w:hAnsi="Times New Roman"/>
          <w:noProof/>
          <w:sz w:val="24"/>
        </w:rPr>
        <w:t xml:space="preserve">: tehisintellekt ei ole eesmärk iseeneses, vaid inimeste käsutuses olev vahend, mille lõppeesmärk on inimeste heaolu suurendamine. Selle saavutamiseks </w:t>
      </w:r>
      <w:r>
        <w:rPr>
          <w:rFonts w:ascii="Times New Roman" w:hAnsi="Times New Roman"/>
          <w:b/>
          <w:noProof/>
          <w:sz w:val="24"/>
        </w:rPr>
        <w:t>tuleks tagada tehisintellekti usaldusväärsus</w:t>
      </w:r>
      <w:r>
        <w:rPr>
          <w:rFonts w:ascii="Times New Roman" w:hAnsi="Times New Roman"/>
          <w:noProof/>
          <w:sz w:val="24"/>
        </w:rPr>
        <w:t>. Tehisintellekti areng peab toimuma täielikult kooskõlas meie ühiskonna alusväärtustega.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Euroopa Liidu aluseks on sellised </w:t>
      </w:r>
      <w:r>
        <w:rPr>
          <w:rFonts w:ascii="Times New Roman" w:hAnsi="Times New Roman"/>
          <w:b/>
          <w:noProof/>
          <w:sz w:val="24"/>
        </w:rPr>
        <w:t>väärtused nagu inimväärikuse austamine, vabadus, demokraatia, võrdsus, õigusriik ja inimõiguste austamine</w:t>
      </w:r>
      <w:r>
        <w:rPr>
          <w:rFonts w:ascii="Times New Roman" w:hAnsi="Times New Roman"/>
          <w:noProof/>
          <w:sz w:val="24"/>
        </w:rPr>
        <w:t>, sealhulgas vähemuste hulka kuuluvate isikute õiguste austamine</w:t>
      </w:r>
      <w:r>
        <w:rPr>
          <w:rStyle w:val="FootnoteReference"/>
          <w:rFonts w:ascii="Times New Roman" w:hAnsi="Times New Roman"/>
          <w:noProof/>
          <w:sz w:val="24"/>
        </w:rPr>
        <w:footnoteReference w:id="4"/>
      </w:r>
      <w:r>
        <w:rPr>
          <w:rFonts w:ascii="Times New Roman" w:hAnsi="Times New Roman"/>
          <w:noProof/>
          <w:sz w:val="24"/>
        </w:rPr>
        <w:t xml:space="preserve">. Need väärtused on ühised kõigi liikmesriikide ühiskondadele, kus valitsevad pluralism, mittediskrimineerimine, sallivus, õiglus, solidaarsus ja võrdsus. Peale selle on </w:t>
      </w:r>
      <w:r>
        <w:rPr>
          <w:rFonts w:ascii="Times New Roman" w:hAnsi="Times New Roman"/>
          <w:b/>
          <w:noProof/>
          <w:sz w:val="24"/>
        </w:rPr>
        <w:t>ELi põhiõiguste hartas</w:t>
      </w:r>
      <w:r>
        <w:rPr>
          <w:rFonts w:ascii="Times New Roman" w:hAnsi="Times New Roman"/>
          <w:noProof/>
          <w:sz w:val="24"/>
        </w:rPr>
        <w:t xml:space="preserve"> ühte teksti kokku koondatud kõik ELi elanike isiku-, kodaniku- poliitilised, majanduslikud ja sotsiaalsed õigused.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ELi </w:t>
      </w:r>
      <w:r>
        <w:rPr>
          <w:rFonts w:ascii="Times New Roman" w:hAnsi="Times New Roman"/>
          <w:b/>
          <w:noProof/>
          <w:sz w:val="24"/>
        </w:rPr>
        <w:t>tugev õigusraamistik</w:t>
      </w:r>
      <w:r>
        <w:rPr>
          <w:rFonts w:ascii="Times New Roman" w:hAnsi="Times New Roman"/>
          <w:noProof/>
          <w:sz w:val="24"/>
        </w:rPr>
        <w:t xml:space="preserve"> on inimkeskse tehisintellekti arendamisel eeskujuks kogu maailmas. Isikuandmete kaitse üldmäärusega tagatakse isikuandmete kõrgetasemeline kaitse ning nõutakse meetmete rakendamist, millega tagada lõimitud ja vaikimisi andmekaitse</w:t>
      </w:r>
      <w:r>
        <w:rPr>
          <w:rStyle w:val="FootnoteReference"/>
          <w:rFonts w:ascii="Times New Roman" w:hAnsi="Times New Roman"/>
          <w:noProof/>
          <w:sz w:val="24"/>
        </w:rPr>
        <w:footnoteReference w:id="5"/>
      </w:r>
      <w:r>
        <w:rPr>
          <w:rFonts w:ascii="Times New Roman" w:hAnsi="Times New Roman"/>
          <w:noProof/>
          <w:sz w:val="24"/>
        </w:rPr>
        <w:t>. Isikustamata andmete vaba liikumist käsitleva määrusega kõrvaldatakse isikustamata andmete vaba liikumise takistused ning tagatakse, et kõiki andmekategooriaid saaks töödelda kõikjal Euroopas</w:t>
      </w:r>
      <w:r>
        <w:rPr>
          <w:rFonts w:ascii="Times New Roman" w:hAnsi="Times New Roman"/>
          <w:noProof/>
        </w:rPr>
        <w:t xml:space="preserve">. </w:t>
      </w:r>
      <w:r>
        <w:rPr>
          <w:rFonts w:ascii="Times New Roman" w:hAnsi="Times New Roman"/>
          <w:noProof/>
          <w:sz w:val="24"/>
        </w:rPr>
        <w:t>Hiljuti vastu võetud küberturvalisust käsitlev õigusakt aitab suurendada usaldust internetimaailma vastu ning sama eesmärki teenib ka kavandatav e-privaatsuse määrus</w:t>
      </w:r>
      <w:r>
        <w:rPr>
          <w:rStyle w:val="FootnoteReference"/>
          <w:rFonts w:ascii="Times New Roman" w:hAnsi="Times New Roman"/>
          <w:noProof/>
          <w:sz w:val="24"/>
        </w:rPr>
        <w:footnoteReference w:id="6"/>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Sellegipoolest toob tehisintellekti areng kaasa ka uusi probleeme, sest võimaldab masinatel „õppida“ ning langetada ja ellu viia otsuseid ilma inimsekkumiseta. Juba varsti muutuvad sellised funktsioonid tavaliseks paljude kaupade ja teenuste puhul, alates nutitelefonidest kuni automatiseeritud autode, robotite ja veebirakendusteni. Sellegipoolest võivad algoritmide tehtavad otsused tugineda mittetäielikele ja seega ebausaldusväärsetele andmetele, neid võivad rikkuda küberründajad ning need võivad olla erapoolikud või lihtsalt ekslikud. Areneva tehnoloogia mõtlematu rakendamine võib seega viia problemaatiliste tulemusteni ning kodanikud ei pruugi seda omaks võtta ega kasutama hakata.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Selle asemel tuleks tehisintellekti tehnoloogiat arendada nii, et selle keskmes oleksid inimeste vajadused ning see pälviks üldsuse usalduse. See tähendab, et tehisintellektirakendused peaksid olema mitte ainult kooskõlas seadusega, vaid järgima ka eetilisi põhimõtteid ja tagama, et nende rakendamisel välditaks soovimatut kahju. Tehisintellekti arendamise igas etapis tuleks arvestada eri sugude ning rassilise või etnilise päritolu, </w:t>
      </w:r>
      <w:r>
        <w:rPr>
          <w:rStyle w:val="Emphasis"/>
          <w:rFonts w:ascii="Times New Roman" w:hAnsi="Times New Roman"/>
          <w:i w:val="0"/>
          <w:noProof/>
          <w:sz w:val="24"/>
        </w:rPr>
        <w:t>usutunnistuste</w:t>
      </w:r>
      <w:r>
        <w:rPr>
          <w:rFonts w:ascii="Times New Roman" w:hAnsi="Times New Roman"/>
          <w:noProof/>
          <w:sz w:val="24"/>
        </w:rPr>
        <w:t xml:space="preserve"> ja veendumuste ning </w:t>
      </w:r>
      <w:r>
        <w:rPr>
          <w:rStyle w:val="Emphasis"/>
          <w:rFonts w:ascii="Times New Roman" w:hAnsi="Times New Roman"/>
          <w:i w:val="0"/>
          <w:noProof/>
          <w:sz w:val="24"/>
        </w:rPr>
        <w:t>puuete</w:t>
      </w:r>
      <w:r>
        <w:rPr>
          <w:rFonts w:ascii="Times New Roman" w:hAnsi="Times New Roman"/>
          <w:noProof/>
          <w:sz w:val="24"/>
        </w:rPr>
        <w:t xml:space="preserve"> ja vanuserühmade mitmekesisusega. Tehisintellekti rakendused peaksid kodanikke võimestama ja austama nende põhiõigusi. Nende eesmärk peaks olema suurendada inimeste võimeid, mitte neid asendada, ning nad peaksid olema juurdepääsetavad ka puuetega inimestele.</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Seetõttu on vaja </w:t>
      </w:r>
      <w:r>
        <w:rPr>
          <w:rFonts w:ascii="Times New Roman" w:hAnsi="Times New Roman"/>
          <w:b/>
          <w:noProof/>
          <w:sz w:val="24"/>
        </w:rPr>
        <w:t>eetikasuuniseid</w:t>
      </w:r>
      <w:r>
        <w:rPr>
          <w:rFonts w:ascii="Times New Roman" w:hAnsi="Times New Roman"/>
          <w:noProof/>
          <w:sz w:val="24"/>
        </w:rPr>
        <w:t xml:space="preserve">, mis tugineksid praegusele õigusraamistikule ja mida tehisintellekti arendajad, tarnijad ja kasutajad peaksid siseturul rakendama, luues sellega kõigis liikmesriikides ühetaolised eetilised tingimused. Seepärast on komisjon loonud </w:t>
      </w:r>
      <w:r>
        <w:rPr>
          <w:rFonts w:ascii="Times New Roman" w:hAnsi="Times New Roman"/>
          <w:b/>
          <w:noProof/>
          <w:sz w:val="24"/>
        </w:rPr>
        <w:t>kõrgetasemelise tehisintellekti eksperdirühma</w:t>
      </w:r>
      <w:r>
        <w:rPr>
          <w:rStyle w:val="FootnoteReference"/>
          <w:rFonts w:ascii="Times New Roman" w:hAnsi="Times New Roman"/>
          <w:b/>
          <w:noProof/>
          <w:sz w:val="24"/>
        </w:rPr>
        <w:footnoteReference w:id="7"/>
      </w:r>
      <w:r>
        <w:rPr>
          <w:rFonts w:ascii="Times New Roman" w:hAnsi="Times New Roman"/>
          <w:noProof/>
          <w:sz w:val="24"/>
        </w:rPr>
        <w:t xml:space="preserve">, kes esindab paljusid eri sidusrühmi ning kelle ülesanne on koostada tehisintellekti eetikasuunised ja valmistada ette laiema tehisintellektialase poliitika soovitused. Loodud on ka </w:t>
      </w:r>
      <w:r>
        <w:rPr>
          <w:rFonts w:ascii="Times New Roman" w:hAnsi="Times New Roman"/>
          <w:b/>
          <w:noProof/>
          <w:sz w:val="24"/>
        </w:rPr>
        <w:t>Euroopa tehisintellekti liit</w:t>
      </w:r>
      <w:r>
        <w:rPr>
          <w:rStyle w:val="FootnoteReference"/>
          <w:rFonts w:ascii="Times New Roman" w:hAnsi="Times New Roman"/>
          <w:noProof/>
          <w:sz w:val="24"/>
        </w:rPr>
        <w:footnoteReference w:id="8"/>
      </w:r>
      <w:r>
        <w:rPr>
          <w:rFonts w:ascii="Times New Roman" w:hAnsi="Times New Roman"/>
          <w:noProof/>
          <w:sz w:val="24"/>
        </w:rPr>
        <w:t xml:space="preserve"> ehk rohkem kui 2700 liikmega avatud sidusrühmade platvorm, mis peaks andma üldisema panuse kõrgetasemelise tehisintellekti eksperdirühma töösse.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Kõrgetasemeline tehisintellekti eksperdirühm avaldas eetikasuuniste esimese projekti 2018. aasta detsembris. Pärast </w:t>
      </w:r>
      <w:r>
        <w:rPr>
          <w:rFonts w:ascii="Times New Roman" w:hAnsi="Times New Roman"/>
          <w:b/>
          <w:noProof/>
          <w:sz w:val="24"/>
        </w:rPr>
        <w:t>konsulteerimist sidusrühmadega</w:t>
      </w:r>
      <w:r>
        <w:rPr>
          <w:rStyle w:val="FootnoteReference"/>
          <w:rFonts w:ascii="Times New Roman" w:hAnsi="Times New Roman"/>
          <w:noProof/>
        </w:rPr>
        <w:footnoteReference w:id="9"/>
      </w:r>
      <w:r>
        <w:rPr>
          <w:rFonts w:ascii="Times New Roman" w:hAnsi="Times New Roman"/>
          <w:b/>
          <w:noProof/>
          <w:sz w:val="24"/>
        </w:rPr>
        <w:t xml:space="preserve"> </w:t>
      </w:r>
      <w:r>
        <w:rPr>
          <w:rFonts w:ascii="Times New Roman" w:hAnsi="Times New Roman"/>
          <w:noProof/>
          <w:sz w:val="24"/>
        </w:rPr>
        <w:t>ja</w:t>
      </w:r>
      <w:r>
        <w:rPr>
          <w:rFonts w:ascii="Times New Roman" w:hAnsi="Times New Roman"/>
          <w:b/>
          <w:noProof/>
          <w:sz w:val="24"/>
        </w:rPr>
        <w:t xml:space="preserve"> kohtumist liikmesriikide esindajatega</w:t>
      </w:r>
      <w:r>
        <w:rPr>
          <w:rStyle w:val="FootnoteReference"/>
          <w:rFonts w:ascii="Times New Roman" w:hAnsi="Times New Roman"/>
          <w:noProof/>
        </w:rPr>
        <w:footnoteReference w:id="10"/>
      </w:r>
      <w:r>
        <w:rPr>
          <w:rFonts w:ascii="Times New Roman" w:hAnsi="Times New Roman"/>
          <w:noProof/>
          <w:sz w:val="24"/>
        </w:rPr>
        <w:t xml:space="preserve"> esitas tehisintellekti eksperdirühm 2019. aasta märtsis komisjonile suuniste uue versiooni. Seni saadud tagasiside kohaselt on sidusrühmad üldiselt rahul suuniste praktilise loomuga ja tehisintellekti arendajatele, tarnijatele ja kasutajatele usaldusväärsuse tagamiseks antud konkreetsete juhistega.</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Kõrgetasemelise tehisintellekti eksperdirühma suunised usaldusväärse tehisintellekti arendamiseks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Suunised, mille on koostanud kõrgetasemeline tehisintellekti eksperdirühm ja millele käesolevas teatises viidatakse,</w:t>
      </w:r>
      <w:r>
        <w:rPr>
          <w:rStyle w:val="FootnoteReference"/>
          <w:rFonts w:ascii="Times New Roman" w:hAnsi="Times New Roman"/>
          <w:noProof/>
          <w:sz w:val="24"/>
        </w:rPr>
        <w:footnoteReference w:id="11"/>
      </w:r>
      <w:r>
        <w:rPr>
          <w:rFonts w:ascii="Times New Roman" w:hAnsi="Times New Roman"/>
          <w:noProof/>
          <w:sz w:val="24"/>
        </w:rPr>
        <w:t xml:space="preserve"> tuginevad eelkõige teaduse ja uute tehnoloogiate eetika Euroopa töörühma ja Põhiõiguste Ameti tööle.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Suuniste kohaselt peab tehisintellekti usaldusväärsuse saavutamiseks täidetud olema kolm tingimust: tehisintellekt peab 1) vastama seadusele, 2) olema kooskõlas eetikapõhimõtetega ja 3) olema töökindel.</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Nendest kolmest komponendist ja punktis 2 esitatud Euroopa väärtustest lähtudes määratakse suunistes kindlaks seitse põhinõuet, millele tehisintellekti rakendused peavad vastama, et neid saaks usaldusväärseks lugeda. Suunised sisaldavad ka kontrollnimekirja, mille alusel veenduda, kas kõik nõuded on täidetud.</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Seitse põhinõuet on järgmised:</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Inimese toimevõime (</w:t>
      </w:r>
      <w:r>
        <w:rPr>
          <w:rFonts w:ascii="Times New Roman" w:hAnsi="Times New Roman"/>
          <w:i/>
          <w:noProof/>
          <w:sz w:val="24"/>
        </w:rPr>
        <w:t>human agency</w:t>
      </w:r>
      <w:r>
        <w:rPr>
          <w:rFonts w:ascii="Times New Roman" w:hAnsi="Times New Roman"/>
          <w:noProof/>
          <w:sz w:val="24"/>
        </w:rPr>
        <w:t xml:space="preserve">) ja järelevalve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Tehniline töökindlus ja ohutus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Privaatsus ja andmehaldus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Läbipaistvus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Mitmekesisus, mittediskrimineerimine ja õiglus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Ühiskondlik ja keskkonnaalane heaolu</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Vastutuse võtmine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Ehkki nendele nõuetele peaksid vastama kõik eri keskkondades ja majandusvaldkondades kasutatavad tehisintellektisüsteemid, tuleks neid rakendada konkreetsest kontekstist ja olukorrast lähtuvalt, proportsionaalselt ning mõjupõhiselt. Näiteks kui tehisintellekti rakendus soovitab lugeda raamatut, mis osutub ebasobivaks, on see palju vähem ohtlik kui viga vähi diagnoosimisel ning seetõttu ei pea selle järelevalve olema sama range.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Kõrgetasemelise tehisintellekti eksperdirühma koostatud suunised ei ole siduvad ning nendega ei looda uusi õiguslikke kohustusi. Siiski on üht või mitut nendest põhinõuetest, nagu näiteks ohutus, isikuandmete kaitse, privaatsus või keskkonnakaitse-eeskirjad, võetud arvesse ka paljudes liidu õiguse praegustes (ja sageli kasutus- või valdkonnapõhistes) sätetes.</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Komisjon on kõrgetasemelise tehisintellekti eksperdirühma tööga rahul ja leiab, et see annab väärtusliku panuse komisjoni poliitika kujundamisse.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Usaldusväärse tehisintellekti põhinõuded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Komisjon toetab järgmisi usaldusväärse tehisintellekti põhinõudeid</w:t>
      </w:r>
      <w:r>
        <w:rPr>
          <w:rFonts w:ascii="Times New Roman" w:hAnsi="Times New Roman"/>
          <w:noProof/>
          <w:sz w:val="24"/>
        </w:rPr>
        <w:t>, mille aluseks on Euroopa väärtused. Sidusrühmi julgustatakse neid põhinõudeid kohaldama ja katsetama nende praktilist kasutust toetavat kontrollnimekirja, et luua tehisintellekti edukaks arendamiseks ja kasutamiseks vajalik usalduslik keskkond. Teretulnud on ka sidusrühmade tagasiside, et komisjon saaks hinnata, kas suunistes esitatud kontrollnimekirja on vaja täiendada või muuta.</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Inimese toimevõime (</w:t>
      </w:r>
      <w:r>
        <w:rPr>
          <w:rFonts w:ascii="Times New Roman" w:hAnsi="Times New Roman"/>
          <w:i/>
          <w:noProof/>
          <w:sz w:val="24"/>
          <w:u w:val="single"/>
        </w:rPr>
        <w:t>human agency</w:t>
      </w:r>
      <w:r>
        <w:rPr>
          <w:rFonts w:ascii="Times New Roman" w:hAnsi="Times New Roman"/>
          <w:noProof/>
          <w:sz w:val="24"/>
          <w:u w:val="single"/>
        </w:rPr>
        <w:t>) ja järelevalve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Tehisintellekti süsteemid peaksid aitama inimestel teha paremaid ja teadlikumaid valikuid kooskõlas oma eesmärkidega. Need peaksid inimese toimevõimet ja </w:t>
      </w:r>
      <w:r>
        <w:rPr>
          <w:rFonts w:ascii="Times New Roman" w:eastAsiaTheme="minorHAnsi" w:hAnsi="Times New Roman"/>
          <w:b/>
          <w:noProof/>
          <w:sz w:val="24"/>
        </w:rPr>
        <w:t>põhiõigusi</w:t>
      </w:r>
      <w:r>
        <w:rPr>
          <w:rFonts w:ascii="Times New Roman" w:eastAsiaTheme="minorHAnsi" w:hAnsi="Times New Roman"/>
          <w:noProof/>
          <w:sz w:val="24"/>
        </w:rPr>
        <w:t xml:space="preserve"> toetades aitama luua heal järjel ja tasakaalustatud ühiskonda, vähendamata, piiramata ega eksitamata seejuures inimeste sõltumatust. Süsteemi toimimise keskne eesmärk peaks olema </w:t>
      </w:r>
      <w:r>
        <w:rPr>
          <w:rFonts w:ascii="Times New Roman" w:eastAsiaTheme="minorHAnsi" w:hAnsi="Times New Roman"/>
          <w:b/>
          <w:noProof/>
          <w:sz w:val="24"/>
        </w:rPr>
        <w:t>kasutaja üldine heaolu</w:t>
      </w:r>
      <w:r>
        <w:rPr>
          <w:rFonts w:ascii="Times New Roman" w:eastAsiaTheme="minorHAnsi" w:hAnsi="Times New Roman"/>
          <w:noProof/>
          <w:sz w:val="24"/>
        </w:rPr>
        <w:t xml:space="preserve">.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Inimjärelevalve aitab tagada, et tehisintellekti süsteem ei kahjustaks inimeste sõltumatust ega põhjustaks muid kahjulikke mõjusid. Sõltuvalt konkreetsest tehisintellektipõhisest süsteemist ja selle rakendusvaldkonnast, tuleks tagada asjakohased </w:t>
      </w:r>
      <w:r>
        <w:rPr>
          <w:rFonts w:ascii="Times New Roman" w:eastAsiaTheme="minorHAnsi" w:hAnsi="Times New Roman"/>
          <w:b/>
          <w:noProof/>
          <w:sz w:val="24"/>
        </w:rPr>
        <w:t>juhtimismeetmed</w:t>
      </w:r>
      <w:r>
        <w:rPr>
          <w:rFonts w:ascii="Times New Roman" w:hAnsi="Times New Roman"/>
          <w:noProof/>
          <w:sz w:val="24"/>
        </w:rPr>
        <w:t>, sealhulgas süsteemi kohandatavus, täpsus ja selgitatavus</w:t>
      </w:r>
      <w:r>
        <w:rPr>
          <w:rStyle w:val="FootnoteReference"/>
          <w:rFonts w:ascii="Times New Roman" w:eastAsiaTheme="minorHAnsi" w:hAnsi="Times New Roman"/>
          <w:noProof/>
          <w:sz w:val="24"/>
        </w:rPr>
        <w:footnoteReference w:id="12"/>
      </w:r>
      <w:r>
        <w:rPr>
          <w:rFonts w:ascii="Times New Roman" w:hAnsi="Times New Roman"/>
          <w:noProof/>
          <w:sz w:val="24"/>
        </w:rPr>
        <w:t xml:space="preserve">. </w:t>
      </w:r>
      <w:r>
        <w:rPr>
          <w:rFonts w:ascii="Times New Roman" w:eastAsiaTheme="minorHAnsi" w:hAnsi="Times New Roman"/>
          <w:b/>
          <w:noProof/>
          <w:sz w:val="24"/>
        </w:rPr>
        <w:t>Järelevalve</w:t>
      </w:r>
      <w:r>
        <w:rPr>
          <w:rFonts w:ascii="Times New Roman" w:hAnsi="Times New Roman"/>
          <w:noProof/>
          <w:sz w:val="24"/>
        </w:rPr>
        <w:t xml:space="preserve"> tagamiseks saab kasutada eri valitsemismehhanisme, mis tuginevad inimosaluse (</w:t>
      </w:r>
      <w:r>
        <w:rPr>
          <w:rFonts w:ascii="Times New Roman" w:hAnsi="Times New Roman"/>
          <w:i/>
          <w:noProof/>
          <w:sz w:val="24"/>
        </w:rPr>
        <w:t>human-in-the-loop</w:t>
      </w:r>
      <w:r>
        <w:rPr>
          <w:rFonts w:ascii="Times New Roman" w:hAnsi="Times New Roman"/>
          <w:noProof/>
          <w:sz w:val="24"/>
        </w:rPr>
        <w:t>), inimsekkumise (</w:t>
      </w:r>
      <w:r>
        <w:rPr>
          <w:rFonts w:ascii="Times New Roman" w:hAnsi="Times New Roman"/>
          <w:i/>
          <w:noProof/>
          <w:sz w:val="24"/>
        </w:rPr>
        <w:t>human-on-the-loop</w:t>
      </w:r>
      <w:r>
        <w:rPr>
          <w:rFonts w:ascii="Times New Roman" w:hAnsi="Times New Roman"/>
          <w:noProof/>
          <w:sz w:val="24"/>
        </w:rPr>
        <w:t>) või inimjuhitavuse (</w:t>
      </w:r>
      <w:r>
        <w:rPr>
          <w:rFonts w:ascii="Times New Roman" w:hAnsi="Times New Roman"/>
          <w:i/>
          <w:noProof/>
          <w:sz w:val="24"/>
        </w:rPr>
        <w:t>human-in-command</w:t>
      </w:r>
      <w:r>
        <w:rPr>
          <w:rFonts w:ascii="Times New Roman" w:hAnsi="Times New Roman"/>
          <w:noProof/>
          <w:sz w:val="24"/>
        </w:rPr>
        <w:t>) põhimõttele.</w:t>
      </w:r>
      <w:r>
        <w:rPr>
          <w:rFonts w:ascii="Times New Roman" w:hAnsi="Times New Roman"/>
          <w:noProof/>
          <w:sz w:val="24"/>
          <w:vertAlign w:val="superscript"/>
        </w:rPr>
        <w:footnoteReference w:id="13"/>
      </w:r>
      <w:r>
        <w:rPr>
          <w:rFonts w:ascii="Times New Roman" w:hAnsi="Times New Roman"/>
          <w:noProof/>
          <w:sz w:val="24"/>
        </w:rPr>
        <w:t xml:space="preserve"> Tuleb tagada, et avaliku sektori asutused saaksid järelevalvekohustust täita kooskõlas oma volitustega. Kui kõik muud asjaolud on võrdsed, siis mida väiksem on inimese võimalus tehisintellekti süsteemi üle järelevalvet teostada, seda ulatuslikumat katsetamist ja rangemat valitsemist selle suhtes nõutakse.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Tehniline töökindlus ja ohutus</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Usaldusväärse tehisintellekti jaoks on vaja, et algoritmid oleksid piisavalt turvalised, usaldusväärsed ja töökindlad, et tegeleda vigade või ebajärjepidevusega tehisintellekti süsteemi kõigis elutsüklites ning tulla adekvaatselt toime ekslike tulemustega. Tehisintellekti süsteemid peavad olema </w:t>
      </w:r>
      <w:r>
        <w:rPr>
          <w:rFonts w:ascii="Times New Roman" w:hAnsi="Times New Roman"/>
          <w:b/>
          <w:noProof/>
          <w:sz w:val="24"/>
        </w:rPr>
        <w:t>usaldusväärsed</w:t>
      </w:r>
      <w:r>
        <w:rPr>
          <w:rFonts w:ascii="Times New Roman" w:hAnsi="Times New Roman"/>
          <w:noProof/>
          <w:sz w:val="24"/>
        </w:rPr>
        <w:t xml:space="preserve">, piisavalt turvalised, et olla </w:t>
      </w:r>
      <w:r>
        <w:rPr>
          <w:rFonts w:ascii="Times New Roman" w:hAnsi="Times New Roman"/>
          <w:b/>
          <w:noProof/>
          <w:sz w:val="24"/>
        </w:rPr>
        <w:t xml:space="preserve">vastupidavad </w:t>
      </w:r>
      <w:r>
        <w:rPr>
          <w:rFonts w:ascii="Times New Roman" w:hAnsi="Times New Roman"/>
          <w:noProof/>
          <w:sz w:val="24"/>
        </w:rPr>
        <w:t xml:space="preserve">nii avalike rünnakute kui ka andmete või algoritmide manipuleerimise varjatud katsete suhtes, ning probleemide korral peab neil olema </w:t>
      </w:r>
      <w:r>
        <w:rPr>
          <w:rFonts w:ascii="Times New Roman" w:hAnsi="Times New Roman"/>
          <w:b/>
          <w:noProof/>
          <w:sz w:val="24"/>
        </w:rPr>
        <w:t>varuplaan</w:t>
      </w:r>
      <w:r>
        <w:rPr>
          <w:rFonts w:ascii="Times New Roman" w:hAnsi="Times New Roman"/>
          <w:noProof/>
          <w:sz w:val="24"/>
        </w:rPr>
        <w:t xml:space="preserve">. Nende otsused peavad olema </w:t>
      </w:r>
      <w:r>
        <w:rPr>
          <w:rFonts w:ascii="Times New Roman" w:hAnsi="Times New Roman"/>
          <w:b/>
          <w:noProof/>
          <w:sz w:val="24"/>
        </w:rPr>
        <w:t>täpsed</w:t>
      </w:r>
      <w:r>
        <w:rPr>
          <w:rFonts w:ascii="Times New Roman" w:hAnsi="Times New Roman"/>
          <w:noProof/>
          <w:sz w:val="24"/>
        </w:rPr>
        <w:t xml:space="preserve"> või vähemalt õigesti kajastama nende täpsusastet ja tulemused peavad olema </w:t>
      </w:r>
      <w:r>
        <w:rPr>
          <w:rFonts w:ascii="Times New Roman" w:hAnsi="Times New Roman"/>
          <w:b/>
          <w:noProof/>
          <w:sz w:val="24"/>
        </w:rPr>
        <w:t>korratavad</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Peale selle peaksid tehisintellekti süsteemidel olema sisseprojekteeritud ohutus- ja turbemehhanismid, mis tagaksid, et süsteemid on igas etapis </w:t>
      </w:r>
      <w:r>
        <w:rPr>
          <w:rFonts w:ascii="Times New Roman" w:hAnsi="Times New Roman"/>
          <w:b/>
          <w:noProof/>
          <w:sz w:val="24"/>
        </w:rPr>
        <w:t>kontrollitavalt ohutud</w:t>
      </w:r>
      <w:r>
        <w:rPr>
          <w:rFonts w:ascii="Times New Roman" w:hAnsi="Times New Roman"/>
          <w:noProof/>
          <w:sz w:val="24"/>
        </w:rPr>
        <w:t xml:space="preserve"> ning lähtuvad sellest, et olulisim on kõigi asjaosaliste füüsiline ja vaimne turvalisus. Muu hulgas tähendab see tahtmatute tagajärgede ja süsteemi toimimises tekkida võivate vigade minimeerimist ja võimaluse korral nende tagasipööratavust. Kehtestada tuleks eri rakendusvaldkondades tehisintellekti süsteemide kasutamisega seotud võimalike riskide selgitamise ja hindamise kord.</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Privaatsus ja andmehaldus</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Privaatsus ja </w:t>
      </w:r>
      <w:r>
        <w:rPr>
          <w:rFonts w:ascii="Times New Roman" w:eastAsiaTheme="minorHAnsi" w:hAnsi="Times New Roman"/>
          <w:b/>
          <w:noProof/>
          <w:sz w:val="24"/>
        </w:rPr>
        <w:t>andmekaitse</w:t>
      </w:r>
      <w:r>
        <w:rPr>
          <w:rFonts w:ascii="Times New Roman" w:eastAsiaTheme="minorHAnsi" w:hAnsi="Times New Roman"/>
          <w:noProof/>
          <w:sz w:val="24"/>
        </w:rPr>
        <w:t xml:space="preserve"> peavad olema tagatud tehisintellekti süsteemi elutsükli </w:t>
      </w:r>
      <w:r>
        <w:rPr>
          <w:rFonts w:ascii="Times New Roman" w:eastAsiaTheme="minorHAnsi" w:hAnsi="Times New Roman"/>
          <w:b/>
          <w:noProof/>
          <w:sz w:val="24"/>
        </w:rPr>
        <w:t>igas etapis</w:t>
      </w:r>
      <w:r>
        <w:rPr>
          <w:rFonts w:ascii="Times New Roman" w:eastAsiaTheme="minorHAnsi" w:hAnsi="Times New Roman"/>
          <w:noProof/>
          <w:sz w:val="24"/>
        </w:rPr>
        <w:t>. Inimese käitumist puudutavatest digitaalandmetest võivad tehisintellekti süsteemid järeldada mitte ainult tema eelistusi, vanust ja sugu, vaid ka seksuaalset sättumust ning usulisi või poliitilisi vaateid. Selleks et üksikisikud hakkaksid andmetöötlust usaldama, tuleb tagada, et neil oleks täielik kontroll oma andmete üle ning neid puudutavaid andmeid ei kasutataks nende kahjustamiseks või diskrimineerimiseks.</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Peale privaatsuse ja isikuandmete kaitse tuleb täita ka tehisintellekti süsteemide kvaliteeti tagavad nõuded. Süsteemide toimimise seisukohast on ülioluline kasutatavate andmekogumite kvaliteet. Kogumisetapis võib andmetes kajastuda sotsiaalselt konstrueeritud kallutatust või ebatäpsusi, vigu ja eksitusi. Need tuleb korrigeerida enne tehisintellekti süsteemi õpetamist mis tahes konkreetse andmekogumi põhjal. Tagada tuleb ka andmete </w:t>
      </w:r>
      <w:r>
        <w:rPr>
          <w:rFonts w:ascii="Times New Roman" w:eastAsiaTheme="minorHAnsi" w:hAnsi="Times New Roman"/>
          <w:b/>
          <w:noProof/>
          <w:sz w:val="24"/>
        </w:rPr>
        <w:t>terviklus</w:t>
      </w:r>
      <w:r>
        <w:rPr>
          <w:rFonts w:ascii="Times New Roman" w:eastAsiaTheme="minorHAnsi" w:hAnsi="Times New Roman"/>
          <w:noProof/>
          <w:sz w:val="24"/>
        </w:rPr>
        <w:t xml:space="preserve">. Kasutatavaid protsesse ja andmekogumeid tuleb katsetada ja need tuleb dokumenteerida igas etapis ehk nii süsteemi kavandamise, õpetamise, katsetamise kui ka kasutusele võtmise käigus. See peaks kehtima ka selliste tehisintellekti süsteemide kohta, mida ei töötata välja asutusesiseselt, vaid mis on saadud mujalt. Samuti tuleb nõuetekohaselt hallata ja kontrollida andmetele </w:t>
      </w:r>
      <w:r>
        <w:rPr>
          <w:rFonts w:ascii="Times New Roman" w:eastAsiaTheme="minorHAnsi" w:hAnsi="Times New Roman"/>
          <w:b/>
          <w:noProof/>
          <w:sz w:val="24"/>
        </w:rPr>
        <w:t>juurdepääsu</w:t>
      </w:r>
      <w:r>
        <w:rPr>
          <w:rFonts w:ascii="Times New Roman" w:eastAsiaTheme="minorHAnsi" w:hAnsi="Times New Roman"/>
          <w:noProof/>
          <w:sz w:val="24"/>
        </w:rPr>
        <w:t>.</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Läbipaistvus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Tagada tuleks tehisintellekti süsteemide </w:t>
      </w:r>
      <w:r>
        <w:rPr>
          <w:rFonts w:ascii="Times New Roman" w:hAnsi="Times New Roman"/>
          <w:b/>
          <w:noProof/>
          <w:sz w:val="24"/>
        </w:rPr>
        <w:t>jälgitavus</w:t>
      </w:r>
      <w:r>
        <w:rPr>
          <w:rFonts w:ascii="Times New Roman" w:hAnsi="Times New Roman"/>
          <w:noProof/>
          <w:sz w:val="24"/>
        </w:rPr>
        <w:t xml:space="preserve">. Oluline on logida ja dokumenteerida nii süsteemide tehtud otsused kui ka kogu otsuste aluseks olnud protsess (sealhulgas andmete kogumise ja märgistamise kirjeldus ja kasutatud algoritmi kirjeldus). Koos sellega tuleks võimaluse piires tagada algoritmilise otsustusprotsessi </w:t>
      </w:r>
      <w:r>
        <w:rPr>
          <w:rFonts w:ascii="Times New Roman" w:hAnsi="Times New Roman"/>
          <w:b/>
          <w:noProof/>
          <w:sz w:val="24"/>
        </w:rPr>
        <w:t>selgitatavus</w:t>
      </w:r>
      <w:r>
        <w:rPr>
          <w:rFonts w:ascii="Times New Roman" w:hAnsi="Times New Roman"/>
          <w:noProof/>
          <w:sz w:val="24"/>
        </w:rPr>
        <w:t xml:space="preserve">, et see oleks asjaomastele isikutele arusaadav. Jätkata tuleks selgitatavusmehhanismide väljatöötamiseks vajalikke teadusuuringuid. Samuti peavad kättesaadavad olema selgitused selle kohta, mil määral tehisintellekti süsteem mõjutab ja kujundab organisatsioonilist otsustusprotsessi, süsteemi projekteerimisvalikuid ning selle kasutamise põhjendusi (tagades seega mitte ainult andmete ja süsteemi, vaid ka ärimudeli läbipaistvuse).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Viimaks on oluline asjassepuutuvaid sidusrühmi tehisintellekti süsteemi võimalustest ja piirangutest piisavalt </w:t>
      </w:r>
      <w:r>
        <w:rPr>
          <w:rFonts w:ascii="Times New Roman" w:hAnsi="Times New Roman"/>
          <w:b/>
          <w:noProof/>
          <w:sz w:val="24"/>
        </w:rPr>
        <w:t>teavitada</w:t>
      </w:r>
      <w:r>
        <w:rPr>
          <w:rFonts w:ascii="Times New Roman" w:hAnsi="Times New Roman"/>
          <w:noProof/>
          <w:sz w:val="24"/>
        </w:rPr>
        <w:t xml:space="preserve">, tehes seda igast üksikjuhust lähtuvalt. Tehisintellekti süsteemide puhul peaks olema selge, millega tegemist on, ning kasutajad peavad teadma, et nad suhtlevad tehisintellekti süsteemiga ja millised isikud selle eest vastutavad.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Mitmekesisus, mittediskrimineerimine ja õiglus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Andmekogumid, mida tehisintellekti süsteemid (kas õppimiseks või toimimiseks) kasutavad, võivad olla tahtmatult kallutatud ajalooliste eelarvamuste, ebatäielikkuse või halbade juhtimismudelite tõttu. Selliste moonutuste edasikandumine võib põhjustada otsest või kaudset diskrimineerimist. Kahju võib tuleneda ka (tarbija) erapoolikuse tahtlikust ärakasutamisest või ebaausast konkurentsist. Peale selle võib kallutatud olla ka tehisintellekti süsteemide väljatöötamise viis (nt algoritmi programmeerimiskoodi kirjutamine). Selliste probleemidega tuleks tegeleda süsteemi väljatöötamise algusest peale.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Nende lahendamisele võib kaasa aidata see, kui </w:t>
      </w:r>
      <w:r>
        <w:rPr>
          <w:rFonts w:ascii="Times New Roman" w:eastAsiaTheme="minorHAnsi" w:hAnsi="Times New Roman"/>
          <w:b/>
          <w:noProof/>
          <w:sz w:val="24"/>
        </w:rPr>
        <w:t>projekteerimisrühmade moodustamisel arvestatakse mitmekesisust</w:t>
      </w:r>
      <w:r>
        <w:rPr>
          <w:rFonts w:ascii="Times New Roman" w:eastAsiaTheme="minorHAnsi" w:hAnsi="Times New Roman"/>
          <w:noProof/>
          <w:sz w:val="24"/>
        </w:rPr>
        <w:t xml:space="preserve"> ja luuakse eelkõige kodanikele võimalusi </w:t>
      </w:r>
      <w:r>
        <w:rPr>
          <w:rFonts w:ascii="Times New Roman" w:eastAsiaTheme="minorHAnsi" w:hAnsi="Times New Roman"/>
          <w:b/>
          <w:noProof/>
          <w:sz w:val="24"/>
        </w:rPr>
        <w:t>osaleda</w:t>
      </w:r>
      <w:r>
        <w:rPr>
          <w:rFonts w:ascii="Times New Roman" w:eastAsiaTheme="minorHAnsi" w:hAnsi="Times New Roman"/>
          <w:noProof/>
          <w:sz w:val="24"/>
        </w:rPr>
        <w:t xml:space="preserve"> tehisintellekti arendamises. Soovitav on konsulteerida sidusrühmadega, keda süsteem võib kogu oma elutsükli jooksul otseselt või kaudselt mõjutada</w:t>
      </w:r>
      <w:r>
        <w:rPr>
          <w:rFonts w:ascii="Times New Roman" w:hAnsi="Times New Roman"/>
          <w:noProof/>
          <w:sz w:val="20"/>
        </w:rPr>
        <w:t xml:space="preserve">. </w:t>
      </w:r>
      <w:r>
        <w:rPr>
          <w:rFonts w:ascii="Times New Roman" w:hAnsi="Times New Roman"/>
          <w:noProof/>
          <w:sz w:val="24"/>
        </w:rPr>
        <w:t xml:space="preserve">Tehisintellekti süsteemid peaksid arvesse võtma inimvõimete, oskuste ja nõuete kogu ulatust ning tagama universaaldisaini abil juurdepääsetavuse, et ka puuetega inimesed saaksid neid kasutada teistega võrdsetel alustel.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Ühiskondlik ja keskkonnaalane heaolu</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Selleks et tehisintellekt oleks usaldusväärne, tuleb arvesse võtta selle mõju </w:t>
      </w:r>
      <w:r>
        <w:rPr>
          <w:rFonts w:ascii="Times New Roman" w:eastAsiaTheme="minorHAnsi" w:hAnsi="Times New Roman"/>
          <w:b/>
          <w:noProof/>
          <w:sz w:val="24"/>
        </w:rPr>
        <w:t>keskkonnale ja teistele aistimisvõimelistele olenditele</w:t>
      </w:r>
      <w:r>
        <w:rPr>
          <w:rFonts w:ascii="Times New Roman" w:eastAsiaTheme="minorHAnsi" w:hAnsi="Times New Roman"/>
          <w:noProof/>
          <w:sz w:val="24"/>
        </w:rPr>
        <w:t xml:space="preserve">. Ideaaljuhul peaksid kõik inimesed, sealhulgas tulevased põlvkonnad, saama osa elurikkusest ja elamiskõlblikust keskkonnast. Seepärast tuleks soodustada tehisintellekti süsteemide kestlikkust ja </w:t>
      </w:r>
      <w:r>
        <w:rPr>
          <w:rFonts w:ascii="Times New Roman" w:eastAsiaTheme="minorHAnsi" w:hAnsi="Times New Roman"/>
          <w:b/>
          <w:noProof/>
          <w:sz w:val="24"/>
        </w:rPr>
        <w:t>ökoloogilist vastutustundlikkust</w:t>
      </w:r>
      <w:r>
        <w:rPr>
          <w:rFonts w:ascii="Times New Roman" w:eastAsiaTheme="minorHAnsi" w:hAnsi="Times New Roman"/>
          <w:noProof/>
          <w:sz w:val="24"/>
        </w:rPr>
        <w:t xml:space="preserve">. Sama kehtib tehisintellekti lahenduste kohta, mis on suunatud ülemaailmse tähtsusega valdkondadele, nagu ÜRO kestliku arengu eesmärgid.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Peale selle tuleks tehisintellekti süsteemide mõju arvesse võtta mitte ainult üksikisiku, vaid ka </w:t>
      </w:r>
      <w:r>
        <w:rPr>
          <w:rFonts w:ascii="Times New Roman" w:eastAsiaTheme="minorHAnsi" w:hAnsi="Times New Roman"/>
          <w:b/>
          <w:noProof/>
          <w:sz w:val="24"/>
        </w:rPr>
        <w:t>ühiskonna kui terviku</w:t>
      </w:r>
      <w:r>
        <w:rPr>
          <w:rFonts w:ascii="Times New Roman" w:eastAsiaTheme="minorHAnsi" w:hAnsi="Times New Roman"/>
          <w:noProof/>
          <w:sz w:val="24"/>
        </w:rPr>
        <w:t xml:space="preserve"> seisukohast. Tehisintellekti süsteemide kasutamisele tuleks pöörata erilist tähelepanu eelkõige sellistes olukordades, mis on seotud demokraatliku protsessiga, sealhulgas arvamuste kujundamise, poliitiliste otsuste tegemise või valimistega. Kaaluda tuleb ka tehisintellekti </w:t>
      </w:r>
      <w:r>
        <w:rPr>
          <w:rFonts w:ascii="Times New Roman" w:eastAsiaTheme="minorHAnsi" w:hAnsi="Times New Roman"/>
          <w:b/>
          <w:noProof/>
          <w:sz w:val="24"/>
        </w:rPr>
        <w:t>ühiskondlikku mõju</w:t>
      </w:r>
      <w:r>
        <w:rPr>
          <w:rFonts w:ascii="Times New Roman" w:eastAsiaTheme="minorHAnsi" w:hAnsi="Times New Roman"/>
          <w:noProof/>
          <w:sz w:val="24"/>
        </w:rPr>
        <w:t>. Kuigi tehisintellekti süsteeme saab kasutada sotsiaalsete oskuste parandamiseks, võivad need samamoodi tuua kaasa ka nende oskuste halvenemise.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Vastutuse võtmine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Tuleb luua mehhanismid, mille abil tagada vastutuse kandmine ja võtmine tehisintellekti süsteemide ja nende tegevuse eest nii enne kui ka pärast nende rakendamist. Seejuures on väga oluline tehisintellekti süsteemide </w:t>
      </w:r>
      <w:r>
        <w:rPr>
          <w:rFonts w:ascii="Times New Roman" w:eastAsiaTheme="minorHAnsi" w:hAnsi="Times New Roman"/>
          <w:b/>
          <w:noProof/>
          <w:sz w:val="24"/>
        </w:rPr>
        <w:t>auditeeritavus</w:t>
      </w:r>
      <w:r>
        <w:rPr>
          <w:rFonts w:ascii="Times New Roman" w:eastAsiaTheme="minorHAnsi" w:hAnsi="Times New Roman"/>
          <w:noProof/>
          <w:sz w:val="24"/>
        </w:rPr>
        <w:t xml:space="preserve">, sest sise- ja välisaudiitorite hinnang süsteemile ning koostatud hindamisaruannete kättesaadavus aitavad suurel määral kaasa kogu tehnoloogia usaldusväärsusele. Välisaudit tuleks tagada eelkõige põhiõigusi mõjutavate rakenduste, sealhulgas ohutuse seisukohalt oluliste rakenduste puhul.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Tehisintellekti süsteemide </w:t>
      </w:r>
      <w:r>
        <w:rPr>
          <w:rFonts w:ascii="Times New Roman" w:eastAsiaTheme="minorHAnsi" w:hAnsi="Times New Roman"/>
          <w:b/>
          <w:noProof/>
          <w:sz w:val="24"/>
        </w:rPr>
        <w:t>võimalikud</w:t>
      </w:r>
      <w:r>
        <w:rPr>
          <w:rFonts w:ascii="Times New Roman" w:eastAsiaTheme="minorHAnsi" w:hAnsi="Times New Roman"/>
          <w:noProof/>
          <w:sz w:val="24"/>
        </w:rPr>
        <w:t xml:space="preserve"> </w:t>
      </w:r>
      <w:r>
        <w:rPr>
          <w:rFonts w:ascii="Times New Roman" w:eastAsiaTheme="minorHAnsi" w:hAnsi="Times New Roman"/>
          <w:b/>
          <w:noProof/>
          <w:sz w:val="24"/>
        </w:rPr>
        <w:t>negatiivsed mõjud</w:t>
      </w:r>
      <w:r>
        <w:rPr>
          <w:rFonts w:ascii="Times New Roman" w:eastAsiaTheme="minorHAnsi" w:hAnsi="Times New Roman"/>
          <w:noProof/>
          <w:sz w:val="24"/>
        </w:rPr>
        <w:t xml:space="preserve"> tuleks kindlaks teha, neid hinnata, need dokumenteerida ja minimeerida. Seda protsessi hõlbustab mõjuhinnangute kasutamine. Hindamine peaks olema proportsionaalne tehisintellektisüsteemist tulenevate riskide ulatusega. </w:t>
      </w:r>
      <w:r>
        <w:rPr>
          <w:rFonts w:ascii="Times New Roman" w:eastAsiaTheme="minorHAnsi" w:hAnsi="Times New Roman"/>
          <w:b/>
          <w:noProof/>
          <w:sz w:val="24"/>
        </w:rPr>
        <w:t>Kompromisse</w:t>
      </w:r>
      <w:r>
        <w:rPr>
          <w:rFonts w:ascii="Times New Roman" w:eastAsiaTheme="minorHAnsi" w:hAnsi="Times New Roman"/>
          <w:noProof/>
          <w:sz w:val="24"/>
        </w:rPr>
        <w:t xml:space="preserve"> eri nõuete vahel – mis on sageli vältimatud – tuleks teha ratsionaalselt ja metoodiliselt ning need peaksid olema põhjendatud. Juhuks kui süsteemi mõju on ebaõiglaselt kahjulik, tuleks ette näha kättesaadavad mehhanismid, mis tagaksid </w:t>
      </w:r>
      <w:r>
        <w:rPr>
          <w:rFonts w:ascii="Times New Roman" w:eastAsiaTheme="minorHAnsi" w:hAnsi="Times New Roman"/>
          <w:b/>
          <w:noProof/>
          <w:sz w:val="24"/>
        </w:rPr>
        <w:t>piisava õiguskaitse</w:t>
      </w:r>
      <w:r>
        <w:rPr>
          <w:rFonts w:ascii="Times New Roman" w:eastAsiaTheme="minorHAnsi" w:hAnsi="Times New Roman"/>
          <w:noProof/>
          <w:sz w:val="24"/>
        </w:rPr>
        <w:t>.</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Järgmised sammud: katseetapp võimalikult laias sidusrühmade ringis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Tehisintellekti süsteemide põhinõuete suhtes üksmeelele jõudmine on esimene oluline samm eetilise tehisintellekti suuniste koostamise poole. Järgmise sammuna tagab komisjon, et neid suuniseid saaks katsetada ja praktikas rakendada.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Selleks käivitab komisjon nüüd sihtrühmadele suunatud katseetapi, mille eesmärk on saada sidusrühmadelt struktureeritud tagasisidet. Selle käigus keskendutakse eelkõige kontrollnimekirjadele, mille kõrgetasemeline eksperdirühm on koostanud iga põhinõude kohta.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Sellel tööl on kaks suunda: i) suuniste katseetapp, milles osalevad tehisintellekti arendavad või kasutavad sidusrühmad, sealhulgas avaliku halduse asutused, ning ii) jätkuv konsulteerimine sidusrühmadega ja teadlikkuse suurendamine liikmesriikides ja eri valdkondade sidusrühmades, sealhulgas tööstus- ja teenindussektoris.</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Alates 2019. aasta juunist palutakse kõigil sidusrühmadel ja üksikisikutel katsetada kontrollnimekirja ja anda tagasisidet selle parandamiseks. Lisaks sellele koostab kõrgetasemeline tehisintellekti eksperdirühm koos era- ja avaliku sektori sidusrühmadega põhjaliku analüüsi, et koguda üksikasjalikumat tagasisidet selle kohta, kuidas saaks suuniseid kasutada paljudes eri rakendusvaldkondades. Kogu tagasisidet suuniste kasutatavuse ja toimivuse kohta hinnatakse 2019. aasta lõpuks.</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Samal ajal korraldab komisjon täiendavat teavitustegevust, andes kõrgetasemelise tehisintellekti eksperdirühma esindajatele võimaluse tutvustada suuniseid liikmesriikide asjaomastele sidusrühmadele, sealhulgas tööstus- ja teenindussektorile, ning võimaldada neil sidusrühmadel veel kord esitada tehisintellekti suuniste kohta märkusi ja ettepanekuid.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Komisjon võtab arvesse ühendatud ja automatiseeritud sõidukijuhtimise eetika eksperdirühma</w:t>
      </w:r>
      <w:r>
        <w:rPr>
          <w:rStyle w:val="FootnoteReference"/>
          <w:rFonts w:ascii="Times New Roman" w:hAnsi="Times New Roman"/>
          <w:noProof/>
          <w:sz w:val="24"/>
        </w:rPr>
        <w:footnoteReference w:id="14"/>
      </w:r>
      <w:r>
        <w:rPr>
          <w:rFonts w:ascii="Times New Roman" w:hAnsi="Times New Roman"/>
          <w:noProof/>
          <w:sz w:val="24"/>
        </w:rPr>
        <w:t xml:space="preserve"> tööd ning teeb põhinõuete rakendamisel koostööd ELi rahastatavate teadusprojektidega tehisintellekti valdkonnas ning asjaomaste avaliku ja erasektori partnerlustega</w:t>
      </w:r>
      <w:r>
        <w:rPr>
          <w:rStyle w:val="FootnoteReference"/>
          <w:rFonts w:ascii="Times New Roman" w:hAnsi="Times New Roman"/>
          <w:noProof/>
          <w:sz w:val="24"/>
        </w:rPr>
        <w:footnoteReference w:id="15"/>
      </w:r>
      <w:r>
        <w:rPr>
          <w:rFonts w:ascii="Times New Roman" w:hAnsi="Times New Roman"/>
          <w:noProof/>
          <w:sz w:val="24"/>
        </w:rPr>
        <w:t>. Näiteks toetab komisjon kooskõlastatult liikmesriikidega esialgu kõige levinumate vähivormide jaoks ette nähtud ühtse tervisepiltide andmebaasi väljatöötamist, et algoritme saaks õpetada ülitäpselt haigussümptomeid diagnoosima. Samuti võimaldab komisjoni ja liikmesriikide koostöö suurendada ühendatud ja automatiseeritud sõidukite katsetamiseks vajalike piiriüleste koridoride arvu. Neis projektides tuleks kohaldada ja katsetada eetikasuuniseid ning saadud tulemusi võetakse arvesse hindamisprotsessis.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Katseetapis ja sidusrühmadega konsulteerimisel tuginetakse ka Euroopa tehisintellekti liidu ja tehisintellekti nõudeteenuste platvormi AI4EU panusele. 2019. aasta jaanuaris käivitatud projektiga AI4EU</w:t>
      </w:r>
      <w:r>
        <w:rPr>
          <w:rStyle w:val="FootnoteReference"/>
          <w:rFonts w:ascii="Times New Roman" w:hAnsi="Times New Roman"/>
          <w:noProof/>
          <w:sz w:val="24"/>
        </w:rPr>
        <w:footnoteReference w:id="16"/>
      </w:r>
      <w:r>
        <w:rPr>
          <w:rFonts w:ascii="Times New Roman" w:hAnsi="Times New Roman"/>
          <w:noProof/>
          <w:sz w:val="24"/>
        </w:rPr>
        <w:t xml:space="preserve"> koondatakse algoritme, vahendeid, andmekogumeid ja teenuseid, et aidata organisatsioonidel ning eelkõige väikestel ja keskmise suurusega ettevõtjatel rakendada tehisintellekti lahendusi. ELi tehisintellekti liit koos projektiga AI4EU jätkab tehisintellekti ökosüsteemi aktiivsuse suurendamist kogu Euroopas, muu hulgas selleks, et katsetada tehisintellekti eetikasuuniseid ja suurendada lugupidamist inimkeskse tehisintellekti vastu.</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2020. aasta alguses vaatab kõrgetasemeline tehisintellekti eksperdirühm suunised läbi ja ajakohastab neid, tuginedes katseetapis saadud tagasiside hindamisele.</w:t>
      </w:r>
      <w:r>
        <w:rPr>
          <w:rFonts w:ascii="Times New Roman" w:hAnsi="Times New Roman"/>
          <w:noProof/>
          <w:sz w:val="24"/>
        </w:rPr>
        <w:t xml:space="preserve"> Läbivaatamise ja saadud kogemuste alusel </w:t>
      </w:r>
      <w:r>
        <w:rPr>
          <w:rFonts w:ascii="Times New Roman" w:hAnsi="Times New Roman"/>
          <w:b/>
          <w:noProof/>
          <w:sz w:val="24"/>
        </w:rPr>
        <w:t xml:space="preserve">hindab komisjon tulemusi ja teeb ettepaneku järgmiste sammude kohta.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Eetiline tehisintellekt on kasulik kõigile. Põhiväärtuste ja -õiguste austamise tagamine ei ole mitte ainult iseenesest oluline, vaid hõlbustab ka üldsuse heakskiidu saamist ja suurendab Euroopa tehisintellektiettevõtjate konkurentsieelist, luues inimkeskse ja usaldusväärse tehisintellekti kaubamärgi, mis on tuntud oma eetiliste ja turvaliste toodete poolest. See tugineb üldisemalt Euroopa äriühingute kui ohutute ja turvaliste kvaliteettoodete pakkujate heale mainele. Katseetapp aitab tagada, et tehisintellekti tooted vastaksid sellele ootusele.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b/>
          <w:noProof/>
          <w:sz w:val="24"/>
        </w:rPr>
        <w:t>2.4. Rahvusvaheliste tehisintellekti eetikasuuniste väljatöötamine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Rahvusvahelised arutelud tehisintellekti eetika üle on süvenenud pärast seda, kui Jaapan G7 eesistujariigina tõi selle teema 2016. aastal tugevalt päevakorda. Võttes arvesse, et tehisintellekti arendamine on rahvusvaheline nii andmete ringluse ja algoritmide arendamise kui ka teadusinvesteeringute mõttes, </w:t>
      </w:r>
      <w:r>
        <w:rPr>
          <w:rFonts w:ascii="Times New Roman" w:hAnsi="Times New Roman"/>
          <w:b/>
          <w:noProof/>
          <w:sz w:val="24"/>
        </w:rPr>
        <w:t>jätkab komisjon tööd selle nimel, et tutvustada maailmas ELi lähenemisviisi ja saavutada konsensus inimesekeskse tehisintellekti küsimuses</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Kõrgetasemelise tehisintellekti eksperdirühma töö, täpsemalt nõuete loetelu ja sidusrühmade kaasamise protsess, annab komisjonile väärtuslikku lisamaterjali osalemiseks rahvusvahelistes aruteludes. Euroopa Liit võib võtta juhtrolli rahvusvaheliste tehisintellekti suuniste ja võimaluse korral ka nende hindamise mehhanismi väljatöötamisel.</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Seepärast teeb komisjon järgmist:</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tihendab koostööd sarnaseid seisukohti jagavate partneritega</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uurides, milline on võimalik ühisosa kolmandate riikide (Jaapan, Kanada, Singapur) kavandatud eetikasuunistega, ning tuginedes sellisele mõttekaaslastest riikide rühmale, valmistatakse ette laiem arutelu, mida toetavad tegevused kolmandate riikidega toimuva partnerluse rahastamisvahendi rakendamiseks</w:t>
      </w:r>
      <w:r>
        <w:rPr>
          <w:rStyle w:val="FootnoteReference"/>
          <w:rFonts w:ascii="Times New Roman" w:hAnsi="Times New Roman"/>
          <w:noProof/>
        </w:rPr>
        <w:footnoteReference w:id="18"/>
      </w:r>
      <w:r>
        <w:rPr>
          <w:rFonts w:ascii="Times New Roman" w:hAnsi="Times New Roman"/>
          <w:noProof/>
          <w:sz w:val="24"/>
        </w:rPr>
        <w:t>; ning</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uurides, kuidas kolmandate riikide ja rahvusvaheliste organisatsioonide äriühingud saaksid suuniste katseetapis panustada katsetamise ja valideerimise kaudu;</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komisjon osaleb ka edaspidi aktiivselt rahvusvahelistes aruteludes ja algatustes</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aidates kaasa mitmepoolsete foorumite, nagu G7 ja G20, tööle;</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pidades dialoogi kolmandate riikidega ning korraldades kahe- ja mitmepoolseid kohtumisi, et saavutada konsensus inimesekeskse tehisintellekti valdkonnas;</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panustades asjakohastesse standardimistegevustesse rahvusvahelistes standardite väljatöötamise organisatsioonides, et seda visiooni edendada, ning</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tugevdada avaliku poliitika alaste teadmiste kogumist ja levitamist, tehes koostööd asjaomaste rahvusvaheliste organisatsioonidega.</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JÄRELDUSED</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EL rajaneb alusväärtustel, mille peale on ehitatud tugev ja tasakaalustatud õigusraamistik. Seda tuleks aga täiendada tehisintellekti arendamist ja kasutamist käsitlevate eetikasuunistega, kuna tegemist on uudse tehnoloogiaga, millega kaasnevad spetsiifilised probleemid. Ainult juhul, kui tehisintellekti arendatakse ja kasutatakse kooskõlas üldtunnustatud eetiliste väärtustega, võib seda pidada usaldusväärseks.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Seda eesmärki silmas pidades tänab komisjon kõrgetasemelist tehisintellekti eksperdirühma tema panuse eest. Võttes aluseks põhinõuded, mis peavad olema täidetud, et tehisintellekti saaks lugeda usaldusväärseks, käivitab komisjon nüüd sihtrühmale suunatud katseetapi, et tagada koostatavate tehisintellekti arendamist ja kasutamist käsitlevate suuniste praktiline rakendamine. Komisjon töötab ka selle nimel, et saavutada inimkeskse tehisintellekti küsimuses laiapõhjaline ühiskondlik konsensus koos kõigi asjaomaste sidusrühmade ja meie rahvusvaheliste partneritega.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Tehisintellekti eetiline mõõde ei ole luksus ega lisaseade: see peab tehisintellekti arenguga lahutamatult kaasas käima. Püüeldes usaldusel põhineva inimesekeskse tehisintellekti poole, jääme truuks oma kesksetele ühiskondlikele väärtustele ja paneme aluse Euroopa ettevõtete eristumisele ja juhtrollile tipptasemel tehisintellekti arendamisel, tagades usalduse nende vastu kogu maailmas.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Selleks et tagada tehisintellekti arendamise eetilisus Euroopas laiemas kontekstis, järgib komisjon terviklikku lähenemisviisi, mis hõlmab eelkõige järgmisi tegevussuundi, mis tuleb ellu viia 2019. aasta kolmandaks kvartaliks: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Programmi „Horisont 2020“ kaudu hakatakse looma </w:t>
      </w:r>
      <w:r>
        <w:rPr>
          <w:rFonts w:ascii="Times New Roman" w:hAnsi="Times New Roman"/>
          <w:b/>
          <w:noProof/>
          <w:sz w:val="24"/>
        </w:rPr>
        <w:t>tehisintellekti tippkeskuste võrgustikke</w:t>
      </w:r>
      <w:r>
        <w:rPr>
          <w:rFonts w:ascii="Times New Roman" w:hAnsi="Times New Roman"/>
          <w:noProof/>
          <w:sz w:val="24"/>
        </w:rPr>
        <w:t>. Komisjon valib välja kuni neli võrgustikku, milles keskendutakse tehisintellekti usaldusväärsusega tihedalt seotud teaduslikele või tehnoloogilistele küsimustele, nagu selgitatavus ning inimese ja masina vaheline täiustatud koostoime.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Komisjon alustab </w:t>
      </w:r>
      <w:r>
        <w:rPr>
          <w:rFonts w:ascii="Times New Roman" w:hAnsi="Times New Roman"/>
          <w:b/>
          <w:noProof/>
          <w:sz w:val="24"/>
        </w:rPr>
        <w:t>digitaalse innovatsiooni keskuste võrgustike</w:t>
      </w:r>
      <w:r>
        <w:rPr>
          <w:rStyle w:val="FootnoteReference"/>
          <w:rFonts w:ascii="Times New Roman" w:hAnsi="Times New Roman"/>
          <w:b/>
          <w:noProof/>
          <w:sz w:val="24"/>
        </w:rPr>
        <w:footnoteReference w:id="19"/>
      </w:r>
      <w:r>
        <w:rPr>
          <w:rFonts w:ascii="Times New Roman" w:hAnsi="Times New Roman"/>
          <w:noProof/>
          <w:sz w:val="24"/>
        </w:rPr>
        <w:t xml:space="preserve"> loomist, keskendudes tehisintellekti rakendustele tööstuses ja suurandmetele.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Komisjon alustab koos liikmesriikide ja sidusrühmadega ettevalmistavaid arutelusid, et töötada välja ja võtta kasutusele </w:t>
      </w:r>
      <w:r>
        <w:rPr>
          <w:rFonts w:ascii="Times New Roman" w:hAnsi="Times New Roman"/>
          <w:b/>
          <w:noProof/>
          <w:sz w:val="24"/>
        </w:rPr>
        <w:t>andmete jagamise ja ühiste andmeruumide kasutamise mudel</w:t>
      </w:r>
      <w:r>
        <w:rPr>
          <w:rFonts w:ascii="Times New Roman" w:hAnsi="Times New Roman"/>
          <w:noProof/>
          <w:sz w:val="24"/>
        </w:rPr>
        <w:t>, keskendudes eelkõige transpordile, tervishoiule ja tööstuslikule tootmisele</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Lisaks koostab komisjon aruande tehisintellektiga seotud probleemide kohta ohutuse ja vastutuse valdkonnas ning koostab tootevastutuse direktiivi rakendamise juhendi</w:t>
      </w:r>
      <w:r>
        <w:rPr>
          <w:rStyle w:val="FootnoteReference"/>
          <w:rFonts w:ascii="Times New Roman" w:hAnsi="Times New Roman"/>
          <w:noProof/>
          <w:sz w:val="24"/>
        </w:rPr>
        <w:footnoteReference w:id="21"/>
      </w:r>
      <w:r>
        <w:rPr>
          <w:rFonts w:ascii="Times New Roman" w:hAnsi="Times New Roman"/>
          <w:noProof/>
          <w:sz w:val="24"/>
        </w:rPr>
        <w:t>. Samal ajal töötab Euroopa kõrgjõudlusega andmetöötluse ühisettevõte (EuroHPC)</w:t>
      </w:r>
      <w:r>
        <w:rPr>
          <w:rStyle w:val="FootnoteReference"/>
          <w:rFonts w:ascii="Times New Roman" w:hAnsi="Times New Roman"/>
          <w:noProof/>
          <w:sz w:val="24"/>
        </w:rPr>
        <w:footnoteReference w:id="22"/>
      </w:r>
      <w:r>
        <w:rPr>
          <w:rFonts w:ascii="Times New Roman" w:hAnsi="Times New Roman"/>
          <w:noProof/>
          <w:sz w:val="24"/>
        </w:rPr>
        <w:t xml:space="preserve"> välja järgmise põlvkonna superarvutid, sest arvutusvõimsuse suurendamine on andmetöötluse ja tehisintellekti arendamise jaoks võtmetähtsusega ning Euroopa tegevus peab hõlmama kogu digitaalset väärtusahelat. Käimasolev partnerlus liikmesriikide ja tööstusettevõtetega mikroelektroonikakomponentide ja -süsteemide valdkonnas</w:t>
      </w:r>
      <w:r>
        <w:rPr>
          <w:rStyle w:val="FootnoteReference"/>
          <w:rFonts w:ascii="Times New Roman" w:hAnsi="Times New Roman"/>
          <w:noProof/>
          <w:sz w:val="24"/>
        </w:rPr>
        <w:footnoteReference w:id="23"/>
      </w:r>
      <w:r>
        <w:rPr>
          <w:rFonts w:ascii="Times New Roman" w:hAnsi="Times New Roman"/>
          <w:noProof/>
          <w:sz w:val="24"/>
        </w:rPr>
        <w:t xml:space="preserve"> ning Euroopa protsessorialgatus</w:t>
      </w:r>
      <w:r>
        <w:rPr>
          <w:rStyle w:val="FootnoteReference"/>
          <w:rFonts w:ascii="Times New Roman" w:hAnsi="Times New Roman"/>
          <w:noProof/>
          <w:sz w:val="24"/>
        </w:rPr>
        <w:footnoteReference w:id="24"/>
      </w:r>
      <w:r>
        <w:rPr>
          <w:rFonts w:ascii="Times New Roman" w:hAnsi="Times New Roman"/>
          <w:noProof/>
          <w:sz w:val="24"/>
        </w:rPr>
        <w:t xml:space="preserve"> aitavad arendada vähese energiatarbega protsessoritehnoloogiat usaldusväärseks ning turvaliseks kõrgjõudlusega tippandmetöötluseks.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Nagu ka tehisintellekti eetikasuuniste koostamise puhul, tuginevad kõik need algatused </w:t>
      </w:r>
      <w:r>
        <w:rPr>
          <w:rFonts w:ascii="Times New Roman" w:hAnsi="Times New Roman"/>
          <w:b/>
          <w:noProof/>
          <w:sz w:val="24"/>
        </w:rPr>
        <w:t>tihedale koostööle kõigi asjaomaste sidusrühmade</w:t>
      </w:r>
      <w:r>
        <w:rPr>
          <w:rFonts w:ascii="Times New Roman" w:hAnsi="Times New Roman"/>
          <w:noProof/>
          <w:sz w:val="24"/>
        </w:rPr>
        <w:t>, liikmesriikide, ettevõtjate, ühiskonnaliikmete ja kodanike vahel. Kokkuvõttes näitab Euroopa tehisintellektikäsitus, kuidas majanduslik konkurentsivõime ja ühiskonna usaldus peavad lähtuma samadest alusväärtustest ja üksteist vastastikku tugevdama.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Selle eesmärgi saavutamiseks tegi komisjon järgmiseks programmitöö perioodiks (2021–2027) ettepaneku, et EL eraldaks programmist „Euroopa horisont“ ja digitaalse Euroopa programmist tehisintellekti tehtavateks investeeringuteks vähemalt 1 miljard eurot aastas.</w:t>
      </w:r>
    </w:p>
  </w:footnote>
  <w:footnote w:id="4">
    <w:p>
      <w:pPr>
        <w:pStyle w:val="FootnoteText"/>
        <w:ind w:left="510" w:hanging="510"/>
      </w:pPr>
      <w:r>
        <w:rPr>
          <w:rStyle w:val="FootnoteReference"/>
        </w:rPr>
        <w:footnoteRef/>
      </w:r>
      <w:r>
        <w:t xml:space="preserve"> </w:t>
      </w:r>
      <w:r>
        <w:tab/>
      </w:r>
      <w:r>
        <w:rPr>
          <w:rFonts w:ascii="Times New Roman" w:hAnsi="Times New Roman"/>
        </w:rPr>
        <w:t>EL on ka ÜRO puuetega inimeste õiguste konventsiooni osaline.</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Määrus (EL) 2016/679. Isikuandmete kaitse üldmäärusega tagatakse isikuandmete vaba liikumine ELis. Määrus sisaldab sätteid selliste otsuste tegemise kohta, mis põhinevad üksnes automatiseeritud töötlusel, sealhulgas profiilianalüüsil. Isikul, kelle kohta automatiseeritud otsuseid tehakse, on õigus olla teadlik nende otsuste olemasolust ning saada sisulist teavet selle kohta, millise loogika alusel neid tehakse ning milline on sellise töötluse tähtsus ja kavandatavad tagajärjed selle isiku jaoks. Samuti on tal sellistel juhtudel õigus otsesele isiklikule kontaktile, et väljendada oma seisukohta ja otsus vaidlustada.</w:t>
      </w:r>
      <w:r>
        <w:rPr>
          <w:rFonts w:ascii="Times New Roman" w:hAnsi="Times New Roman"/>
          <w:color w:val="000000" w:themeColor="text1"/>
          <w:sz w:val="24"/>
        </w:rPr>
        <w:t xml:space="preserve"> </w:t>
      </w:r>
    </w:p>
  </w:footnote>
  <w:footnote w:id="6">
    <w:p>
      <w:pPr>
        <w:pStyle w:val="FootnoteText"/>
        <w:ind w:left="510" w:hanging="510"/>
      </w:pPr>
      <w:r>
        <w:rPr>
          <w:rStyle w:val="FootnoteReference"/>
        </w:rPr>
        <w:footnoteRef/>
      </w:r>
      <w:r>
        <w:t xml:space="preserve"> </w:t>
      </w:r>
      <w:r>
        <w:tab/>
      </w:r>
      <w:r>
        <w:rPr>
          <w:rFonts w:ascii="Times New Roman" w:hAnsi="Times New Roman"/>
        </w:rPr>
        <w:t>COM(2017) 10.</w:t>
      </w:r>
    </w:p>
  </w:footnote>
  <w:footnote w:id="7">
    <w:p>
      <w:pPr>
        <w:pStyle w:val="FootnoteText"/>
        <w:ind w:left="510" w:hanging="510"/>
      </w:pPr>
      <w:r>
        <w:rPr>
          <w:rStyle w:val="FootnoteReference"/>
        </w:rPr>
        <w:footnoteRef/>
      </w:r>
      <w:r>
        <w:t xml:space="preserve"> </w:t>
      </w:r>
      <w:r>
        <w:tab/>
      </w:r>
      <w:hyperlink r:id="rId1">
        <w:r>
          <w:rPr>
            <w:rStyle w:val="Hyperlink"/>
            <w:rFonts w:ascii="Times New Roman" w:hAnsi="Times New Roman"/>
          </w:rPr>
          <w:t>https://ec.europa.eu/digital-single-market/en/high-level-expert-group-artificial-intelligence</w:t>
        </w:r>
      </w:hyperlink>
    </w:p>
  </w:footnote>
  <w:footnote w:id="8">
    <w:p>
      <w:pPr>
        <w:pStyle w:val="FootnoteText"/>
        <w:ind w:left="510" w:hanging="510"/>
      </w:pPr>
      <w:r>
        <w:rPr>
          <w:rStyle w:val="FootnoteReference"/>
        </w:rPr>
        <w:footnoteRef/>
      </w:r>
      <w:r>
        <w:t xml:space="preserve"> </w:t>
      </w:r>
      <w:r>
        <w:tab/>
      </w:r>
      <w:hyperlink r:id="rId2">
        <w:r>
          <w:rPr>
            <w:rStyle w:val="Hyperlink"/>
            <w:rFonts w:ascii="Times New Roman" w:hAnsi="Times New Roman"/>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Konsultatsiooni käigus saadi märkusi 511 organisatsioonilt, ühenduselt, äriühingult, teadusasutuselt, üksikisikult jm.</w:t>
      </w:r>
      <w:r>
        <w:rPr>
          <w:color w:val="000000" w:themeColor="text1"/>
          <w:sz w:val="20"/>
        </w:rPr>
        <w:t xml:space="preserve"> </w:t>
      </w:r>
      <w:r>
        <w:rPr>
          <w:b w:val="0"/>
          <w:color w:val="000000" w:themeColor="text1"/>
          <w:sz w:val="20"/>
        </w:rPr>
        <w:t xml:space="preserve">Tagasiside kokkuvõte on kättesaadav järgmisel aadressil: </w:t>
      </w:r>
      <w:hyperlink r:id="rId3">
        <w:r>
          <w:rPr>
            <w:rStyle w:val="Hyperlink"/>
            <w:b w:val="0"/>
            <w:sz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Liikmesriigid olid eksperdirühma tööga rahul ning 18. veebruaril 2019 võttis nõukogu vastu järeldused, milles juhitakse muu hulgas tähelepanu eetikasuuniste peatsele avaldamisele ja toetatakse komisjoni püüdlusi viia ELi eetiline tehisintellektikäsitus maailmatasandile:</w:t>
      </w:r>
      <w:r>
        <w:t xml:space="preserve"> </w:t>
      </w:r>
      <w:hyperlink r:id="rId4">
        <w:r>
          <w:rPr>
            <w:rStyle w:val="Hyperlink"/>
            <w:b w:val="0"/>
            <w:sz w:val="20"/>
          </w:rPr>
          <w:t>https://data.consilium.europa.eu/doc/document/ST-6177-2019-INIT/en/pdf</w:t>
        </w:r>
      </w:hyperlink>
    </w:p>
  </w:footnote>
  <w:footnote w:id="11">
    <w:p>
      <w:pPr>
        <w:pStyle w:val="FootnoteText"/>
        <w:ind w:left="510" w:hanging="510"/>
      </w:pPr>
      <w:r>
        <w:rPr>
          <w:rStyle w:val="FootnoteReference"/>
        </w:rPr>
        <w:footnoteRef/>
      </w:r>
      <w:r>
        <w:t xml:space="preserve"> </w:t>
      </w:r>
      <w:r>
        <w:tab/>
      </w:r>
      <w:hyperlink r:id="rId5">
        <w:r>
          <w:rPr>
            <w:rStyle w:val="Hyperlink"/>
          </w:rPr>
          <w:t>https://ec.europa.eu/futurium/en/node/6945</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Isikuandmete kaitse üldmääruse kohaselt on üksikisikul õigus nõuda, et tema kohta ei võetaks vastu otsust, mis põhineb üksnes automatiseeritud töötlusel, sealhulgas profiilianalüüsil, mis toob kaasa teda puudutavaid õiguslikke tagajärgi või avaldab talle märkimisväärset mõju (isikuandmete kaitse üldmääruse artikkel 22).</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rPr>
        <w:t>Inimosaluse põhimõte (</w:t>
      </w:r>
      <w:r>
        <w:rPr>
          <w:rFonts w:ascii="Times New Roman" w:hAnsi="Times New Roman"/>
          <w:i/>
        </w:rPr>
        <w:t>HITL – human-in-the-loop</w:t>
      </w:r>
      <w:r>
        <w:rPr>
          <w:rFonts w:ascii="Times New Roman" w:hAnsi="Times New Roman"/>
        </w:rPr>
        <w:t>) tähendab, et inimene peab sekkuma süsteemi igas otsustustsüklis, see aga pole paljudel juhtudel võimalik ega ka soovitav.</w:t>
      </w:r>
      <w:r>
        <w:rPr>
          <w:rFonts w:ascii="Times New Roman" w:hAnsi="Times New Roman"/>
          <w:color w:val="000000"/>
        </w:rPr>
        <w:t xml:space="preserve"> Inimsekkumise põhimõte (</w:t>
      </w:r>
      <w:r>
        <w:rPr>
          <w:rFonts w:ascii="Times New Roman" w:hAnsi="Times New Roman"/>
          <w:i/>
          <w:color w:val="000000"/>
        </w:rPr>
        <w:t>HOTL – human-on-the-loop</w:t>
      </w:r>
      <w:r>
        <w:rPr>
          <w:rFonts w:ascii="Times New Roman" w:hAnsi="Times New Roman"/>
          <w:color w:val="000000"/>
        </w:rPr>
        <w:t>) tähendab, et inimene saab sekkuda süsteemi projekteerimise tsüklis ja jälgida süsteemi tööd. Inimjuhitavuse põhimõte (</w:t>
      </w:r>
      <w:r>
        <w:rPr>
          <w:rFonts w:ascii="Times New Roman" w:hAnsi="Times New Roman"/>
          <w:i/>
          <w:color w:val="000000"/>
        </w:rPr>
        <w:t>HIC – human-in-command</w:t>
      </w:r>
      <w:r>
        <w:rPr>
          <w:rFonts w:ascii="Times New Roman" w:hAnsi="Times New Roman"/>
          <w:color w:val="000000"/>
        </w:rPr>
        <w:t>) tähendab, et on võimalik juhtida tehisintellekti süsteemi kogu tegevust (sealhulgas selle laiemat majanduslikku, ühiskondlikku, õiguslikku ja eetilist mõju) ning otsustada, millal ja kuidas süsteemi mis tahes konkreetses olukorras kasutada. See võib sisaldada otsust tehisintellekti süsteemi teatud olukorras mitte kasutada, määrata kindlaks inimese kaalutlusõiguse tasemed süsteemi kasutamise ajal või tagada võimalus süsteemi tehtud otsus tühistada.</w:t>
      </w:r>
    </w:p>
  </w:footnote>
  <w:footnote w:id="14">
    <w:p>
      <w:pPr>
        <w:pStyle w:val="FootnoteText"/>
        <w:ind w:left="510" w:hanging="510"/>
      </w:pPr>
      <w:r>
        <w:rPr>
          <w:rStyle w:val="FootnoteReference"/>
        </w:rPr>
        <w:footnoteRef/>
      </w:r>
      <w:r>
        <w:t xml:space="preserve"> </w:t>
      </w:r>
      <w:r>
        <w:tab/>
      </w:r>
      <w:r>
        <w:rPr>
          <w:rFonts w:ascii="Times New Roman" w:hAnsi="Times New Roman"/>
        </w:rPr>
        <w:t>Vt komisjoni teatis ühendatud ja automatiseeritud liikuvuse kohta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Euroopa Kaitsefondi raames töötab komisjon välja ka konkreetsed eetikajuhised </w:t>
      </w:r>
      <w:r>
        <w:rPr>
          <w:rFonts w:ascii="Times New Roman" w:hAnsi="Times New Roman"/>
          <w:color w:val="000000" w:themeColor="text1"/>
        </w:rPr>
        <w:t>kaitsealase tehisintellekti projektiettepanekute hindamiseks</w:t>
      </w:r>
      <w:r>
        <w:rPr>
          <w:rFonts w:ascii="Times New Roman" w:hAnsi="Times New Roman"/>
        </w:rPr>
        <w:t>.</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Liidu välisasjade ja julgeolekupoliitika kõrge esindaja peab komisjoni kaasabil konsultatsioone ÜROs, üleilmses tehnoloogianõukogus ja muudel mitmepoolsetel foorumitel ning kooskõlastab selle töö põhjal eelkõige nende keerukate julgeolekuprobleemide lahendamist käsitlevad ettepanekud.</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Euroopa Parlamendi ja nõukogu 11. märtsi 2014. aasta määrus (EL) nr 234/2014, millega luuakse partnerluse rahastamisvahend koostööks kolmandate riikidega (ELT L 77, 15.3.2014, lk 77).</w:t>
      </w:r>
      <w:r>
        <w:rPr>
          <w:rFonts w:ascii="Times New Roman" w:hAnsi="Times New Roman"/>
          <w:noProof/>
        </w:rPr>
        <w:t xml:space="preserve"> Näiteks hõlbustab kavandatav projekt „Inimkeskse tehisintellektikäsituse rahvusvaheline liit“ ühiseid algatusi sarnaste vaadetega partneritega, et edendada eetikasuuniseid ning võtta vastu ühised põhimõtted ja operatiivjäreldused. See võimaldab ELil ja sarnaste vaadetega riikidel arutada eksperdirühma välja pakutud tehisintellekti eetikasuunistest tulenevaid operatiivjäreldusi, et jõuda ühisele seisukohale. Lisaks võimaldab see jälgida tehisintellekti tehnoloogia kasutuselevõttu kogu maailmas. Projekti käigus kavatsetakse korraldada näiteks G7, G20 ning Majanduskoostöö ja Arengu Organisatsiooni rahvusvaheliste sündmustega kaasnevaid avaliku diplomaatia üritusi.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Vajalikud vahendid eraldatakse programmist „Horisont 2020“ (mille raames on ajavahemikul 2018–2020 tehisintellekti jaoks ette nähtud ligi 1,5 miljardit eurot) ja selle kavandatud jätkuprogrammist „Euroopa horisont“, Euroopa ühendamise rahastu digitaalarengu osast ja eelkõige tulevasest programmist „Digitaalne Euroopa“. Projektides plaanitakse kasutada ka erasektori ja liikmesriikide programmide vahendeid.</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Vt komisjoni teatis „Tehisintellekt Euroopa huvides“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B9B1CF-5371-4498-AB59-94FC23E6D1E6"/>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salduse loomine inimkeskse tehisintellekti vastu&lt;/FMT&gt;"/>
    <w:docVar w:name="LW_TYPE.DOC.CP" w:val="KOMISJONI TEATIS EUROOPA PARLAMENDILE, NÕUKOGULE, EUROOPA MAJANDUS- JA SOTSIAALKOMITEELE NING REGIOONIDE KOMITEELE"/>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node/6945"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en/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FCBE40-F21D-403C-A400-CE340653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3066</Words>
  <Characters>24719</Characters>
  <Application>Microsoft Office Word</Application>
  <DocSecurity>0</DocSecurity>
  <Lines>374</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2019-04-05T16:14:00Z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