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44947931-6970-4FF4-9F69-7104EE4D8C09" style="width:450.55pt;height:320.7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bCs/>
          <w:noProof/>
        </w:rPr>
        <w:lastRenderedPageBreak/>
        <w:t>INTRODUZZJONI — STRATEĠIJA EWROPEA GĦALL-IA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L-intelliġenza artifiċjali (IA) għandha l-potenzjal li tittrasforma d-dinja tagħna għall-aħjar: din tista’ ttejjeb il-kura tas-saħħa, tnaqqas il-konsum tal-enerġija, ittejjeb il-livell tas-sigurtà tal-karozzi, u tippermetti lill-bdiewa jużaw l-ilma u r-riżorsi naturali b’mod aktar effiċjenti. L-IA tista’ tintuża għat-tbassir ta’ tibdil fl-ambjent u fil-klima, ittejjeb il-ġestjoni tar-riskju finanzjarju u tipprovdi l-għodda għall-manifattura ta’ prodotti mfassla apposta għall-ħtiġijiet tagħna, b’inqas ħela. L-IA tista’ tgħin ukoll fid-detezzjoni tal-frodi u tat-theddid ċibernetiku, u tippermetti lis-servizzi tal-infurzar tal-liġi jiġġieldu l-kriminalità b’mod aktar effiċjenti.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L-IA tista’ tkun ta’ benefiċċju għas-soċjetà kollha u għall-ekonomija. Din hija teknoloġija strateġika li issa qed tiġi żviluppata u tintuża b’pass mgħaġġel fid-dinja kollha. Madankollu, l-IA iġġib magħha wkoll sfidi ġodda għall-futur tax-xogħol, u tqajjem mistoqsijiet ta’ natura legali u etika.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Biex tindirizza dawn l-isfidi u sabiex isir l-aħjar użu mill-opportunitajiet offruti mill-IA, f’April 2018 il-Kummissjoni ppubblikat strateġija Ewropea</w:t>
      </w:r>
      <w:r>
        <w:rPr>
          <w:rStyle w:val="FootnoteReference"/>
          <w:rFonts w:ascii="Times New Roman" w:hAnsi="Times New Roman" w:cs="Times New Roman"/>
          <w:noProof/>
        </w:rPr>
        <w:footnoteReference w:id="1"/>
      </w:r>
      <w:r>
        <w:rPr>
          <w:rFonts w:ascii="Times New Roman" w:hAnsi="Times New Roman"/>
          <w:b/>
          <w:bCs/>
          <w:noProof/>
          <w:color w:val="000000" w:themeColor="text1"/>
          <w:sz w:val="24"/>
        </w:rPr>
        <w:t>.</w:t>
      </w:r>
      <w:r>
        <w:rPr>
          <w:rFonts w:ascii="Times New Roman" w:hAnsi="Times New Roman"/>
          <w:b/>
          <w:bCs/>
          <w:noProof/>
        </w:rPr>
        <w:t xml:space="preserve"> </w:t>
      </w:r>
      <w:r>
        <w:rPr>
          <w:rFonts w:ascii="Times New Roman" w:hAnsi="Times New Roman"/>
          <w:noProof/>
        </w:rPr>
        <w:t xml:space="preserve">L-istrateġija tqiegħed lill-persuni fiċ-ċentru tal-iżvilupp tal-IA — </w:t>
      </w:r>
      <w:r>
        <w:rPr>
          <w:rFonts w:ascii="Times New Roman" w:hAnsi="Times New Roman"/>
          <w:b/>
          <w:noProof/>
        </w:rPr>
        <w:t>IA iċċentrata fuq il-bniedem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</w:rPr>
        <w:t xml:space="preserve">Dan </w:t>
      </w:r>
      <w:r>
        <w:rPr>
          <w:rFonts w:ascii="Times New Roman" w:hAnsi="Times New Roman"/>
          <w:bCs/>
          <w:noProof/>
        </w:rPr>
        <w:t xml:space="preserve">huwa approċċ bi tliet fergħat li għandu l-għan li jagħti spinta lill-kapaċità teknoloġika u industrijali tal-UE u lill-adozzjoni tal-IA fl-ekonomija, li jħejji għal bidliet soċjoekonomiċi, u </w:t>
      </w:r>
      <w:r>
        <w:rPr>
          <w:rFonts w:ascii="Times New Roman" w:hAnsi="Times New Roman"/>
          <w:noProof/>
          <w:color w:val="000000" w:themeColor="text1"/>
        </w:rPr>
        <w:t>li jiżgura</w:t>
      </w:r>
      <w:r>
        <w:rPr>
          <w:rFonts w:ascii="Times New Roman" w:hAnsi="Times New Roman"/>
          <w:bCs/>
          <w:noProof/>
        </w:rPr>
        <w:t xml:space="preserve"> qafas etiku u legali xieraq.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Biex jitwasslu riżultati b’rabta mal-istrateġija tal-IA, 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il-Kummissjoni u l-Istati Membri ħadmu flimkien biex jiżviluppaw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jan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kkoordinat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dwar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l-IA</w:t>
      </w:r>
      <w:r>
        <w:rPr>
          <w:rStyle w:val="FootnoteReference"/>
          <w:rFonts w:ascii="Times New Roman" w:hAnsi="Times New Roman" w:cs="Times New Roman"/>
          <w:noProof/>
        </w:rPr>
        <w:footnoteReference w:id="2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, li ġie ppreżentat mill-Kummissjoni f’Diċembru 2018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bl-għan li jinħolqu sinerġiji, li tinġabar </w:t>
      </w:r>
      <w:r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data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— il-materja prima għal bosta applikazzjonijiet tal-IA — u li jiżdiedu l-investimenti konġunti.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L-għan huwa li titrawwem il-kooperazzjoni transfruntiera u li jiġu mobilizzati l-atturi kollha sabiex l-investimenti pubbliċi u privati jiżdiedu għal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mill-inqas 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>EUR 20 biljun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fis-sena tul l-għaxar snin li ġejjin</w:t>
      </w:r>
      <w:r>
        <w:rPr>
          <w:rStyle w:val="FootnoteReference"/>
          <w:rFonts w:ascii="Times New Roman" w:hAnsi="Times New Roman" w:cs="Times New Roman"/>
          <w:noProof/>
        </w:rPr>
        <w:footnoteReference w:id="3"/>
      </w:r>
      <w:r>
        <w:rPr>
          <w:rFonts w:ascii="Times New Roman" w:hAnsi="Times New Roman"/>
          <w:noProof/>
          <w:color w:val="000000" w:themeColor="text1"/>
          <w:sz w:val="24"/>
        </w:rPr>
        <w:t>.</w:t>
      </w:r>
      <w:r>
        <w:rPr>
          <w:rFonts w:ascii="Times New Roman" w:hAnsi="Times New Roman"/>
          <w:bCs/>
          <w:noProof/>
        </w:rPr>
        <w:t xml:space="preserve"> Il-Kummissjoni rduppjat l-investimenti tagħha fl-IA f’Orizzont 2020 u qed tippjana li tinvesti EUR 1 biljun fis-sena minn Orizzont Ewropa u l-Programm Ewropa Diġitali, l-aktar bħala appoġġ għal spazji komuni tad-</w:t>
      </w:r>
      <w:r>
        <w:rPr>
          <w:rFonts w:ascii="Times New Roman" w:hAnsi="Times New Roman"/>
          <w:bCs/>
          <w:i/>
          <w:noProof/>
        </w:rPr>
        <w:t>data</w:t>
      </w:r>
      <w:r>
        <w:rPr>
          <w:rFonts w:ascii="Times New Roman" w:hAnsi="Times New Roman"/>
          <w:bCs/>
          <w:noProof/>
        </w:rPr>
        <w:t xml:space="preserve"> fis-saħħa, it-trasport u l-manifattura, u faċilitajiet ta’ esperimentazzjoni kbar bħal sptarijiet u infrastrutturi intelliġenti għal vetturi awtomatizzati u aġenda strateġika ta’ riċerka. </w:t>
      </w:r>
      <w:r>
        <w:rPr>
          <w:rFonts w:ascii="Times New Roman" w:hAnsi="Times New Roman"/>
          <w:noProof/>
        </w:rPr>
        <w:t xml:space="preserve">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Biex timplimenta din l-aġenda komuni strateġika ta’ riċerka, innovazzjoni u skjerament il-Kummissjoni intensifikat </w:t>
      </w:r>
      <w:r>
        <w:rPr>
          <w:rFonts w:ascii="Times New Roman" w:hAnsi="Times New Roman"/>
          <w:b/>
          <w:noProof/>
        </w:rPr>
        <w:t>id-djalogu tagħha mal-partijiet ikkonċernati kollha rilevanti</w:t>
      </w:r>
      <w:r>
        <w:rPr>
          <w:rFonts w:ascii="Times New Roman" w:hAnsi="Times New Roman"/>
          <w:noProof/>
        </w:rPr>
        <w:t xml:space="preserve"> mill-industrija, mill-istituti ta’ riċerka u mill-awtoritajiet pubbliċi. Il-programm ġdid Ewropa Diġitali se jkun kruċjali wkoll sabiex l-IA issir disponibbli għal intrapriżi żgħar u ta’ daqs medju fl-Istati Membri kollha permezz ta’ ċentri ta’ innovazzjoni diġitali, faċilitajiet imsaħħa ta’ ttestjar u esperimentazzjoni, spazji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programmi ta’ taħriġ.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Filwaqt li jibni </w:t>
      </w:r>
      <w:r>
        <w:rPr>
          <w:rFonts w:ascii="Times New Roman" w:hAnsi="Times New Roman"/>
          <w:bCs/>
          <w:noProof/>
          <w:color w:val="000000" w:themeColor="text1"/>
        </w:rPr>
        <w:t>r-reputazzjoni</w:t>
      </w:r>
      <w:r>
        <w:rPr>
          <w:rFonts w:ascii="Times New Roman" w:hAnsi="Times New Roman"/>
          <w:bCs/>
          <w:noProof/>
        </w:rPr>
        <w:t xml:space="preserve"> tiegħu għal prodotti sikuri u ta’ kwalità għolja, l-approċċ etiku tal-Ewropa għall-IA isaħħaħ il-fiduċja </w:t>
      </w:r>
      <w:r>
        <w:rPr>
          <w:rFonts w:ascii="Times New Roman" w:hAnsi="Times New Roman"/>
          <w:bCs/>
          <w:noProof/>
          <w:color w:val="000000" w:themeColor="text1"/>
        </w:rPr>
        <w:t xml:space="preserve">taċ-ċittadini fl-iżvilupp diġitali u </w:t>
      </w:r>
      <w:r>
        <w:rPr>
          <w:rFonts w:ascii="Times New Roman" w:hAnsi="Times New Roman"/>
          <w:bCs/>
          <w:noProof/>
        </w:rPr>
        <w:t>jimmira li jibni vantaġġ kompetittiv għall-kumpaniji Ewropej tal-IA.</w:t>
      </w:r>
      <w:r>
        <w:rPr>
          <w:rFonts w:ascii="Times New Roman" w:hAnsi="Times New Roman"/>
          <w:noProof/>
          <w:szCs w:val="20"/>
        </w:rPr>
        <w:t xml:space="preserve"> L-għan ta’ din il-Komunikazzjoni huwa li titnieda fażi pilota komprensiva li tinvolvi lill-partijiet ikkonċernati kollha fuq l-aktar skala wiesgħa possibbli biex tiġi ttestjata l-implimentazzjoni prattika ta’ gwida etika għall-iżvilupp u l-użu tal-IA.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</w:p>
    <w:p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NIBNU L-FIDUĊJA FL-IA IĊĊENTRATA FUQ IL-BNIEDEM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Cs/>
          <w:noProof/>
        </w:rPr>
        <w:t xml:space="preserve">L-istrateġija Ewropea għall-IA u l-pjan ikkoordinat jisħqu b’mod ċar li </w:t>
      </w:r>
      <w:r>
        <w:rPr>
          <w:rFonts w:ascii="Times New Roman" w:hAnsi="Times New Roman"/>
          <w:b/>
          <w:bCs/>
          <w:noProof/>
        </w:rPr>
        <w:t>l-fiduċja hija prerekwiżit għall-iżgurar ta’ approċċ għall-IA iċċentrat fuq il-bniedem</w:t>
      </w:r>
      <w:r>
        <w:rPr>
          <w:rFonts w:ascii="Times New Roman" w:hAnsi="Times New Roman"/>
          <w:bCs/>
          <w:noProof/>
        </w:rPr>
        <w:t xml:space="preserve">: </w:t>
      </w:r>
      <w:r>
        <w:rPr>
          <w:rFonts w:ascii="Times New Roman" w:hAnsi="Times New Roman"/>
          <w:noProof/>
          <w:szCs w:val="20"/>
        </w:rPr>
        <w:t xml:space="preserve">L-IA mhix mira fiha nnifisha, iżda għodda li għandha sservi lin-nies bl-għan aħħari li żżid il-benesseri tal-bniedem. Biex jinkiseb dan l-għan, </w:t>
      </w:r>
      <w:r>
        <w:rPr>
          <w:rFonts w:ascii="Times New Roman" w:hAnsi="Times New Roman"/>
          <w:b/>
          <w:noProof/>
          <w:szCs w:val="20"/>
        </w:rPr>
        <w:t>għandha tiġi żgurata l-affidabbiltà tal-IA</w:t>
      </w:r>
      <w:r>
        <w:rPr>
          <w:rFonts w:ascii="Times New Roman" w:hAnsi="Times New Roman"/>
          <w:noProof/>
          <w:szCs w:val="20"/>
        </w:rPr>
        <w:t>. Il-valuri li fuqhom huma bbażati s-soċjetajiet tagħna jeħtieġ li jiġu integrati b’mod sħiħ fil-mod li bih tiżviluppa l-IA.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L-Unjoni hija bbażata fuq </w:t>
      </w:r>
      <w:r>
        <w:rPr>
          <w:rFonts w:ascii="Times New Roman" w:hAnsi="Times New Roman"/>
          <w:b/>
          <w:bCs/>
          <w:noProof/>
        </w:rPr>
        <w:t>il-valuri tar-rispett għad-dinjità tal-bniedem, il-libertà, id-demokrazija, l-ugwaljanza, l-istat tad-dritt u r-rispett għad-drittijiet tal-bniedem</w:t>
      </w:r>
      <w:r>
        <w:rPr>
          <w:rFonts w:ascii="Times New Roman" w:hAnsi="Times New Roman"/>
          <w:bCs/>
          <w:noProof/>
        </w:rPr>
        <w:t>, inklużi d-drittijiet ta’ persuni li jagħmlu parti minn minoranzi</w:t>
      </w:r>
      <w:r>
        <w:rPr>
          <w:rStyle w:val="FootnoteReference"/>
          <w:rFonts w:ascii="Times New Roman" w:hAnsi="Times New Roman" w:cs="Times New Roman"/>
          <w:bCs/>
          <w:noProof/>
        </w:rPr>
        <w:footnoteReference w:id="4"/>
      </w:r>
      <w:r>
        <w:rPr>
          <w:rFonts w:ascii="Times New Roman" w:hAnsi="Times New Roman"/>
          <w:bCs/>
          <w:noProof/>
        </w:rPr>
        <w:t>. Dawn il-valuri huma komuni għas-soċjetajiet tal-Istati Membri kollha fejn huma prevalenti l-pluraliżmu, in-nondiskriminazzjoni, it-tolleranza, il-ġustizzja, is-solidarjetà u l-ugwaljanza. Barra minn hekk, il-</w:t>
      </w:r>
      <w:r>
        <w:rPr>
          <w:rFonts w:ascii="Times New Roman" w:hAnsi="Times New Roman"/>
          <w:b/>
          <w:bCs/>
          <w:noProof/>
        </w:rPr>
        <w:t>Karta tad-Drittijiet Fundamentali tal-UE</w:t>
      </w:r>
      <w:r>
        <w:rPr>
          <w:rFonts w:ascii="Times New Roman" w:hAnsi="Times New Roman"/>
          <w:bCs/>
          <w:noProof/>
        </w:rPr>
        <w:t xml:space="preserve"> tiġbor flimkien – f’test wieħed – id-drittijiet personali, ċiviċi, politiċi, ekonomiċi u soċjali kollha li jgawdu minnhom in-nies fl-UE. 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L-UE għandha </w:t>
      </w:r>
      <w:r>
        <w:rPr>
          <w:rFonts w:ascii="Times New Roman" w:hAnsi="Times New Roman"/>
          <w:b/>
          <w:bCs/>
          <w:noProof/>
        </w:rPr>
        <w:t>qafas regolatorju b’saħħtu</w:t>
      </w:r>
      <w:r>
        <w:rPr>
          <w:rFonts w:ascii="Times New Roman" w:hAnsi="Times New Roman"/>
          <w:bCs/>
          <w:noProof/>
        </w:rPr>
        <w:t xml:space="preserve"> li se jistabbilixxi l-istandard globali għall-IA iċċentrata fuq il-bniedem. Ir-Regolament Ġenerali dwar il-Protezzjoni tad-</w:t>
      </w:r>
      <w:r>
        <w:rPr>
          <w:rFonts w:ascii="Times New Roman" w:hAnsi="Times New Roman"/>
          <w:bCs/>
          <w:i/>
          <w:noProof/>
        </w:rPr>
        <w:t>Data</w:t>
      </w:r>
      <w:r>
        <w:rPr>
          <w:rFonts w:ascii="Times New Roman" w:hAnsi="Times New Roman"/>
          <w:bCs/>
          <w:noProof/>
        </w:rPr>
        <w:t xml:space="preserve"> jiżgura standard għoli ta’ protezzjoni tad-</w:t>
      </w:r>
      <w:r>
        <w:rPr>
          <w:rFonts w:ascii="Times New Roman" w:hAnsi="Times New Roman"/>
          <w:bCs/>
          <w:i/>
          <w:noProof/>
        </w:rPr>
        <w:t>data</w:t>
      </w:r>
      <w:r>
        <w:rPr>
          <w:rFonts w:ascii="Times New Roman" w:hAnsi="Times New Roman"/>
          <w:bCs/>
          <w:noProof/>
        </w:rPr>
        <w:t xml:space="preserve"> personali, u jirrikjedi l-implimentazzjoni ta’ miżuri biex tkun żgurata l-protezzjoni tad-</w:t>
      </w:r>
      <w:r>
        <w:rPr>
          <w:rFonts w:ascii="Times New Roman" w:hAnsi="Times New Roman"/>
          <w:bCs/>
          <w:i/>
          <w:noProof/>
        </w:rPr>
        <w:t xml:space="preserve">data </w:t>
      </w:r>
      <w:r>
        <w:rPr>
          <w:rFonts w:ascii="Times New Roman" w:hAnsi="Times New Roman"/>
          <w:bCs/>
          <w:noProof/>
        </w:rPr>
        <w:t>mid-disinn u b’mod awtomatiku</w:t>
      </w:r>
      <w:r>
        <w:rPr>
          <w:rStyle w:val="FootnoteReference"/>
          <w:rFonts w:ascii="Times New Roman" w:hAnsi="Times New Roman" w:cs="Times New Roman"/>
          <w:bCs/>
          <w:noProof/>
        </w:rPr>
        <w:footnoteReference w:id="5"/>
      </w:r>
      <w:r>
        <w:rPr>
          <w:rFonts w:ascii="Times New Roman" w:hAnsi="Times New Roman"/>
          <w:bCs/>
          <w:noProof/>
        </w:rPr>
        <w:t xml:space="preserve">. </w:t>
      </w:r>
      <w:r>
        <w:rPr>
          <w:rFonts w:ascii="Times New Roman" w:hAnsi="Times New Roman"/>
          <w:noProof/>
          <w:sz w:val="24"/>
        </w:rPr>
        <w:t xml:space="preserve">Ir-Regolament dwar il-Fluss Liberu ta’ </w:t>
      </w:r>
      <w:r>
        <w:rPr>
          <w:rFonts w:ascii="Times New Roman" w:hAnsi="Times New Roman"/>
          <w:i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mhux Personali jneħħi l-ostakoli għall-moviment liberu ta’ </w:t>
      </w:r>
      <w:r>
        <w:rPr>
          <w:rFonts w:ascii="Times New Roman" w:hAnsi="Times New Roman"/>
          <w:i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mhux personali u jiżgura l-ipproċessar tal-kategoriji kollha ta’ </w:t>
      </w:r>
      <w:r>
        <w:rPr>
          <w:rFonts w:ascii="Times New Roman" w:hAnsi="Times New Roman"/>
          <w:i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fi kwalunkwe post fl-Ewropa</w:t>
      </w:r>
      <w:r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bCs/>
          <w:noProof/>
        </w:rPr>
        <w:t>L-Att dwar iċ-Ċibersigurtà li ġie adottat dan l-aħħar se jgħin biex tissaħħaħ il-fiduċja fid-dinja online, u r-Regolament dwar il-Privatezza Elettronika propost</w:t>
      </w:r>
      <w:r>
        <w:rPr>
          <w:rStyle w:val="FootnoteReference"/>
          <w:rFonts w:ascii="Times New Roman" w:hAnsi="Times New Roman" w:cs="Times New Roman"/>
          <w:bCs/>
          <w:noProof/>
        </w:rPr>
        <w:footnoteReference w:id="6"/>
      </w:r>
      <w:r>
        <w:rPr>
          <w:rFonts w:ascii="Times New Roman" w:hAnsi="Times New Roman"/>
          <w:bCs/>
          <w:noProof/>
        </w:rPr>
        <w:t xml:space="preserve"> ukoll jimmira għal dan l-għan.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Madankollu, l-IA iġġib magħha sfidi ġodda minħabba li tippermetti li l-magni “jitgħallmu” u jieħdu u jimplimentaw deċiżjonijiet mingħajr intervenzjoni umana. Fi żmien qasir, dan it-tip ta’ funzjonalità se jsir standard f’diversi tipi ta’ oġġetti u servizzi, minn smartphones għal karozzi awtomatizzati, robots u applikazzjonijiet online. Minkejja dan, deċiżjonijiet li jittieħdu minn algoritmi jistgħu jirriżultaw minn </w:t>
      </w:r>
      <w:r>
        <w:rPr>
          <w:rFonts w:ascii="Times New Roman" w:hAnsi="Times New Roman"/>
          <w:bCs/>
          <w:i/>
          <w:iCs/>
          <w:noProof/>
        </w:rPr>
        <w:t>data</w:t>
      </w:r>
      <w:r>
        <w:rPr>
          <w:rFonts w:ascii="Times New Roman" w:hAnsi="Times New Roman"/>
          <w:bCs/>
          <w:noProof/>
        </w:rPr>
        <w:t xml:space="preserve"> li ma tkunx kompluta, u li għaldaqstant ma tkunx affidabbli, jew jiġu mbagħbsa waqt attakki ċibernetiċi, jew ikunu influwenzati minn preġudizzji jew sempliċiment ikunu żbaljati. Għaldaqstant, l-applikazzjoni mingħajr ħsieb tat-teknoloġija waqt li tkun għadha qed tiżviluppa twassal għal riżultati problematiċi kif ukoll għal eżitazzjoni miċ-ċittadini biex jaċċettawha jew jużawha.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Minflok, it-teknoloġija tal-IA għandha tiġi żviluppata b’tali mod li tqiegħed lill-persuni fiċ-ċentru tagħha, biex b’hekk tkun denja tal-fiduċja tal-pubbliku. Dan jimplika li l-applikazzjonijiet tal-IA mhux biss għandhom ikunu konsistenti mal-liġi, iżda għandhom isegwu wkoll prinċipji etiċi u jiżguraw li l-implimentazzjonijiet tagħhom jevitaw ħsara mhux intenzjonata. Id-diversità f’termini ta’ sess, razza jew oriġini etnika, reliġjon jew twemmin, diżabilità u età għandha tiġi żgurata f’kull stadju tal-iżvilupp tal-IA. L-applikazzjonijiet tal-IA għandhom jagħtu s-setgħa liċ-ċittadini u jirrispettaw id-drittijiet fundamentali tagħhom. Dawn għandhom jimmiraw li jtejbu l-ħiliet tan-nies, mhux jissostitwixxuhom, filwaqt li jiffaċilitaw ukoll l-aċċess mill-persuni b’diżabilitajiet.</w:t>
      </w:r>
      <w:r>
        <w:rPr>
          <w:rFonts w:ascii="Times New Roman" w:hAnsi="Times New Roman"/>
          <w:noProof/>
        </w:rPr>
        <w:t xml:space="preserve"> 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Għalhekk, hemm bżonn ta’ </w:t>
      </w:r>
      <w:r>
        <w:rPr>
          <w:rFonts w:ascii="Times New Roman" w:hAnsi="Times New Roman"/>
          <w:b/>
          <w:noProof/>
        </w:rPr>
        <w:t>linji gwida dwar l-etika</w:t>
      </w:r>
      <w:r>
        <w:rPr>
          <w:rFonts w:ascii="Times New Roman" w:hAnsi="Times New Roman"/>
          <w:bCs/>
          <w:noProof/>
        </w:rPr>
        <w:t xml:space="preserve"> li jibnu fuq il-qafas regolatorju eżistenti, u li għandhom jiġu applikati mill-iżviluppaturi, mill-fornituri u mill-utenti tal-IA fis-suq intern, sabiex jiġu stabbiliti kondizzjonijiet ekwivalenti ta’ kompetizzjoni etiċi fl-Istati Membri kollha. Din hi r-raġuni għalfejn il-Kummissjoni waqqfet </w:t>
      </w:r>
      <w:r>
        <w:rPr>
          <w:rFonts w:ascii="Times New Roman" w:hAnsi="Times New Roman"/>
          <w:b/>
          <w:noProof/>
        </w:rPr>
        <w:t>grupp ta’ esperti ta’ livell għoli dwar l-IA</w:t>
      </w:r>
      <w:r>
        <w:rPr>
          <w:rStyle w:val="FootnoteReference"/>
          <w:rFonts w:ascii="Times New Roman" w:hAnsi="Times New Roman" w:cs="Times New Roman"/>
          <w:b/>
          <w:noProof/>
        </w:rPr>
        <w:footnoteReference w:id="7"/>
      </w:r>
      <w:r>
        <w:rPr>
          <w:rFonts w:ascii="Times New Roman" w:hAnsi="Times New Roman"/>
          <w:bCs/>
          <w:noProof/>
        </w:rPr>
        <w:t xml:space="preserve"> li jirrapreżenta varjetà wiesgħa ta’ partijiet ikkonċernati u inkarigatu biex jabbozza l-linji gwida dwar l-etika fl-IA u jħejji sett ta’ rakkomandazzjonijiet għal politika aktar wiesgħa dwar l-IA. Fl-istess ħin, l-</w:t>
      </w:r>
      <w:r>
        <w:rPr>
          <w:rFonts w:ascii="Times New Roman" w:hAnsi="Times New Roman"/>
          <w:b/>
          <w:noProof/>
        </w:rPr>
        <w:t>Alleanza Ewropea tal-IA</w:t>
      </w:r>
      <w:r>
        <w:rPr>
          <w:rStyle w:val="FootnoteReference"/>
          <w:rFonts w:ascii="Times New Roman" w:hAnsi="Times New Roman" w:cs="Times New Roman"/>
          <w:noProof/>
        </w:rPr>
        <w:footnoteReference w:id="8"/>
      </w:r>
      <w:r>
        <w:rPr>
          <w:rFonts w:ascii="Times New Roman" w:hAnsi="Times New Roman"/>
          <w:bCs/>
          <w:noProof/>
        </w:rPr>
        <w:t>, pjattaforma miftuħa li tinkludi diversi partijiet ikkonċernati b’aktar minn 2 700 membru, twaqqfet biex tipprovdi input aktar wiesa’ għall-ħidma tal-grupp ta’ esperti ta’ livell għoli dwar l-IA.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Il-grupp ta’ esperti ta’ livell għoli dwar l-IA ippubblika l-ewwel abbozz tal-linji gwida dwar l-etika f’Diċembru 2018.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Wara 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konsultazzjoni mal-partijiet ikkonċernati </w:t>
      </w:r>
      <w:r>
        <w:rPr>
          <w:rStyle w:val="FootnoteReference"/>
          <w:rFonts w:ascii="Times New Roman" w:hAnsi="Times New Roman" w:cs="Times New Roman"/>
          <w:noProof/>
        </w:rPr>
        <w:footnoteReference w:id="9"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laqgħat ma’ rappreżentanti minn Stati Membri</w:t>
      </w:r>
      <w:r>
        <w:rPr>
          <w:rStyle w:val="FootnoteReference"/>
          <w:rFonts w:ascii="Times New Roman" w:hAnsi="Times New Roman" w:cs="Times New Roman"/>
          <w:noProof/>
        </w:rPr>
        <w:footnoteReference w:id="10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, il-grupp ta’ esperti dwar l-IA ippreżenta dokument rivedut lill-Kummissjoni f’Marzu 2019.</w:t>
      </w:r>
      <w:r>
        <w:rPr>
          <w:rFonts w:ascii="Times New Roman" w:hAnsi="Times New Roman"/>
          <w:bCs/>
          <w:noProof/>
        </w:rPr>
        <w:t xml:space="preserve"> Fil-kummenti tagħhom s’issa, b’mod ġenerali l-partijiet ikkonċernati laqgħu n-natura prattika tal-linji gwida u l-gwida konkreta li joffru lill-iżviluppaturi, il-fornituri u lill-utenti tal-IA rigward kif jistgħu jiżguraw l-affidabbiltà.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>
      <w:pPr>
        <w:spacing w:after="24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2.1. Linji gwida għal IA affidabbli abbozzati mill-grupp ta’ esperti ta’ livell għoli dwar l-IA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Il-linji gwida abbozzati mill-grupp ta’ esperti ta’ livell għoli dwar l-IA, li għalihom tirreferi din il-Komunikazzjoni</w:t>
      </w:r>
      <w:r>
        <w:rPr>
          <w:rStyle w:val="FootnoteReference"/>
          <w:rFonts w:ascii="Times New Roman" w:eastAsia="Times New Roman" w:hAnsi="Times New Roman" w:cs="Times New Roman"/>
          <w:noProof/>
          <w:szCs w:val="20"/>
        </w:rPr>
        <w:footnoteReference w:id="11"/>
      </w:r>
      <w:r>
        <w:rPr>
          <w:rFonts w:ascii="Times New Roman" w:hAnsi="Times New Roman"/>
          <w:noProof/>
          <w:szCs w:val="20"/>
        </w:rPr>
        <w:t>, b’mod partikolari jibnu fuq il-ħidma li saret mill-Grupp Ewropew dwar l-Etika fix-Xjenza u t-Teknoloġiji l-Ġodda u l-Aġenzija tal-Unjoni Ewropea għad-Drittijiet Fundamentali.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Il-linji gwida jistabbilixxu li sabiex tinkiseb “IA affidabbli”, huma meħtieġa tliet komponenti: (1) din għandha tikkonforma mal-liġi, (2) għandha tissodisfa l-prinċipji etiċi u (3) għandha tkun robusta.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color w:val="00000A"/>
          <w:szCs w:val="20"/>
        </w:rPr>
        <w:t>Abbażi ta’ dawn it-tliet komponenti u l-valuri Ewropej stabbiliti fit-taqsima 2,</w:t>
      </w:r>
      <w:r>
        <w:rPr>
          <w:rFonts w:ascii="Times New Roman" w:hAnsi="Times New Roman"/>
          <w:noProof/>
          <w:szCs w:val="20"/>
        </w:rPr>
        <w:t xml:space="preserve"> il-linji gwida jidentifikaw seba’ rekwiżiti prinċipali</w:t>
      </w:r>
      <w:r>
        <w:rPr>
          <w:rFonts w:ascii="Times New Roman" w:hAnsi="Times New Roman"/>
          <w:noProof/>
          <w:color w:val="00000A"/>
          <w:szCs w:val="20"/>
        </w:rPr>
        <w:t xml:space="preserve"> li l-applikazzjonijiet tal-IA għandhom jirrispettaw biex jitqiesu bħala affidabbli.</w:t>
      </w:r>
      <w:r>
        <w:rPr>
          <w:rFonts w:ascii="Times New Roman" w:hAnsi="Times New Roman"/>
          <w:noProof/>
          <w:szCs w:val="20"/>
        </w:rPr>
        <w:t xml:space="preserve"> </w:t>
      </w:r>
      <w:r>
        <w:rPr>
          <w:rFonts w:ascii="Times New Roman" w:hAnsi="Times New Roman"/>
          <w:noProof/>
          <w:color w:val="00000A"/>
          <w:szCs w:val="20"/>
        </w:rPr>
        <w:t xml:space="preserve">Il-linji gwida jinkludu wkoll </w:t>
      </w:r>
      <w:r>
        <w:rPr>
          <w:rFonts w:ascii="Times New Roman" w:hAnsi="Times New Roman"/>
          <w:noProof/>
          <w:szCs w:val="20"/>
        </w:rPr>
        <w:t>lista ta’ valutazzjoni li tgħin fil-kontroll dwar jekk dawn ir-rekwiżiti humiex issodisfati.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Is-seba’ rekwiżiti prinċipali huma:</w:t>
      </w:r>
    </w:p>
    <w:p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 xml:space="preserve">Intervent uman u sorveljanza umana </w:t>
      </w:r>
    </w:p>
    <w:p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Robustezza u sigurtà teknika</w:t>
      </w:r>
    </w:p>
    <w:p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Privatezza u governanza tad-</w:t>
      </w:r>
      <w:r>
        <w:rPr>
          <w:rFonts w:ascii="Times New Roman" w:hAnsi="Times New Roman"/>
          <w:i/>
          <w:noProof/>
          <w:szCs w:val="20"/>
        </w:rPr>
        <w:t>data</w:t>
      </w:r>
      <w:r>
        <w:rPr>
          <w:rFonts w:ascii="Times New Roman" w:hAnsi="Times New Roman"/>
          <w:noProof/>
          <w:szCs w:val="20"/>
        </w:rPr>
        <w:t xml:space="preserve"> </w:t>
      </w:r>
    </w:p>
    <w:p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 xml:space="preserve">Trasparenza </w:t>
      </w:r>
    </w:p>
    <w:p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Diversità, nondiskriminazzjoni u ġustizzja</w:t>
      </w:r>
    </w:p>
    <w:p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Benesseri tas-soċjetà u tal-ambjent</w:t>
      </w:r>
    </w:p>
    <w:p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Akkontabilità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Filwaqt li dawn ir-rekwiżiti huma maħsuba biex japplikaw għas-sistemi kollha ta’ IA f’sitwazzjonijiet u f’industriji differenti, jenħtieġ li jiġi kkunsidrat il-kuntest speċifiku li fih jiġu applikati għall-implimentazzjoni konkreta u proporzjonata tagħhom, b’approċċ ibbażat fuq l-impatt. Bħala eżempju, applikazzjoni tal-IA li tissuġġerixxi ktieb mhux adattat għall-qari huwa ħafna inqas perikoluż minn dijanjożi żbaljata ta’ kanċer, u għalhekk tista’ tkun suġġetta għal superviżjoni inqas stretta.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Cs w:val="20"/>
        </w:rPr>
        <w:t>Il-linji gwida abbozzati mill-grupp ta’ esperti ta’ livell għoli dwar l-IA mhumiex vinkolanti u għaldaqstant ma joħolqu l-ebda obbligu legali ġdid.</w:t>
      </w:r>
      <w:r>
        <w:rPr>
          <w:rFonts w:ascii="Times New Roman" w:hAnsi="Times New Roman"/>
          <w:noProof/>
        </w:rPr>
        <w:t xml:space="preserve"> Madankollu, bosta dispożizzjonijiet eżistenti (u li spiss huma speċifiċi għall-użu jew għad-dominju) tad-dritt tal-Unjoni diġà jirriflettu wieħed jew diversi minn dawn ir-rekwiżiti prinċipali, pereżempju regoli dwar is-sikurezza,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personali, il-privatezza jew il-protezzjoni ambjentali.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Il-Kummissjoni tilqa’ l-ħidma tal-grupp ta’ esperti ta’ livell għoli dwar l-IA u tqis li din hija ta’ valur għat-tfassil ta’ politika tagħha.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Cs w:val="20"/>
        </w:rPr>
        <w:t xml:space="preserve">2.2. Rekwiżiti prinċipali għal IA affidabbli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color w:val="000000" w:themeColor="text1"/>
          <w:szCs w:val="20"/>
        </w:rPr>
        <w:t>Il-</w:t>
      </w:r>
      <w:r>
        <w:rPr>
          <w:rFonts w:ascii="Times New Roman" w:hAnsi="Times New Roman"/>
          <w:b/>
          <w:noProof/>
          <w:szCs w:val="20"/>
        </w:rPr>
        <w:t>Kummissjoni tappoġġa r-rekwiżiti prinċipali li ġejjin għal IA affidabbli</w:t>
      </w:r>
      <w:r>
        <w:rPr>
          <w:rFonts w:ascii="Times New Roman" w:hAnsi="Times New Roman"/>
          <w:noProof/>
          <w:szCs w:val="20"/>
        </w:rPr>
        <w:t>, li huma bbażati fuq valuri Ewropej. Tħeġġeġ lill-partijiet ikkonċernati biex japplikaw ir-rekwiżiti u biex jittestjaw il-lista ta’ valutazzjoni li timplimentahom sabiex jinħoloq ambjent xieraq ta’ fiduċja għall-iżvilupp u l-użu b’suċċess tal-IA. Il-Kummissjoni tilqa’ kummenti minn partijiet ikkonċernati biex tivvaluta jekk din il-lista ta’ valutazzjoni pprovduta fil-linji gwida teħtieġx aktar aġġustamenti.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>
      <w:pPr>
        <w:numPr>
          <w:ilvl w:val="0"/>
          <w:numId w:val="8"/>
        </w:numPr>
        <w:spacing w:before="120" w:after="120" w:line="240" w:lineRule="auto"/>
        <w:ind w:left="851" w:hanging="491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u w:val="single"/>
        </w:rPr>
        <w:t>Intervent uman u sorveljanza umana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Is-sistemi ta’ IA għandhom jappoġġaw lill-individwi biex jagħmlu għażliet aħjar u aktar informati skont il-miri tagħhom. Dawn għandhom jaġixxu bħala strumenti għal soċjetà ta’ suċċess u ekwitabbli billi jappoġġaw l-intervent uman u </w:t>
      </w:r>
      <w:r>
        <w:rPr>
          <w:rFonts w:ascii="Times New Roman" w:hAnsi="Times New Roman"/>
          <w:b/>
          <w:noProof/>
        </w:rPr>
        <w:t>d-drittijiet fundamentali</w:t>
      </w:r>
      <w:r>
        <w:rPr>
          <w:rFonts w:ascii="Times New Roman" w:hAnsi="Times New Roman"/>
          <w:noProof/>
        </w:rPr>
        <w:t>, u mhux inaqqsu, jillimitaw jew jiggwidaw ħażin l-awtonomija umana. Il-</w:t>
      </w:r>
      <w:r>
        <w:rPr>
          <w:rFonts w:ascii="Times New Roman" w:hAnsi="Times New Roman"/>
          <w:b/>
          <w:noProof/>
        </w:rPr>
        <w:t>benesseri ġenerali tal-utent</w:t>
      </w:r>
      <w:r>
        <w:rPr>
          <w:rFonts w:ascii="Times New Roman" w:hAnsi="Times New Roman"/>
          <w:noProof/>
        </w:rPr>
        <w:t xml:space="preserve"> għandu jingħata prijorità ewlenija fil-funzjonalità tas-sistema. 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/>
        <w:jc w:val="both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Is-sorveljanza umana tgħin biex tiżgura li sistema ta’ IA ma tippreġudikax l-awtonomija umana jew tikkawża effetti negattivi oħra. Skont is-sistema speċifika bbażata fuq l-IA u l-qasam tal-applikazzjoni tagħha, għandhom jiġu żgurati l-gradi xierqa ta’ </w:t>
      </w:r>
      <w:r>
        <w:rPr>
          <w:rFonts w:ascii="Times New Roman" w:hAnsi="Times New Roman"/>
          <w:b/>
          <w:noProof/>
        </w:rPr>
        <w:t>miżuri ta’ kontroll</w:t>
      </w:r>
      <w:r>
        <w:rPr>
          <w:rFonts w:ascii="Times New Roman" w:hAnsi="Times New Roman"/>
          <w:noProof/>
        </w:rPr>
        <w:t>, inkluż l-adattabbiltà, l-akkuratezza u l-ispjegabbiltà tas-sistemi bbażati fuq l-IA</w:t>
      </w:r>
      <w:r>
        <w:rPr>
          <w:rStyle w:val="FootnoteReference"/>
          <w:rFonts w:ascii="Times New Roman" w:eastAsiaTheme="minorHAnsi" w:hAnsi="Times New Roman" w:cs="Times New Roman"/>
          <w:noProof/>
        </w:rPr>
        <w:footnoteReference w:id="12"/>
      </w:r>
      <w:r>
        <w:rPr>
          <w:rFonts w:ascii="Times New Roman" w:hAnsi="Times New Roman"/>
          <w:noProof/>
        </w:rPr>
        <w:t>. Is-</w:t>
      </w:r>
      <w:r>
        <w:rPr>
          <w:rFonts w:ascii="Times New Roman" w:hAnsi="Times New Roman"/>
          <w:b/>
          <w:noProof/>
        </w:rPr>
        <w:t>sorveljanza</w:t>
      </w:r>
      <w:r>
        <w:rPr>
          <w:rFonts w:ascii="Times New Roman" w:hAnsi="Times New Roman"/>
          <w:noProof/>
        </w:rPr>
        <w:t xml:space="preserve"> tista’ tinkiseb permezz ta’ mekkaniżmi ta’ governanza bħall-iżgurar ta’ approċċ human-in-the-loop, human-on-the-loop, jew human-in-command.</w:t>
      </w:r>
      <w:r>
        <w:rPr>
          <w:rFonts w:ascii="Times New Roman" w:hAnsi="Times New Roman" w:cs="Times New Roman"/>
          <w:noProof/>
          <w:vertAlign w:val="superscript"/>
        </w:rPr>
        <w:footnoteReference w:id="13"/>
      </w:r>
      <w:r>
        <w:rPr>
          <w:rFonts w:ascii="Times New Roman" w:hAnsi="Times New Roman"/>
          <w:noProof/>
        </w:rPr>
        <w:t xml:space="preserve"> Għandu jiġi żgurat li l-awtoritajiet pubbliċi jkollhom il-kapaċità li jeżerċitaw is-setgħat ta’ sorveljanza tagħhom skont il-mandati tagħhom. Meta l-fatturi kollha jkunu ugwali, anqas ma tkun tista’ tiġi eżerċitata sorveljanza umana fuq sistema ta’ IA, aktar ikunu meħtieġa ttestjar estensiv u governanza aktar stretta. 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numPr>
          <w:ilvl w:val="0"/>
          <w:numId w:val="8"/>
        </w:numPr>
        <w:spacing w:before="120" w:after="120" w:line="240" w:lineRule="auto"/>
        <w:ind w:left="851" w:hanging="491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u w:val="single"/>
        </w:rPr>
        <w:t>Robustezza u sigurtà teknika</w:t>
      </w:r>
    </w:p>
    <w:p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IA affidabbli teħtieġ algoritmi biex tkun sikura, affidabbli u robusta biżżejjed biex titratta żbalji jew inkonsistenzi matul il-fażijiet kollha taċ-ċiklu tal-ħajja tas-sistema ta’ IA, u biex tindirizza riżultati żbaljati. Is-sistemi ta’ IA għandhom ikunu </w:t>
      </w:r>
      <w:r>
        <w:rPr>
          <w:rFonts w:ascii="Times New Roman" w:hAnsi="Times New Roman"/>
          <w:b/>
          <w:noProof/>
        </w:rPr>
        <w:t>affidabbli</w:t>
      </w:r>
      <w:r>
        <w:rPr>
          <w:rFonts w:ascii="Times New Roman" w:hAnsi="Times New Roman"/>
          <w:noProof/>
        </w:rPr>
        <w:t xml:space="preserve">, u sikuri biżżejjed biex ikunu </w:t>
      </w:r>
      <w:r>
        <w:rPr>
          <w:rFonts w:ascii="Times New Roman" w:hAnsi="Times New Roman"/>
          <w:b/>
          <w:noProof/>
        </w:rPr>
        <w:t xml:space="preserve">reżiljenti </w:t>
      </w:r>
      <w:r>
        <w:rPr>
          <w:rFonts w:ascii="Times New Roman" w:hAnsi="Times New Roman"/>
          <w:noProof/>
        </w:rPr>
        <w:t>kemm kontra</w:t>
      </w:r>
      <w:r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noProof/>
        </w:rPr>
        <w:t xml:space="preserve">attakki evidenti kif ukoll kontra attentati aktar sottili mmirati lejn il-manipolazzjoni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jew tal-algoritmi nfushom, filwaqt li għandhom jiżguraw ukoll li jkun hemm </w:t>
      </w:r>
      <w:r>
        <w:rPr>
          <w:rFonts w:ascii="Times New Roman" w:hAnsi="Times New Roman"/>
          <w:b/>
          <w:noProof/>
        </w:rPr>
        <w:t>pjan ta’ riserva</w:t>
      </w:r>
      <w:r>
        <w:rPr>
          <w:rFonts w:ascii="Times New Roman" w:hAnsi="Times New Roman"/>
          <w:noProof/>
        </w:rPr>
        <w:t xml:space="preserve"> f’każ ta’ problemi. Id-deċiżjonijiet tagħhom għandhom ikunu </w:t>
      </w:r>
      <w:r>
        <w:rPr>
          <w:rFonts w:ascii="Times New Roman" w:hAnsi="Times New Roman"/>
          <w:b/>
          <w:noProof/>
        </w:rPr>
        <w:t>akkurati</w:t>
      </w:r>
      <w:r>
        <w:rPr>
          <w:rFonts w:ascii="Times New Roman" w:hAnsi="Times New Roman"/>
          <w:noProof/>
        </w:rPr>
        <w:t xml:space="preserve">, jew tal-anqas għandhom jirriflettu b’mod korrett il-livell ta’ akkuratezza tagħhom, filwaqt li r-riżultati tagħhom għandhom ikunu </w:t>
      </w:r>
      <w:r>
        <w:rPr>
          <w:rFonts w:ascii="Times New Roman" w:hAnsi="Times New Roman"/>
          <w:b/>
          <w:noProof/>
        </w:rPr>
        <w:t>riproduċibbli</w:t>
      </w:r>
      <w:r>
        <w:rPr>
          <w:rFonts w:ascii="Times New Roman" w:hAnsi="Times New Roman"/>
          <w:noProof/>
        </w:rPr>
        <w:t xml:space="preserve">. </w:t>
      </w:r>
    </w:p>
    <w:p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Barra minn hekk, is-sistemi ta’ IA għandhom jintegraw mekkaniżmi ta’ sikurezza u ta’ sigurtà mid-disinn, sabiex ikun żgurat li huma </w:t>
      </w:r>
      <w:r>
        <w:rPr>
          <w:rFonts w:ascii="Times New Roman" w:hAnsi="Times New Roman"/>
          <w:b/>
          <w:noProof/>
        </w:rPr>
        <w:t>sikuri b’mod li jista’ jkun verifikat</w:t>
      </w:r>
      <w:r>
        <w:rPr>
          <w:rFonts w:ascii="Times New Roman" w:hAnsi="Times New Roman"/>
          <w:noProof/>
        </w:rPr>
        <w:t xml:space="preserve"> f’kull pass, b’attenzjoni partikolari għas-sigurtà fiżika u mentali ta’ dawk kollha kkonċernati. Dan jinkludi l-minimizzazzjoni u, fejn possibbli, ir-riversibbiltà ta’ konsegwenzi mhux intenzjonati jew ta’ żbalji fl-operazzjoni tas-sistema. Għandhom jiddaħħlu fis-seħħ proċessi biex jiġu ċċarati u vvalutati riskji potenzjali assoċjati mal-użu tas-sistemi ta’ IA f’diversi oqsma ta’ applikazzjoni.</w:t>
      </w:r>
    </w:p>
    <w:p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numPr>
          <w:ilvl w:val="0"/>
          <w:numId w:val="8"/>
        </w:numPr>
        <w:spacing w:before="120" w:after="120" w:line="240" w:lineRule="auto"/>
        <w:ind w:left="851" w:hanging="491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u w:val="single"/>
        </w:rPr>
        <w:t>Privatezza u Governanza tad-</w:t>
      </w:r>
      <w:r>
        <w:rPr>
          <w:rFonts w:ascii="Times New Roman" w:hAnsi="Times New Roman"/>
          <w:bCs/>
          <w:i/>
          <w:noProof/>
          <w:u w:val="single"/>
        </w:rPr>
        <w:t>Data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Il-privatezza u l-</w:t>
      </w:r>
      <w:r>
        <w:rPr>
          <w:rFonts w:ascii="Times New Roman" w:hAnsi="Times New Roman"/>
          <w:b/>
          <w:noProof/>
        </w:rPr>
        <w:t>protezzjoni tad-</w:t>
      </w:r>
      <w:r>
        <w:rPr>
          <w:rFonts w:ascii="Times New Roman" w:hAnsi="Times New Roman"/>
          <w:b/>
          <w:i/>
          <w:noProof/>
        </w:rPr>
        <w:t>data</w:t>
      </w:r>
      <w:r>
        <w:rPr>
          <w:rFonts w:ascii="Times New Roman" w:hAnsi="Times New Roman"/>
          <w:noProof/>
        </w:rPr>
        <w:t xml:space="preserve"> għandhom ikunu garantiti fl-</w:t>
      </w:r>
      <w:r>
        <w:rPr>
          <w:rFonts w:ascii="Times New Roman" w:hAnsi="Times New Roman"/>
          <w:b/>
          <w:noProof/>
        </w:rPr>
        <w:t>istadji kollha</w:t>
      </w:r>
      <w:r>
        <w:rPr>
          <w:rFonts w:ascii="Times New Roman" w:hAnsi="Times New Roman"/>
          <w:noProof/>
        </w:rPr>
        <w:t xml:space="preserve"> taċ-ċiklu tal-ħajja tas-sistema ta’ IA. Rekords diġitali ta’ mġiba umana jistgħu jippermettu li s-sistemi ta’ IA jiddeduċu mhux biss il-preferenzi, l-età u s-sess ta’ individwu, iżda wkoll l-orjentazzjoni sesswali, u l-opinjonijiet reliġjużi jew politiċi tiegħu. Biex l-individwi jkunu jistgħu jafdaw l-ipproċessar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għandu jiġi żgurat li jkollhom kontroll sħiħ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tagħhom stess, u li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miġbura dwarhom ma tintużax biex issir diskriminazzjoni kontrihom.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Apparti l-protezzjoni tal-privatezza 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personali, għandhom jiġu ssodisfati rekwiżiti biex ikunu żgurati sistemi ta’ IA ta’ kwalità għolja. Il-kwalità tas-settijiet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jintużaw hija tassew importanti għall-prestazzjoni tas-sistemi ta’ IA. Meta tinġabar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, din tista’ tirrifletti preġudizzji soċjetali, jew jista’ jkun fiha impreċiżjonijiet u żbalji. Dan irid jiġi indirizzat qabel ma jsir it-taħriġ ta’ sistema ta’ IA abbażi ta’ kwalunkwe sett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partikolari.  Barra minn hekk, l-</w:t>
      </w:r>
      <w:r>
        <w:rPr>
          <w:rFonts w:ascii="Times New Roman" w:hAnsi="Times New Roman"/>
          <w:b/>
          <w:noProof/>
        </w:rPr>
        <w:t>integrità</w:t>
      </w:r>
      <w:r>
        <w:rPr>
          <w:rFonts w:ascii="Times New Roman" w:hAnsi="Times New Roman"/>
          <w:noProof/>
        </w:rPr>
        <w:t xml:space="preserve">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trid tkun żgurata. Proċessi u settijiet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għandhom ikunu ttestjati u dokumentati f’kull pass, bħall-ippjanar, it-taħriġ, l-ittestjar u l-iskjerament. Dan għandu japplika wkoll għal sistemi ta’ IA li ma jkunux ġew żviluppati fuq il-post u li jkunu nkisbu minn sorsi oħra. Fl-aħħar nett, l-</w:t>
      </w:r>
      <w:r>
        <w:rPr>
          <w:rFonts w:ascii="Times New Roman" w:hAnsi="Times New Roman"/>
          <w:b/>
          <w:noProof/>
        </w:rPr>
        <w:t>aċċess</w:t>
      </w:r>
      <w:r>
        <w:rPr>
          <w:rFonts w:ascii="Times New Roman" w:hAnsi="Times New Roman"/>
          <w:noProof/>
        </w:rPr>
        <w:t xml:space="preserve">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għandu jkun irregolat u kkontrollat b’mod adegwat.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numPr>
          <w:ilvl w:val="0"/>
          <w:numId w:val="8"/>
        </w:numPr>
        <w:spacing w:before="120" w:after="120" w:line="240" w:lineRule="auto"/>
        <w:ind w:left="851" w:hanging="491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u w:val="single"/>
        </w:rPr>
        <w:t xml:space="preserve">Trasparenza </w:t>
      </w:r>
    </w:p>
    <w:p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It-</w:t>
      </w:r>
      <w:r>
        <w:rPr>
          <w:rFonts w:ascii="Times New Roman" w:hAnsi="Times New Roman"/>
          <w:b/>
          <w:noProof/>
        </w:rPr>
        <w:t>traċċabbiltà</w:t>
      </w:r>
      <w:r>
        <w:rPr>
          <w:rFonts w:ascii="Times New Roman" w:hAnsi="Times New Roman"/>
          <w:noProof/>
        </w:rPr>
        <w:t xml:space="preserve"> tas-sistemi ta’ IA għandha tkun żgurata; huwa importanti li jiġu rreġistrati u dokumentati kemm id-deċiżjonijiet li jsiru mis-sistemi, kif ukoll il-proċess sħiħ (inkluż deskrizzjoni tal-ġbir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t-tikkettar, u deskrizzjoni tal-algoritmu li jintuża) li jkunu wasslu għad-deċiżjonijiet. B’rabta ma’ dan, għandu jingħata rendikont tal-</w:t>
      </w:r>
      <w:r>
        <w:rPr>
          <w:rFonts w:ascii="Times New Roman" w:hAnsi="Times New Roman"/>
          <w:b/>
          <w:noProof/>
        </w:rPr>
        <w:t>ispjegabbiltà</w:t>
      </w:r>
      <w:r>
        <w:rPr>
          <w:rFonts w:ascii="Times New Roman" w:hAnsi="Times New Roman"/>
          <w:noProof/>
        </w:rPr>
        <w:t xml:space="preserve"> tal-proċess algoritmiku tat-teħid ta’ deċiżjonijiet, adattat skont il-persuni involuti, safejn dan ikun possibbli. Għandha ssir riċerka kontinwa biex jiġu żviluppati mekkaniżmi ta’ spjegabbiltà. Barra minn hekk, għandhom ikunu disponibbli spjegazzjonijiet tal-grad safejn sistema ta’ IA tinfluwenza u tifforma l-proċess organizzazzjonali għat-teħid ta’ deċiżjonijiet, l-għażliet ta’ disinn tas-sistema, kif ukoll ir-raġunament għall-iskjerament tagħha (biex b’hekk tiġi żgurata mhux biss it-trasparenza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tas-sistema, iżda wkoll it-trasparenza tal-mudell kummerċjali). </w:t>
      </w:r>
    </w:p>
    <w:p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Fl-aħħar nett, huwa importanti li l-kapaċitajiet u l-limitazzjonijiet tas-sistema ta’ IA jiġu </w:t>
      </w:r>
      <w:r>
        <w:rPr>
          <w:rFonts w:ascii="Times New Roman" w:hAnsi="Times New Roman"/>
          <w:b/>
          <w:noProof/>
        </w:rPr>
        <w:t>kkomunikati</w:t>
      </w:r>
      <w:r>
        <w:rPr>
          <w:rFonts w:ascii="Times New Roman" w:hAnsi="Times New Roman"/>
          <w:noProof/>
        </w:rPr>
        <w:t xml:space="preserve"> lill-partijiet ikkonċernati differenti involuti b’mod xieraq skont il-każ. Barra minn hekk, is-sistemi ta’ IA għandhom ikunu jistgħu jiġu identifikati bħala tali, biex ikun żgurat li l-utenti jkunu jafu li qed jinteraġixxu ma’ sistema ta’ IA u min huwa responsabbli għaliha. </w:t>
      </w:r>
    </w:p>
    <w:p>
      <w:pPr>
        <w:spacing w:after="0" w:line="240" w:lineRule="auto"/>
        <w:ind w:left="51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numPr>
          <w:ilvl w:val="0"/>
          <w:numId w:val="8"/>
        </w:numPr>
        <w:spacing w:before="120" w:after="120" w:line="240" w:lineRule="auto"/>
        <w:ind w:left="851" w:hanging="491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u w:val="single"/>
        </w:rPr>
        <w:t>Diversità, nondiskriminazzjoni u ġustizzja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Settijiet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jintużaw minn sistemi ta’ IA (kemm għal taħriġ kif ukoll għal operazzjoni) jistgħu jbatu mill-inklużjoni ta’ preġudizzju storiku mhux intenzjonat, nuqqas ta’ kompletezza u mudelli ta’ governanza ħażina. Il-kontinwazzjoni ta’ preġudizzji ta’ dan it-tip tista’ twassal għal diskriminazzjoni (in)diretta. Tista’ tirriżulta wkoll ħsara mill-esplojtazzjoni intenzjonali ta’ preġudizzji (tal-konsumatur) jew minn kompetizzjoni inġusta. Barra dan, il-mod li bih jiġu żviluppati sistemi ta’ IA (pereżempju l-mod li bih jinkiteb il-kodiċi tal-programmazzjoni ta’ algoritmu) jista’ wkoll ibati minn preġudizzju. Tali tħassib għandu jiġi indirizzat sa mill-bidu tal-iżvilupp tas-sistema.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Il-ħolqien ta’ </w:t>
      </w:r>
      <w:r>
        <w:rPr>
          <w:rFonts w:ascii="Times New Roman" w:hAnsi="Times New Roman"/>
          <w:b/>
          <w:noProof/>
        </w:rPr>
        <w:t>timijiet ta’ disinn varjati</w:t>
      </w:r>
      <w:r>
        <w:rPr>
          <w:rFonts w:ascii="Times New Roman" w:hAnsi="Times New Roman"/>
          <w:noProof/>
        </w:rPr>
        <w:t xml:space="preserve"> u t-twaqqif ta’ mekkaniżmi li jiżguraw il-</w:t>
      </w:r>
      <w:r>
        <w:rPr>
          <w:rFonts w:ascii="Times New Roman" w:hAnsi="Times New Roman"/>
          <w:b/>
          <w:noProof/>
        </w:rPr>
        <w:t xml:space="preserve">parteċipazzjoni </w:t>
      </w:r>
      <w:r>
        <w:rPr>
          <w:rFonts w:ascii="Times New Roman" w:hAnsi="Times New Roman"/>
          <w:noProof/>
        </w:rPr>
        <w:t xml:space="preserve">fl-iżvilupp tal-IA, b’mod partikolari dik taċ-ċittadini, jistgħu wkoll jgħinu biex jiġi indirizzat dan it-tħassib. </w:t>
      </w:r>
      <w:r>
        <w:rPr>
          <w:rFonts w:ascii="Times New Roman" w:hAnsi="Times New Roman"/>
          <w:noProof/>
          <w:sz w:val="24"/>
        </w:rPr>
        <w:t>Ta’ min jirrakkomanda li jiġu kkonsultati l-partijiet ikkonċernati li jistgħu jiġu affettwati direttament jew indirettament mis-sistema matul iċ-ċiklu tal-ħajja tagħha</w:t>
      </w:r>
      <w:r>
        <w:rPr>
          <w:rFonts w:ascii="Times New Roman" w:hAnsi="Times New Roman"/>
          <w:noProof/>
          <w:color w:val="000000"/>
          <w:sz w:val="20"/>
          <w:szCs w:val="20"/>
        </w:rPr>
        <w:t>.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</w:rPr>
        <w:t xml:space="preserve">Is-sistemi ta’ IA għandhom iqisu l-varjetà kollha tal-ħiliet, tal-kapaċitajiet u tar-rekwiżiti umani, u għandhom jiżguraw l-aċċessibbiltà permezz ta’ approċċ ta’ disinn universali bħala parti minn sforz immirat lejn il-ksib ta’ aċċess ugwali għal persuni b’diżabilità. 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numPr>
          <w:ilvl w:val="0"/>
          <w:numId w:val="8"/>
        </w:numPr>
        <w:spacing w:before="120" w:after="120" w:line="240" w:lineRule="auto"/>
        <w:ind w:left="851" w:hanging="491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u w:val="single"/>
        </w:rPr>
        <w:t>Benesseri tas-soċjetà u tal-ambjent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Sabiex l-IA tkun affidabbli, jenħtieġ li jiġi kkunsidrat l-impatt tagħha fuq l-</w:t>
      </w:r>
      <w:r>
        <w:rPr>
          <w:rFonts w:ascii="Times New Roman" w:hAnsi="Times New Roman"/>
          <w:b/>
          <w:noProof/>
        </w:rPr>
        <w:t>ambjent u fuq kreaturi senzjenti oħra</w:t>
      </w:r>
      <w:r>
        <w:rPr>
          <w:rFonts w:ascii="Times New Roman" w:hAnsi="Times New Roman"/>
          <w:noProof/>
        </w:rPr>
        <w:t>. Idealment, il-bnedmin kollha, inkluż il-ġenerazzjonijiet futuri, għandhom jibbenefikaw mill-bijodiversità u minn ambjent abitabbli. Għalhekk għandhom jiġu mħeġġa s-sostenibbiltà u r-</w:t>
      </w:r>
      <w:r>
        <w:rPr>
          <w:rFonts w:ascii="Times New Roman" w:hAnsi="Times New Roman"/>
          <w:b/>
          <w:noProof/>
        </w:rPr>
        <w:t>responsabbiltà ekoloġika</w:t>
      </w:r>
      <w:r>
        <w:rPr>
          <w:rFonts w:ascii="Times New Roman" w:hAnsi="Times New Roman"/>
          <w:noProof/>
        </w:rPr>
        <w:t xml:space="preserve"> tas-sistemi ta’ IA. Dan japplika wkoll għal soluzzjonijiet tal-IA li jindirizzaw oqsma ta’ tħassib globali, bħal pereżempju l-Għanijiet ta’ Żvilupp Sostenibbli tan-NU. 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Barra minn hekk, l-impatt ta’ sistemi ta’ IA għandu jitqies mhux biss minn perspettiva individwali, iżda wkoll mill-perspettiva tas-</w:t>
      </w:r>
      <w:r>
        <w:rPr>
          <w:rFonts w:ascii="Times New Roman" w:hAnsi="Times New Roman"/>
          <w:b/>
          <w:noProof/>
        </w:rPr>
        <w:t>soċjetà kollha kemm hi</w:t>
      </w:r>
      <w:r>
        <w:rPr>
          <w:rFonts w:ascii="Times New Roman" w:hAnsi="Times New Roman"/>
          <w:noProof/>
        </w:rPr>
        <w:t>. L-użu ta’ sistemi ta’ IA għandu jiġi kkunsidrat b’attenzjoni partikolari, l-aktar f’sitwazzjonijiet relatati mal-proċess demokratiku, inkluża l-formazzjoni tal-opinjoni, fit-teħid ta’ deċiżjonijiet politiċi jew f’kuntesti elettorali. Barra minn hekk, għandu jitqies ukoll l-</w:t>
      </w:r>
      <w:r>
        <w:rPr>
          <w:rFonts w:ascii="Times New Roman" w:hAnsi="Times New Roman"/>
          <w:b/>
          <w:noProof/>
        </w:rPr>
        <w:t>impatt soċjali</w:t>
      </w:r>
      <w:r>
        <w:rPr>
          <w:rFonts w:ascii="Times New Roman" w:hAnsi="Times New Roman"/>
          <w:noProof/>
        </w:rPr>
        <w:t xml:space="preserve"> tal-IA. Waqt li sistemi ta’ IA jistgħu jintużaw għat-titjib tal-ħiliet soċjali, dawn jistgħu jikkontribwixxu wkoll għad-deterjorament tagħhom.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numPr>
          <w:ilvl w:val="0"/>
          <w:numId w:val="8"/>
        </w:numPr>
        <w:spacing w:before="120" w:after="120" w:line="240" w:lineRule="auto"/>
        <w:ind w:left="851" w:hanging="491"/>
        <w:jc w:val="both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u w:val="single"/>
        </w:rPr>
        <w:t>Akkontabilità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Jenħtieġ li jiddaħħlu fis-seħħ mekkaniżmi li jiżguraw responsabbiltà u akkontabilità għas-sistemi ta’ IA u għar-riżultati tagħhom, kemm qabel kif ukoll wara l-implimentazzjoni tagħhom. Il-</w:t>
      </w:r>
      <w:r>
        <w:rPr>
          <w:rFonts w:ascii="Times New Roman" w:hAnsi="Times New Roman"/>
          <w:b/>
          <w:bCs/>
          <w:noProof/>
        </w:rPr>
        <w:t>kapaċità ta’ awditjar</w:t>
      </w:r>
      <w:r>
        <w:rPr>
          <w:rFonts w:ascii="Times New Roman" w:hAnsi="Times New Roman"/>
          <w:bCs/>
          <w:noProof/>
        </w:rPr>
        <w:t xml:space="preserve"> tas-sistemi ta’ IA hija kruċjali f’dan ir-rigward, billi l-valutazzjoni ta’ sistemi ta’ IA minn awdituri interni u esterni u d-disponibbiltà ta’ dawn ir-rapporti ta’ valutazzjoni jikkontribwixxu b’mod rilevanti ħafna għall-affidabbiltà tat-teknoloġija. Jenħtieġ li tiġi żgurata kapaċità ta’ awditjar esterna, speċjalment f’applikazzjonijiet li jaffetwaw id-drittijiet fundamentali, inklużi applikazzjonijiet li huma kritiċi għas-sikurezza. </w:t>
      </w:r>
    </w:p>
    <w:p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Impatti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/>
          <w:bCs/>
          <w:noProof/>
        </w:rPr>
        <w:t>negattivi potenzjali</w:t>
      </w:r>
      <w:r>
        <w:rPr>
          <w:rFonts w:ascii="Times New Roman" w:hAnsi="Times New Roman"/>
          <w:bCs/>
          <w:noProof/>
        </w:rPr>
        <w:t xml:space="preserve"> tas-sistemi ta’ IA għandhom jiġu identifikati, valutati, dokumentati u minimizzati. L-użu ta’ valutazzjonijiet tal-impatt jiffaċilita dan il-proċess. Jenħtieġ li dawn il-valutazzjonijiet ikunu proporzjonati skont ir-riskji li jippreżentaw is-sistemi ta’ IA. Jenħtieġ li </w:t>
      </w:r>
      <w:r>
        <w:rPr>
          <w:rFonts w:ascii="Times New Roman" w:hAnsi="Times New Roman"/>
          <w:b/>
          <w:bCs/>
          <w:noProof/>
        </w:rPr>
        <w:t>kompromessi (trade-offs)</w:t>
      </w:r>
      <w:r>
        <w:rPr>
          <w:rFonts w:ascii="Times New Roman" w:hAnsi="Times New Roman"/>
          <w:bCs/>
          <w:noProof/>
        </w:rPr>
        <w:t xml:space="preserve"> bejn ir-rekwiżiti – li spiss ma jistgħux jiġu evitati – jiġu indirizzati b’mod razzjonali u metodoloġiku, u li jingħata rendikont tagħhom. Fl-aħħar nett, meta jseħħ impatt negattiv inġust, għandhom ikunu previsti mekkaniżmi aċċessibbli biex ikun żgurat </w:t>
      </w:r>
      <w:r>
        <w:rPr>
          <w:rFonts w:ascii="Times New Roman" w:hAnsi="Times New Roman"/>
          <w:b/>
          <w:bCs/>
          <w:noProof/>
        </w:rPr>
        <w:t>rimedju adegwat</w:t>
      </w:r>
      <w:r>
        <w:rPr>
          <w:rFonts w:ascii="Times New Roman" w:hAnsi="Times New Roman"/>
          <w:bCs/>
          <w:noProof/>
        </w:rPr>
        <w:t>.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</w:p>
    <w:p>
      <w:pPr>
        <w:spacing w:before="120" w:after="12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/>
          <w:b/>
          <w:noProof/>
          <w:szCs w:val="20"/>
        </w:rPr>
        <w:t>2.3. Il-passi li jmiss: fażi pilota li tinvolvi lill-partijiet ikkonċernati kollha fuq l-aktar skala wiesgħa possibbli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L-ewwel pass importanti lejn linji gwida għal IA etika huwa li jintlaħaq kunsens dwar dawn ir-rekwiżiti prinċipali għas-sistemi ta’ IA. Bħala l-pass li jmiss, il-Kummissjoni se tiżgura li din il-gwida tkun tista’ tiġi ttestjata u implimentata fil-prattika.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Għal dan il-għan, il-Kummissjoni issa se tniedi fażi pilota mmirata, iddisinjata biex jinkisbu kummenti strutturati mill-partijiet ikkonċernati. Dan l-eżerċizzju se jiffoka b’mod partikolari fuq il-lista ta’ valutazzjoni li l-grupp ta’ esperti ta’ livell għoli ħejja għal kull wieħed mir-rekwiżiti prinċipali.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Din il-ħidma se jkollha żewġ fergħat: (i) fażi pilota għal-linji gwida li tinvolvi lill-partijiet ikkonċernati li jiżviluppaw jew jużaw l-IA, inkluż amministrazzjonijiet pubbliċi, u (ii) konsultazzjoni kontinwa mal-partijiet ikkonċernati u proċess biex titqajjem il-kuxjenza fl-Istati Membri u fost gruppi differenti ta’ partijiet ikkonċernati, inkluż is-setturi tal-industrija u tas-servizzi:</w:t>
      </w:r>
    </w:p>
    <w:p>
      <w:pPr>
        <w:numPr>
          <w:ilvl w:val="0"/>
          <w:numId w:val="3"/>
        </w:numPr>
        <w:spacing w:after="120" w:line="240" w:lineRule="auto"/>
        <w:ind w:left="851" w:hanging="501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 xml:space="preserve">Minn Ġunju tal-2019, il-partijiet ikkonċernati kollha u l-individwi se jkunu mistiedna jittestjaw il-lista ta’ valutazzjoni u jipprovdu l-kummenti tagħhom dwar kif din tista’ tittejjeb. Barra minn hekk, il-grupp ta’ esperti ta’ livell għoli se jwaqqaf eżami mill-ġdid fil-fond mal-partijiet ikkonċernati mis-settur privat u pubbliku biex tinġabar informazzjoni aktar dettaljata dwar kif il-linji gwida jistgħu jiġu implimentati f’medda wiesgħa ta’ oqsma ta’ applikazzjoni. Il-kummenti kollha dwar il-prattiċità u l-fattibbiltà tal-linji gwida se jkunu valutati sat-tmiem tal-2019.   </w:t>
      </w:r>
    </w:p>
    <w:p>
      <w:pPr>
        <w:numPr>
          <w:ilvl w:val="0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 xml:space="preserve">B’mod parallel, il-Kummissjoni se torganizza aktar attivitajiet ta’ informazzjoni, fejn ir-rappreżentanti tal-grupp ta’ esperti ta’ livell għoli dwar l-IA se jingħataw l-opportunità biex jippreżentaw il-linji gwida lill-partijiet ikkonċernati rilevanti fl-Istati Membri, inkluż is-setturi tal-industrija u tas-servizz, u li jipprovdu lill-dawn il-partijiet ikkonċernati b’opportunità addizzjonali biex jikkummentaw dwar u jikkontribwixxu għal-linji gwida dwar l-IA.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Il-Kummissjoni se tqis il-ħidma tal-grupp ta’ esperti dwar l-etika għal sewqan konness u awtomatizzat</w:t>
      </w:r>
      <w:r>
        <w:rPr>
          <w:rStyle w:val="FootnoteReference"/>
          <w:rFonts w:ascii="Times New Roman" w:eastAsia="Times New Roman" w:hAnsi="Times New Roman" w:cs="Times New Roman"/>
          <w:noProof/>
          <w:szCs w:val="20"/>
        </w:rPr>
        <w:footnoteReference w:id="14"/>
      </w:r>
      <w:r>
        <w:rPr>
          <w:rFonts w:ascii="Times New Roman" w:hAnsi="Times New Roman"/>
          <w:noProof/>
          <w:szCs w:val="20"/>
        </w:rPr>
        <w:t xml:space="preserve"> u se taħdem flimkien ma’ proġetti ta’ riċerka ffinanzjati mill-UE u ma’ sħubiji pubbliċi-privati rilevanti fuq l-implimentazzjoni tar-rekwiżiti prinċipali</w:t>
      </w:r>
      <w:r>
        <w:rPr>
          <w:rStyle w:val="FootnoteReference"/>
          <w:rFonts w:ascii="Times New Roman" w:eastAsia="Times New Roman" w:hAnsi="Times New Roman" w:cs="Times New Roman"/>
          <w:noProof/>
          <w:szCs w:val="20"/>
        </w:rPr>
        <w:footnoteReference w:id="15"/>
      </w:r>
      <w:r>
        <w:rPr>
          <w:rFonts w:ascii="Times New Roman" w:hAnsi="Times New Roman"/>
          <w:noProof/>
          <w:szCs w:val="20"/>
        </w:rPr>
        <w:t xml:space="preserve">. Pereżempju, il-Kummissjoni se tappoġġa, f’koordinazzjoni mal-Istati Membri, l-iżvilupp ta’ bażi ta’ </w:t>
      </w:r>
      <w:r>
        <w:rPr>
          <w:rFonts w:ascii="Times New Roman" w:hAnsi="Times New Roman"/>
          <w:i/>
          <w:noProof/>
          <w:szCs w:val="20"/>
        </w:rPr>
        <w:t>data</w:t>
      </w:r>
      <w:r>
        <w:rPr>
          <w:rFonts w:ascii="Times New Roman" w:hAnsi="Times New Roman"/>
          <w:noProof/>
          <w:szCs w:val="20"/>
        </w:rPr>
        <w:t xml:space="preserve"> komuni ta’ immaġni tas-saħħa inizjalment dedikata għall-aktar forom komuni ta’ kanċer, sabiex l-algoritmi jkunu jistgħu jiġu mħarrġa biex jagħtu dijanjożi tas-sintomi b’akkuratezza għolja. Bl-istess mod, il-kooperazzjoni tal-Kummissjoni u tal-Istati Membri tippermetti numru dejjem akbar ta’ kurituri transkonfinali għall-ittestjar ta’ vetturi konnessi u awtomatizzati. Il-linji gwida għandhom jiġu applikati f’dawn il-proġetti u jiġu ttestjati, u r-riżultati għandhom jikkontribwixxu għall-proċess ta’ valutazzjoni.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Il-fażi pilota u l-konsultazzjoni mal-partijiet ikkonċernati se jibbenefikaw mill-kontribut tal-Alleanza tal-UE dwar l-IA u AI4EU, il-pjattaforma tal-IA fuq talba. Il-proġett AI4EU</w:t>
      </w:r>
      <w:r>
        <w:rPr>
          <w:rStyle w:val="FootnoteReference"/>
          <w:rFonts w:ascii="Times New Roman" w:eastAsia="Times New Roman" w:hAnsi="Times New Roman" w:cs="Times New Roman"/>
          <w:noProof/>
          <w:szCs w:val="20"/>
        </w:rPr>
        <w:footnoteReference w:id="16"/>
      </w:r>
      <w:r>
        <w:rPr>
          <w:rFonts w:ascii="Times New Roman" w:hAnsi="Times New Roman"/>
          <w:noProof/>
          <w:szCs w:val="20"/>
        </w:rPr>
        <w:t xml:space="preserve">, li ġie mniedi f’Jannar 2019, jiġbor flimkien algoritmi, għodod, settijiet ta’ </w:t>
      </w:r>
      <w:r>
        <w:rPr>
          <w:rFonts w:ascii="Times New Roman" w:hAnsi="Times New Roman"/>
          <w:i/>
          <w:iCs/>
          <w:noProof/>
          <w:szCs w:val="20"/>
        </w:rPr>
        <w:t>data</w:t>
      </w:r>
      <w:r>
        <w:rPr>
          <w:rFonts w:ascii="Times New Roman" w:hAnsi="Times New Roman"/>
          <w:noProof/>
          <w:szCs w:val="20"/>
        </w:rPr>
        <w:t xml:space="preserve"> u servizzi li jgħinu lill-organizzazzjonijiet, b’mod partikolari lill-intrapriżi żgħar u ta’ daqs medju, jimplimentaw soluzzjonijiet ta’ IA. L-Alleanza Ewropea dwar l-IA, flimkien ma’ AI4EU, se jkomplu jimmobilizzaw l-ekosistema tal-IA fl-Ewropa kollha, bil-ħsieb li jimplimentaw il-linji gwida dwar l-etika fl-IA bħala parti minn fażi pilota, u jippromwovu l-IA iċċentrata fuq il-bniedem.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noProof/>
          <w:szCs w:val="20"/>
        </w:rPr>
        <w:t xml:space="preserve">Fil-bidu tal-2020, </w:t>
      </w:r>
      <w:r>
        <w:rPr>
          <w:rFonts w:ascii="Times New Roman" w:hAnsi="Times New Roman"/>
          <w:noProof/>
          <w:szCs w:val="20"/>
        </w:rPr>
        <w:t>filwaqt li jibni fuq il-valutazzjoni tal-kummenti li jkunu waslu matul il-fażi pilota,</w:t>
      </w:r>
      <w:r>
        <w:rPr>
          <w:rFonts w:ascii="Times New Roman" w:hAnsi="Times New Roman"/>
          <w:b/>
          <w:noProof/>
          <w:szCs w:val="20"/>
        </w:rPr>
        <w:t xml:space="preserve"> il-grupp ta’ esperti ta’ livell għoli dwar l-IA se jwettaq eżami mill-ġdid tal-linji gwida u jaġġornahom</w:t>
      </w:r>
      <w:r>
        <w:rPr>
          <w:rFonts w:ascii="Times New Roman" w:hAnsi="Times New Roman"/>
          <w:noProof/>
          <w:szCs w:val="20"/>
        </w:rPr>
        <w:t xml:space="preserve">. Abbażi tal-eżami mill-ġdid u tal-esperjenza miksuba, </w:t>
      </w:r>
      <w:r>
        <w:rPr>
          <w:rFonts w:ascii="Times New Roman" w:hAnsi="Times New Roman"/>
          <w:b/>
          <w:noProof/>
          <w:szCs w:val="20"/>
        </w:rPr>
        <w:t xml:space="preserve">il-Kummissjoni se tevalwa r-riżultati u tipproponi kwalunkwe passi li jmiss.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>IA etika hija proposta b’vantaġġi reċiproċi. Il-garanzija tar-rispett għall-valuri u d-drittijiet fundamentali mhix essenzjali biss fiha nnifisha, iżda tiffaċilita wkoll l-aċċettazzjoni mill-pubbliku u żżid il-vantaġġ kompetittiv għall-kumpaniji tal-IA Ewropej billi twaqqaf marka ta’ IA iċċentrata fuq il-bniedem u affidabbli, magħrufa għal prodotti etiċi u sikuri. Dan jibni b’mod aktar ġenerali fuq ir-reputazzjoni qawwija ta’ kumpaniji Ewropej li jipprovdu prodotti bla periklu u siguri ta’ kwalità għolja. Il-fażi pilota se tgħin biex tiżgura li l-prodotti tal-IA jissodisfaw din il-wegħda.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>
      <w:pPr>
        <w:spacing w:after="24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2.4. Lejn linji gwida dwar l-etika internazzjonali fl-IA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Diskussjonijiet internazzjonali dwar l-etika tal-IA ġew intensifikati wara li l-Presidenza tal-Ġappun tal-G7 poġġiet dan is-suġġett bħala prijorità fuq l-aġenda fl-2016. Minħabba l-interkonnessjonijiet internazzjonali tal-iżvilupp tal-IA f’termini taċ-ċirkolazzjoni tad-</w:t>
      </w:r>
      <w:r>
        <w:rPr>
          <w:rFonts w:ascii="Times New Roman" w:hAnsi="Times New Roman"/>
          <w:bCs/>
          <w:i/>
          <w:iCs/>
          <w:noProof/>
        </w:rPr>
        <w:t>data</w:t>
      </w:r>
      <w:r>
        <w:rPr>
          <w:rFonts w:ascii="Times New Roman" w:hAnsi="Times New Roman"/>
          <w:bCs/>
          <w:noProof/>
        </w:rPr>
        <w:t xml:space="preserve">, tal-iżvilupp algoritmiku u tal-investimenti fir-riċerka, </w:t>
      </w:r>
      <w:r>
        <w:rPr>
          <w:rFonts w:ascii="Times New Roman" w:hAnsi="Times New Roman"/>
          <w:b/>
          <w:bCs/>
          <w:noProof/>
        </w:rPr>
        <w:t>il-Kummissjoni se tkompli bl-isforzi tagħha biex twassal l-approċċ tal-Unjoni fuq livell globali u tibni kunsens dwar IA iċċentrata fuq il-bniedem</w:t>
      </w:r>
      <w:r>
        <w:rPr>
          <w:rStyle w:val="FootnoteReference"/>
          <w:rFonts w:ascii="Times New Roman" w:hAnsi="Times New Roman" w:cs="Times New Roman"/>
          <w:b/>
          <w:bCs/>
          <w:noProof/>
        </w:rPr>
        <w:footnoteReference w:id="17"/>
      </w:r>
      <w:r>
        <w:rPr>
          <w:rFonts w:ascii="Times New Roman" w:hAnsi="Times New Roman"/>
          <w:bCs/>
          <w:noProof/>
        </w:rPr>
        <w:t>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Il-ħidma li saret mill-grupp ta’ esperti ta’ livell għoli dwar l-IA, u b’mod aktar speċifiku l-lista ta’ rekwiżiti u l-proċess ta’ involviment mal-partijiet ikkonċernati, tipprovdi lill-Kummissjoni b’input addizzjonali ta’ valur biex tikkontribwixxi għad-diskussjonijiet internazzjonali. L-Unjoni Ewropea jista’ jkollha rwol ta’ tmexxija fl-iżvilupp ta’ linji gwida tal-IA internazzjonali, u jekk ikun possibbli, fl-iżvilupp ta’ mekkaniżmu ta’ valutazzjoni relatat.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Għaldaqstant, il-Kummissjoni: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Se ssaħħaħ il-kooperazzjoni ma’ sħab li jikkondividu l-istess ħsieb tagħha</w:t>
      </w:r>
      <w:r>
        <w:rPr>
          <w:rFonts w:ascii="Times New Roman" w:hAnsi="Times New Roman"/>
          <w:bCs/>
          <w:noProof/>
        </w:rPr>
        <w:t>:</w:t>
      </w:r>
    </w:p>
    <w:p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billi tesplora l-punt sa fejn tista’ tintlaħaq konverġenza ma’ abbozzi ta’ linji gwida dwar l-etika ta’ pajjiżi terzi (pereżempju l-Ġappun, il-Kanada, Singapore) u, billi tibni fuq dan il-grupp ta’ pajjiżi li jikkondividu l-istess ħsieb tagħha, tħejji ruħha għal diskussjoni aktar wiesgħa, appoġġata minn azzjonijiet li jimplimentaw l-Istrument ta’ Sħubija għall-kooperazzjoni ma’ Pajjiżi Terzi</w:t>
      </w:r>
      <w:r>
        <w:rPr>
          <w:rStyle w:val="FootnoteReference"/>
          <w:rFonts w:ascii="Times New Roman" w:hAnsi="Times New Roman" w:cs="Times New Roman"/>
          <w:noProof/>
        </w:rPr>
        <w:footnoteReference w:id="18"/>
      </w:r>
      <w:r>
        <w:rPr>
          <w:rFonts w:ascii="Times New Roman" w:hAnsi="Times New Roman"/>
          <w:bCs/>
          <w:noProof/>
        </w:rPr>
        <w:t>; kif ukoll</w:t>
      </w:r>
    </w:p>
    <w:p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billi tesplora kif kumpaniji minn pajjiżi li mhumiex fl-UE u organizzazzjonijiet internazzjonali jistgħu jikkontribwixxu għall-“fażi pilota” tal-linji gwida permezz ta’ ttestjar u validazzjoni.</w:t>
      </w:r>
    </w:p>
    <w:p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Se jibqa’ jkollha rwol attiv f’diskussjonijiet u inizjattivi internazzjonali</w:t>
      </w:r>
      <w:r>
        <w:rPr>
          <w:rFonts w:ascii="Times New Roman" w:hAnsi="Times New Roman"/>
          <w:bCs/>
          <w:noProof/>
        </w:rPr>
        <w:t>:</w:t>
      </w:r>
    </w:p>
    <w:p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billi tikkontribwixxi għal fora multilaterali bħall-G7 u l-G20;</w:t>
      </w:r>
    </w:p>
    <w:p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billi tipparteċipa fi djalogi ma’ pajjiżi li mhumiex fl-UE u torganizza laqgħat bilaterali u multilaterali biex jinbena kunsens dwar IA iċċentrata fuq il-bniedem;</w:t>
      </w:r>
    </w:p>
    <w:p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billi tikkontribwixxi għal attivitajiet ta’ standardizzazzjoni rilevanti f’organizzazzjonijiet għall-iżvilupp ta’ standards internazzjonali biex tippromwovi din il-viżjoni; kif ukoll</w:t>
      </w:r>
    </w:p>
    <w:p>
      <w:pPr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billi ssaħħaħ il-ġbir u t-tqassim ta’ sejbiet dwar politika pubblika, billi taħdem b’mod konġunt ma’ organizzazzjonijiet internazzjonali rilevanti.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KONKLUŻJONIJIET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L-UE hija mibnija fuq sett ta’ valuri fundamentali u bniet qafas regolatorju qawwi u bbilanċjat fuq dawn il-pedamenti. Filwaqt li wieħed jista’ jibni fuq dan il-qafas regolatorju eżistenti, hemm ħtieġa għal linji gwida dwar l-etika għall-iżvilupp u l-użu tal-IA minħabba li din għadha kunċett ġdid u minħabba l-isfidi speċifiċi li din it-teknoloġija ġġib magħha. Huwa biss jekk l-IA tiġi żviluppata u tintuża b’mod li jirrispetta l-valuri etiċi kondiviżi b’mod wiesgħa, li tkun tista’ titqies bħala affidabbli.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B’kunsiderazzjoni għal dan l-objettiv, il-Kummissjoni tilqa’ l-informazzjoni mħejjija mill-grupp ta’ esperti ta’ livell għoli dwar l-IA. Abbażi tar-rekwiżiti prinċipali sabiex l-IA titqies bħala affidabbli, il-Kummissjoni issa se tniedi fażi pilota mmirata biex tiżgura li l-linji gwida etiċi li jirriżultaw għall-iżvilupp u l-użu tal-IA ikunu jistgħu jiġu implimentati fil-prattika. Il-Kummissjoni se taħdem ukoll biex tfassal kunsens soċjetali wiesa’ dwar IA iċċentrata fuq il-bniedem, inkluż mal-partijiet ikkonċernati involuti kollha u s-sħab internazzjonali tagħna.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>Id-dimensjoni etika tal-IA mhix karatteristika ta’ lussu jew komponent addizzjonali: din għandha tkun parti integrali fl-iżvilupp tal-IA. Meta nimpenjaw ruħna biex niksbu IA iċċentrata fuq il-bniedem ibbażata fuq il-fiduċja, inkunu qed nipproteġu r-rispett għall-valuri soċjetali ċentrali tagħna u nfasslu trademark distintiva għall-Ewropa u għall-industrija tagħha bħala mexxejja fl-IA avvanzata li tista’ tiġi fdata madwar id-dinja.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Biex tiżgura l-iżvilupp etiku tal-IA fl-Ewropa fil-kuntest aktar wiesa’ tiegħu, il-Kummissjoni qed tfittex approċċ komprensiv li jinkludi b’mod partikolari l-linji ta’ azzjoni li ġejjin li għandhom jiġu implimentati sat-tielet kwart tal-2019: </w:t>
      </w:r>
    </w:p>
    <w:p>
      <w:pPr>
        <w:pStyle w:val="ListParagraph"/>
        <w:numPr>
          <w:ilvl w:val="0"/>
          <w:numId w:val="12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 xml:space="preserve">Se tibda billi tniedi sett ta’ </w:t>
      </w:r>
      <w:r>
        <w:rPr>
          <w:rFonts w:ascii="Times New Roman" w:hAnsi="Times New Roman"/>
          <w:b/>
          <w:noProof/>
          <w:szCs w:val="20"/>
        </w:rPr>
        <w:t>netwerks ta’ ċentri ta’ eċċellenza fir-riċerka dwar l-IA</w:t>
      </w:r>
      <w:r>
        <w:rPr>
          <w:rFonts w:ascii="Times New Roman" w:hAnsi="Times New Roman"/>
          <w:noProof/>
          <w:szCs w:val="20"/>
        </w:rPr>
        <w:t xml:space="preserve"> bħala parti minn Orizzont 2020. Se tagħżel sa erba’ netwerks, li jiffukaw fuq sfidi xjentifiċi jew teknoloġiċi ewlenin bħall-ispjegabbiltà u l-interazzjoni avvanzata bejn il-bniedem u l-magni, li huma komponenti ewlenin għal IA affidabbli.</w:t>
      </w:r>
    </w:p>
    <w:p>
      <w:pPr>
        <w:pStyle w:val="ListParagraph"/>
        <w:numPr>
          <w:ilvl w:val="0"/>
          <w:numId w:val="12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Cs w:val="20"/>
        </w:rPr>
        <w:t xml:space="preserve">Se tibda twaqqaf </w:t>
      </w:r>
      <w:r>
        <w:rPr>
          <w:rFonts w:ascii="Times New Roman" w:hAnsi="Times New Roman"/>
          <w:b/>
          <w:noProof/>
          <w:szCs w:val="20"/>
        </w:rPr>
        <w:t>netwerks ta’ ċentri ta’ innovazzjoni diġitali</w:t>
      </w:r>
      <w:r>
        <w:rPr>
          <w:rStyle w:val="FootnoteReference"/>
          <w:rFonts w:ascii="Times New Roman" w:eastAsia="Times New Roman" w:hAnsi="Times New Roman" w:cs="Times New Roman"/>
          <w:b/>
          <w:noProof/>
          <w:szCs w:val="20"/>
        </w:rPr>
        <w:footnoteReference w:id="19"/>
      </w:r>
      <w:r>
        <w:rPr>
          <w:rFonts w:ascii="Times New Roman" w:hAnsi="Times New Roman"/>
          <w:noProof/>
          <w:szCs w:val="20"/>
        </w:rPr>
        <w:t xml:space="preserve"> li jiffukaw fuq l-IA fil-manifattura u fuq il-big data.</w:t>
      </w:r>
    </w:p>
    <w:p>
      <w:pPr>
        <w:pStyle w:val="ListParagraph"/>
        <w:numPr>
          <w:ilvl w:val="0"/>
          <w:numId w:val="12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</w:rPr>
        <w:t xml:space="preserve">Flimkien mal-Istati Membri u l-partijiet ikkonċernati, il-Kummissjoni se tibda diskussjonijiet ta’ tħejjija biex tiżviluppa u timplimenta </w:t>
      </w:r>
      <w:r>
        <w:rPr>
          <w:rFonts w:ascii="Times New Roman" w:hAnsi="Times New Roman"/>
          <w:b/>
          <w:noProof/>
        </w:rPr>
        <w:t xml:space="preserve">mudell għall-kondiviżjoni ta’ 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u l-aqwa użu ta’ spazji komuni ta’ 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>,</w:t>
      </w:r>
      <w:r>
        <w:rPr>
          <w:rFonts w:ascii="Times New Roman" w:hAnsi="Times New Roman"/>
          <w:noProof/>
        </w:rPr>
        <w:t xml:space="preserve"> b’enfasi partikolari fuq it-trasport, il-kura tas-saħħa u l-manifattura industrijali</w:t>
      </w:r>
      <w:r>
        <w:rPr>
          <w:rStyle w:val="FootnoteReference"/>
          <w:rFonts w:ascii="Times New Roman" w:eastAsia="Times New Roman" w:hAnsi="Times New Roman" w:cs="Times New Roman"/>
          <w:noProof/>
        </w:rPr>
        <w:footnoteReference w:id="20"/>
      </w:r>
      <w:r>
        <w:rPr>
          <w:rFonts w:ascii="Times New Roman" w:hAnsi="Times New Roman"/>
          <w:noProof/>
        </w:rPr>
        <w:t xml:space="preserve">. </w:t>
      </w:r>
    </w:p>
    <w:p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Cs w:val="20"/>
        </w:rPr>
        <w:t>Barra minn hekk, il-Kummissjoni qed taħdem fuq rapport dwar l-isfidi li ġġib magħha l-IA għall-oqfsa tas-sikurezza u r-responsabbiltà, u fuq dokument ta’ gwida dwar l-implimentazzjoni tad-Direttiva dwar ir-Responsabbiltà għall-Prodott</w:t>
      </w:r>
      <w:r>
        <w:rPr>
          <w:rStyle w:val="FootnoteReference"/>
          <w:rFonts w:ascii="Times New Roman" w:eastAsia="Times New Roman" w:hAnsi="Times New Roman" w:cs="Times New Roman"/>
          <w:noProof/>
          <w:szCs w:val="20"/>
        </w:rPr>
        <w:footnoteReference w:id="21"/>
      </w:r>
      <w:r>
        <w:rPr>
          <w:rFonts w:ascii="Times New Roman" w:hAnsi="Times New Roman"/>
          <w:noProof/>
          <w:szCs w:val="20"/>
        </w:rPr>
        <w:t xml:space="preserve">. Fl-istess ħin, </w:t>
      </w:r>
      <w:r>
        <w:rPr>
          <w:rFonts w:ascii="Times New Roman" w:hAnsi="Times New Roman"/>
          <w:bCs/>
          <w:noProof/>
        </w:rPr>
        <w:t>l-Impriża Konġunta għall-Computing ta’ Prestazzjoni Għolja Ewropew (EuroHPC)</w:t>
      </w:r>
      <w:r>
        <w:rPr>
          <w:rStyle w:val="FootnoteReference"/>
          <w:rFonts w:ascii="Times New Roman" w:hAnsi="Times New Roman" w:cs="Times New Roman"/>
          <w:bCs/>
          <w:noProof/>
        </w:rPr>
        <w:footnoteReference w:id="22"/>
      </w:r>
      <w:r>
        <w:rPr>
          <w:rFonts w:ascii="Times New Roman" w:hAnsi="Times New Roman"/>
          <w:bCs/>
          <w:noProof/>
        </w:rPr>
        <w:t xml:space="preserve"> se tiżviluppa l-ġenerazzjoni li jmiss ta’ superkompjuters minħabba li l-kapaċità ta’ computing hija essenzjali għall-ipproċessar ta’ </w:t>
      </w:r>
      <w:r>
        <w:rPr>
          <w:rFonts w:ascii="Times New Roman" w:hAnsi="Times New Roman"/>
          <w:bCs/>
          <w:i/>
          <w:iCs/>
          <w:noProof/>
        </w:rPr>
        <w:t>data</w:t>
      </w:r>
      <w:r>
        <w:rPr>
          <w:rFonts w:ascii="Times New Roman" w:hAnsi="Times New Roman"/>
          <w:bCs/>
          <w:noProof/>
        </w:rPr>
        <w:t xml:space="preserve"> u biex titħarreġ l-IA u l-Ewropa għadha bżonn tieħu f’idejha l-katina sħiħa tal-valur diġitali. Is-sħubija kontinwa mal-Istati Membri u l-industrija b’rabta mal-komponenti u s-sistemi mikroelettroniċi (ECSEL)</w:t>
      </w:r>
      <w:r>
        <w:rPr>
          <w:rStyle w:val="FootnoteReference"/>
          <w:rFonts w:ascii="Times New Roman" w:hAnsi="Times New Roman" w:cs="Times New Roman"/>
          <w:bCs/>
          <w:noProof/>
        </w:rPr>
        <w:footnoteReference w:id="23"/>
      </w:r>
      <w:r>
        <w:rPr>
          <w:rFonts w:ascii="Times New Roman" w:hAnsi="Times New Roman"/>
          <w:bCs/>
          <w:noProof/>
        </w:rPr>
        <w:t xml:space="preserve"> kif ukoll l-Inizjattiva tal-Proċessuri Ewropea</w:t>
      </w:r>
      <w:r>
        <w:rPr>
          <w:rStyle w:val="FootnoteReference"/>
          <w:rFonts w:ascii="Times New Roman" w:hAnsi="Times New Roman" w:cs="Times New Roman"/>
          <w:bCs/>
          <w:noProof/>
        </w:rPr>
        <w:footnoteReference w:id="24"/>
      </w:r>
      <w:r>
        <w:rPr>
          <w:rFonts w:ascii="Times New Roman" w:hAnsi="Times New Roman"/>
          <w:bCs/>
          <w:noProof/>
        </w:rPr>
        <w:t xml:space="preserve"> se jikkontribwixxu għall-iżvilupp ta’ teknoloġija ta’ proċessuri b’konsum baxx tal-enerġija għal computing bi prestazzjoni għolja u avvanzat li huwa affidabbli u sikur.  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</w:rPr>
        <w:t xml:space="preserve">Bħall-ħidma fuq il-linji gwida etiċi dwar l-IA, dawn l-inizjattivi kollha jibnu fuq </w:t>
      </w:r>
      <w:r>
        <w:rPr>
          <w:rFonts w:ascii="Times New Roman" w:hAnsi="Times New Roman"/>
          <w:b/>
          <w:bCs/>
          <w:noProof/>
        </w:rPr>
        <w:t>kooperazzjoni mill-qrib bejn il-partijiet ikkonċernati kollha involuti</w:t>
      </w:r>
      <w:r>
        <w:rPr>
          <w:rFonts w:ascii="Times New Roman" w:hAnsi="Times New Roman"/>
          <w:bCs/>
          <w:noProof/>
        </w:rPr>
        <w:t>, l-Istati Membri, l-industrija, l-atturi soċjetali u ċ-ċittadini. Globalment, l-approċċ tal-Ewropa lejn l-Intelliġenza Artifiċjali juri kif il-kompetittività ekonomika u l-fiduċja soċjetali għandhom jibdew mill-istess valuri fundamentali u jsaħħu lil xulxin b’mod reċiproku.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09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tabs>
          <w:tab w:val="left" w:pos="426"/>
        </w:tabs>
        <w:spacing w:before="40"/>
        <w:ind w:left="510" w:hanging="510"/>
        <w:jc w:val="both"/>
        <w:rPr>
          <w:rStyle w:val="FootnoteReference"/>
          <w:rFonts w:ascii="Times New Roman" w:hAnsi="Times New Roman" w:cs="Times New Roman"/>
          <w:vertAlign w:val="baseline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Style w:val="FootnoteReference"/>
          <w:rFonts w:ascii="Times New Roman" w:hAnsi="Times New Roman"/>
          <w:vertAlign w:val="baseline"/>
        </w:rPr>
        <w:t>COM(2018) 237</w:t>
      </w:r>
      <w:r>
        <w:rPr>
          <w:rFonts w:ascii="Times New Roman" w:hAnsi="Times New Roman"/>
        </w:rPr>
        <w:t>.</w:t>
      </w:r>
    </w:p>
  </w:footnote>
  <w:footnote w:id="2">
    <w:p>
      <w:pPr>
        <w:pStyle w:val="FootnoteText"/>
        <w:tabs>
          <w:tab w:val="left" w:pos="426"/>
        </w:tabs>
        <w:spacing w:before="40"/>
        <w:ind w:left="510" w:hanging="51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COM(2018) 795.</w:t>
      </w:r>
    </w:p>
  </w:footnote>
  <w:footnote w:id="3">
    <w:p>
      <w:pPr>
        <w:pStyle w:val="Typedudocument"/>
        <w:spacing w:before="40"/>
        <w:ind w:left="510" w:hanging="510"/>
        <w:jc w:val="both"/>
        <w:rPr>
          <w:b w:val="0"/>
          <w:color w:val="000000" w:themeColor="text1"/>
          <w:sz w:val="20"/>
          <w:szCs w:val="20"/>
        </w:rPr>
      </w:pPr>
      <w:r>
        <w:rPr>
          <w:rStyle w:val="FootnoteReference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Biex tgħin sabiex jintlaħaq dan l-għan, il-Kummissjoni </w:t>
      </w:r>
      <w:r>
        <w:rPr>
          <w:b w:val="0"/>
          <w:sz w:val="20"/>
          <w:szCs w:val="20"/>
        </w:rPr>
        <w:t>pproponiet, bħala parti mill-perjodu ta’ programmazzjoni li jmiss 2021-2027, li l-Unjoni talloka mill-inqas EUR 1 biljun fis-sena f’finanzjament mill-programmi Orizzont Ewropa u Ewropa Diġitali bħala investiment fl-IA.</w:t>
      </w:r>
    </w:p>
  </w:footnote>
  <w:footnote w:id="4">
    <w:p>
      <w:pPr>
        <w:pStyle w:val="FootnoteText"/>
        <w:ind w:left="510" w:hanging="51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Barra minn hekk, l-UE hija parti għall-Konvenzjoni tan-NU dwar id-Drittijiet ta’ Persuni b’Diżabilità.</w:t>
      </w:r>
    </w:p>
  </w:footnote>
  <w:footnote w:id="5">
    <w:p>
      <w:pPr>
        <w:pStyle w:val="FootnoteText"/>
        <w:ind w:left="510" w:hanging="510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bCs/>
        </w:rPr>
        <w:t>Ir-Regolament (UE) 2016/679. Ir-Regolament Ġenerali dwar il-Protezzjoni tad-</w:t>
      </w:r>
      <w:r>
        <w:rPr>
          <w:rFonts w:ascii="Times New Roman" w:hAnsi="Times New Roman"/>
          <w:bCs/>
          <w:i/>
          <w:iCs/>
        </w:rPr>
        <w:t>Data</w:t>
      </w:r>
      <w:r>
        <w:rPr>
          <w:rFonts w:ascii="Times New Roman" w:hAnsi="Times New Roman"/>
          <w:bCs/>
        </w:rPr>
        <w:t xml:space="preserve"> (GDPR) jiggarantixxi l-fluss liberu ta’ </w:t>
      </w:r>
      <w:r>
        <w:rPr>
          <w:rFonts w:ascii="Times New Roman" w:hAnsi="Times New Roman"/>
          <w:bCs/>
          <w:i/>
          <w:iCs/>
        </w:rPr>
        <w:t>data</w:t>
      </w:r>
      <w:r>
        <w:rPr>
          <w:rFonts w:ascii="Times New Roman" w:hAnsi="Times New Roman"/>
          <w:bCs/>
        </w:rPr>
        <w:t xml:space="preserve"> personali fi ħdan l-Unjoni. Fih dispożizzjonijiet dwar it-teħid ta’ deċiżjonijiet abbażi tal-ipproċessar awtomatizzat biss, inkluż it-tfassil ta’ profili. L-individwi kkonċernati għandhom id-dritt li jkunu infurmati dwar l-eżistenza tat-teħid ta’ deċiżjonijiet awtomatizzat u li jirċievu informazzjoni sinifikattiva dwar il-loġika involuta fit-teħid ta’ deċiżjonijiet awtomatizzat u dwar l-importanza u l-konsegwenzi previsti li l-ipproċessar jista’ jkollu għalihom. F’każijiet bħal dawn, huma għandhom ukoll id-dritt li jiksbu intervenzjoni umana, li jesprimu l-opinjoni tagħhom u li jikkontestaw id-deċiżjoni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</w:rPr>
        <w:t xml:space="preserve"> </w:t>
      </w:r>
    </w:p>
  </w:footnote>
  <w:footnote w:id="6">
    <w:p>
      <w:pPr>
        <w:pStyle w:val="FootnoteText"/>
        <w:ind w:left="510" w:hanging="51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COM(2017) 10.</w:t>
      </w:r>
    </w:p>
  </w:footnote>
  <w:footnote w:id="7">
    <w:p>
      <w:pPr>
        <w:pStyle w:val="FootnoteText"/>
        <w:ind w:left="510" w:hanging="510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>
          <w:rPr>
            <w:rStyle w:val="Hyperlink"/>
            <w:rFonts w:ascii="Times New Roman" w:hAnsi="Times New Roman"/>
          </w:rPr>
          <w:t>https://ec.europa.eu/digital-single-market/en/high-level-expert-group-artificial-intelligence</w:t>
        </w:r>
      </w:hyperlink>
    </w:p>
  </w:footnote>
  <w:footnote w:id="8">
    <w:p>
      <w:pPr>
        <w:pStyle w:val="FootnoteText"/>
        <w:ind w:left="510" w:hanging="510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2" w:history="1">
        <w:r>
          <w:rPr>
            <w:rStyle w:val="Hyperlink"/>
            <w:rFonts w:ascii="Times New Roman" w:hAnsi="Times New Roman"/>
          </w:rPr>
          <w:t>https://ec.europa.eu/digital-single-market/en/european-ai-alliance</w:t>
        </w:r>
      </w:hyperlink>
    </w:p>
  </w:footnote>
  <w:footnote w:id="9">
    <w:p>
      <w:pPr>
        <w:pStyle w:val="Typedudocument"/>
        <w:spacing w:before="0"/>
        <w:ind w:left="510" w:hanging="510"/>
        <w:jc w:val="both"/>
        <w:rPr>
          <w:sz w:val="20"/>
          <w:szCs w:val="20"/>
        </w:rPr>
      </w:pPr>
      <w:r>
        <w:rPr>
          <w:rStyle w:val="FootnoteReference"/>
          <w:b w:val="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>Din il-konsultazzjoni rriżultat f’kummenti minn 511-il entità, fosthom organizzazzjonijiet, assoċjazzjonijiet, kumpaniji, istituti ta’ riċerka u individwi.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Sommarju tal-kummenti riċevuti huwa disponibbli fuq: </w:t>
      </w:r>
      <w:hyperlink r:id="rId3" w:history="1">
        <w:r>
          <w:rPr>
            <w:rStyle w:val="Hyperlink"/>
            <w:b w:val="0"/>
            <w:sz w:val="20"/>
            <w:szCs w:val="20"/>
          </w:rPr>
          <w:t>https://ec.europa.eu/futurium/en/system/files/ged/consultation_feedback_on_draft_ai_ethics_guidelines_4.pdf</w:t>
        </w:r>
      </w:hyperlink>
    </w:p>
  </w:footnote>
  <w:footnote w:id="10">
    <w:p>
      <w:pPr>
        <w:pStyle w:val="Typedudocument"/>
        <w:spacing w:before="0"/>
        <w:ind w:left="510" w:hanging="510"/>
        <w:jc w:val="both"/>
      </w:pPr>
      <w:r>
        <w:rPr>
          <w:rStyle w:val="FootnoteReference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 xml:space="preserve">Il-ħidma tal-grupp ta’ esperti intlaqgħet b’mod pożittiv mill-Istati Membri, filwaqt l-konklużjonijiet tal-Kunsill ġew adottati fit-18 ta’ Frar 2019 u </w:t>
      </w:r>
      <w:r>
        <w:rPr>
          <w:b w:val="0"/>
          <w:i/>
          <w:sz w:val="20"/>
          <w:szCs w:val="20"/>
        </w:rPr>
        <w:t>inter alia</w:t>
      </w:r>
      <w:r>
        <w:rPr>
          <w:b w:val="0"/>
          <w:sz w:val="20"/>
          <w:szCs w:val="20"/>
        </w:rPr>
        <w:t xml:space="preserve"> kkunsidraw il-pubblikazzjoni imminenti tal-linji gwida dwar l-etika u appoġġaw l-isforz tal-Kummissjoni biex twassal approċċ etiku tal-UE fuq livell globali:</w:t>
      </w:r>
      <w:r>
        <w:t xml:space="preserve"> </w:t>
      </w:r>
      <w:hyperlink r:id="rId4" w:history="1">
        <w:r>
          <w:rPr>
            <w:rStyle w:val="Hyperlink"/>
            <w:b w:val="0"/>
            <w:sz w:val="20"/>
            <w:szCs w:val="20"/>
          </w:rPr>
          <w:t>https://data.consilium.europa.eu/doc/document/ST-6177-2019-INIT/en/pdf</w:t>
        </w:r>
      </w:hyperlink>
    </w:p>
  </w:footnote>
  <w:footnote w:id="11">
    <w:p>
      <w:pPr>
        <w:rPr>
          <w:rStyle w:val="Hyperlink"/>
          <w:rFonts w:ascii="Times New Roman" w:hAnsi="Times New Roman" w:cs="Times New Roman"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hyperlink r:id="rId5" w:anchor="Top" w:history="1">
        <w:r>
          <w:rPr>
            <w:rStyle w:val="Hyperlink"/>
            <w:rFonts w:ascii="Times New Roman" w:hAnsi="Times New Roman"/>
            <w:bCs/>
            <w:sz w:val="20"/>
            <w:szCs w:val="20"/>
          </w:rPr>
          <w:t>https://ec.europa.eu/futurium/en/ai-alliance-consultation/guidelines#Top</w:t>
        </w:r>
      </w:hyperlink>
    </w:p>
    <w:p>
      <w:pPr>
        <w:pStyle w:val="FootnoteText"/>
        <w:ind w:left="510" w:hanging="510"/>
        <w:rPr>
          <w:rStyle w:val="Hyperlink"/>
          <w:rFonts w:ascii="Times New Roman" w:hAnsi="Times New Roman" w:cs="Times New Roman"/>
          <w:bCs/>
        </w:rPr>
      </w:pPr>
    </w:p>
  </w:footnote>
  <w:footnote w:id="12">
    <w:p>
      <w:pPr>
        <w:pStyle w:val="FootnoteText"/>
        <w:ind w:left="426" w:hanging="426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Ir-Regolament Ġenerali dwar il-Protezzjoni tad-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jagħti lill-individwu d-dritt li ma jkunx soġġett għal deċiżjoni bbażata unikament fuq ipproċessar awtomatizzat li jipproduċi effetti legali li jikkonċernaw lilu jew li bl-istess mod jaffettwa lilu b’mod sinifikanti (l-Artikolu 22 tal-GDPR).</w:t>
      </w:r>
    </w:p>
  </w:footnote>
  <w:footnote w:id="13">
    <w:p>
      <w:pPr>
        <w:pStyle w:val="FootnoteText"/>
        <w:ind w:left="426" w:hanging="426"/>
        <w:jc w:val="both"/>
        <w:rPr>
          <w:rFonts w:ascii="Times New Roman" w:hAnsi="Times New Roman" w:cs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  <w:t>Human-in-the-loop (HITL) tirreferi għall-intervenzjoni umana f’kull ċiklu ta’ deċiżjoni tas-sistema, li f’ħafna każijiet la hija possibbli u lanqas ma hija mixtieqa. Human-on-the-loop (HOTL) tirreferi għall-kapaċità għal intervenzjoni umana matul iċ-ċiklu tad-disinn tas-sistema u l-monitoraġġ tal-operat tas-sistema. Human-in-command (HIC) tirreferi għall-kapaċità ta’ sorveljanza tal-attività globali tas-sistema ta’ IA (inkluż l-impatt ekonomiku, soċjetali, legali u etiku aktar wiesa’ tagħha) u l-kapaċità ta’ teħid ta’ deċiżjonijiet dwar meta u kif tintuża s-sistema fi kwalunkwe sitwazzjoni partikolari. Dan jista’ jinkludi d-deċiżjoni li ma tintużax sistema ta’ IA f’sitwazzjoni partikolari, li jiġu stabbiliti l-livelli ta’ diskrezzjoni umana matul l-użu tas-sistema, jew li tiġi żgurata l-kapaċità li tinqabeż deċiżjoni li tkun saret mis-sistema.</w:t>
      </w:r>
    </w:p>
  </w:footnote>
  <w:footnote w:id="14">
    <w:p>
      <w:pPr>
        <w:pStyle w:val="FootnoteText"/>
        <w:ind w:left="510" w:hanging="51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Ara l-Komunikazzjoni tal-Kummissjoni dwar il-mobilità konnessa u awtomatizzata, COM(2018) 283.</w:t>
      </w:r>
    </w:p>
  </w:footnote>
  <w:footnote w:id="15">
    <w:p>
      <w:pPr>
        <w:pStyle w:val="FootnoteText"/>
        <w:ind w:left="510" w:hanging="510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ab/>
        <w:t xml:space="preserve">Fil-qafas tal-Fond Ewropew għad-Difiża, il-Kummissjoni se tiżviluppa wkoll gwida etika speċifika </w:t>
      </w:r>
      <w:r>
        <w:rPr>
          <w:rFonts w:ascii="Times New Roman" w:hAnsi="Times New Roman"/>
          <w:bCs/>
        </w:rPr>
        <w:t>għall-evalwazzjoni ta’ proposti għal proġetti fil-qasam tal-IA għad-difiża.</w:t>
      </w:r>
    </w:p>
  </w:footnote>
  <w:footnote w:id="16">
    <w:p>
      <w:pPr>
        <w:spacing w:after="0" w:line="240" w:lineRule="auto"/>
        <w:ind w:left="510" w:hanging="510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6" w:history="1">
        <w:r>
          <w:rPr>
            <w:rStyle w:val="Hyperlink"/>
            <w:rFonts w:ascii="Times New Roman" w:hAnsi="Times New Roman"/>
            <w:sz w:val="20"/>
            <w:szCs w:val="20"/>
          </w:rPr>
          <w:t>https://ec.europa.eu/digital-single-market/en/news/artificial-intelligence-ai4eu-project-launches-1-january-2019</w:t>
        </w:r>
      </w:hyperlink>
    </w:p>
  </w:footnote>
  <w:footnote w:id="17">
    <w:p>
      <w:pPr>
        <w:pStyle w:val="FootnoteText"/>
        <w:spacing w:before="40"/>
        <w:ind w:left="510" w:hanging="510"/>
        <w:jc w:val="both"/>
      </w:pPr>
      <w:r>
        <w:rPr>
          <w:rStyle w:val="FootnoteReference"/>
        </w:rPr>
        <w:footnoteRef/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  <w:t xml:space="preserve">Ir-Rappreżentant Għoli tal-Unjoni għall-Affarijiet Barranin u l-Politika ta’ Sigurtà, bl-appoġġ tal-Kummissjoni, se jibni fuq il-konsultazzjonijiet fin-Nazzjonijiet Uniti, il-Global Tech Panel, u fora multilaterali oħra, u b’mod partikolari se jikkoordina proposti għall-indirizzar tal-isfidi kumplessi għas-sigurtà involuti.   </w:t>
      </w:r>
      <w:r>
        <w:t xml:space="preserve"> </w:t>
      </w:r>
    </w:p>
  </w:footnote>
  <w:footnote w:id="18">
    <w:p>
      <w:pPr>
        <w:pStyle w:val="FootnoteText"/>
        <w:ind w:left="510" w:hanging="51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Ir-Regolament (UE) Nru 234/2014 tal-Parlament Ewropew u tal-Kunsill tal-11 ta’ Marzu 2014 li jistabbilixxi Strument ta’ Sħubija għal kooperazzjoni ma’ pajjiżi terzi (ĠU L 77, 15.3.2014, p. 77).</w:t>
      </w:r>
      <w:r>
        <w:rPr>
          <w:rFonts w:ascii="Times New Roman" w:hAnsi="Times New Roman"/>
        </w:rPr>
        <w:t xml:space="preserve"> Pereżempju l-proġett ippjanat dwar “Alleanza internazzjonali għal approċċ għall-intelliġenza artifiċjali iċċentrat fuq il-bniedem” se jiffaċilita inizjattivi konġunti ma’ sħab li jikkondividu l-istess ħsieb tagħha, għall-promozzjoni ta’ linji gwida etiċi u għall-adozzjoni ta’ prinċipji komuni u konklużjonijiet operazzjonali. Dan se jippermetti li l-UE u l-pajjiżi li jikkondividu l-istess ħsieb tagħha jiddiskutu konklużjonijiet operazzjonali li jirriżultaw mil-linji gwida etiċi dwar l-IA proposti mill-grupp ta’ esperti sabiex jintlaħaq approċċ komuni. Barra minn hekk, dan se jipprevedi l-monitoraġġ tal-implimentazzjoni tat-teknoloġija tal-IA f’livell globali. Fl-aħħar nett, il-proġett jippjana li jorganizza attivitajiet ta’ diplomazija pubblika maħsuba biex isiru flimkien ma’ attivitajiet internazzjonali, pereżempju mill-G7, il-G20, u l-Organizzazzjoni għall-Kooperazzjoni u l-Iżvilupp Ekonomiċi. </w:t>
      </w:r>
    </w:p>
  </w:footnote>
  <w:footnote w:id="19">
    <w:p>
      <w:pPr>
        <w:pStyle w:val="FootnoteText"/>
        <w:ind w:left="532" w:hanging="532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hyperlink r:id="rId7" w:history="1">
        <w:r>
          <w:rPr>
            <w:rStyle w:val="Hyperlink"/>
            <w:rFonts w:ascii="Times New Roman" w:hAnsi="Times New Roman"/>
          </w:rPr>
          <w:t>http://s3platform.jrc.ec.europa.eu/digital-innovation-hubs</w:t>
        </w:r>
      </w:hyperlink>
    </w:p>
  </w:footnote>
  <w:footnote w:id="20">
    <w:p>
      <w:pPr>
        <w:pStyle w:val="FootnoteText"/>
        <w:ind w:left="532" w:hanging="532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Ir-riżorsi meħtieġa se jkunu mobilizzati minn Orizzont 2020 (li bħala parti minnu madwar EUR 1.5 biljun huma ddedikati għall-IA għall-perjodu 2018-2020) u mis-suċċessur ippjanat tiegħu Orizzont Ewropa, il-parti Diġitali tal-Faċilità Nikkollegaw l-Ewropa u speċjalment il-Programm Ewropa Diġitali futur. Il-proġetti se jibbenefikaw ukoll minn riżorsi mis-settur privat u minn programmi tal-Istati Membri.</w:t>
      </w:r>
      <w:r>
        <w:t xml:space="preserve"> </w:t>
      </w:r>
    </w:p>
  </w:footnote>
  <w:footnote w:id="21">
    <w:p>
      <w:pPr>
        <w:pStyle w:val="FootnoteText"/>
        <w:ind w:left="532" w:hanging="532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Ara l-Komunikazzjoni tal-Kummissjoni dwar l-Intelliġenza Artifiċjali għall-Ewropa, COM (2018) 237.</w:t>
      </w:r>
    </w:p>
  </w:footnote>
  <w:footnote w:id="22">
    <w:p>
      <w:pPr>
        <w:pStyle w:val="FootnoteText"/>
        <w:tabs>
          <w:tab w:val="left" w:pos="567"/>
        </w:tabs>
        <w:ind w:left="532" w:hanging="532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hyperlink r:id="rId8" w:history="1">
        <w:r>
          <w:rPr>
            <w:rStyle w:val="Hyperlink"/>
            <w:rFonts w:ascii="Times New Roman" w:hAnsi="Times New Roman"/>
          </w:rPr>
          <w:t>https://eurohpc-ju.europa.eu</w:t>
        </w:r>
      </w:hyperlink>
    </w:p>
  </w:footnote>
  <w:footnote w:id="23">
    <w:p>
      <w:pPr>
        <w:pStyle w:val="FootnoteText"/>
        <w:tabs>
          <w:tab w:val="left" w:pos="567"/>
        </w:tabs>
        <w:ind w:left="532" w:hanging="532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hyperlink r:id="rId9" w:history="1">
        <w:r>
          <w:rPr>
            <w:rStyle w:val="Hyperlink"/>
            <w:rFonts w:ascii="Times New Roman" w:hAnsi="Times New Roman"/>
          </w:rPr>
          <w:t>www.ecsel.eu</w:t>
        </w:r>
      </w:hyperlink>
    </w:p>
  </w:footnote>
  <w:footnote w:id="24">
    <w:p>
      <w:pPr>
        <w:pStyle w:val="FootnoteText"/>
        <w:ind w:left="532" w:hanging="532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hyperlink r:id="rId10" w:history="1">
        <w:r>
          <w:rPr>
            <w:rStyle w:val="Hyperlink"/>
            <w:rFonts w:ascii="Times New Roman" w:hAnsi="Times New Roman"/>
          </w:rPr>
          <w:t>www.european-processor-initiative.eu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D12"/>
    <w:multiLevelType w:val="hybridMultilevel"/>
    <w:tmpl w:val="89A62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6DB"/>
    <w:multiLevelType w:val="hybridMultilevel"/>
    <w:tmpl w:val="D23E34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4058B"/>
    <w:multiLevelType w:val="hybridMultilevel"/>
    <w:tmpl w:val="A686CDE4"/>
    <w:lvl w:ilvl="0" w:tplc="807239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D64"/>
    <w:multiLevelType w:val="hybridMultilevel"/>
    <w:tmpl w:val="FBD830AA"/>
    <w:name w:val="CPSNumberingScheme"/>
    <w:lvl w:ilvl="0" w:tplc="693488F2">
      <w:start w:val="1"/>
      <w:numFmt w:val="decimal"/>
      <w:lvlText w:val="%1."/>
      <w:lvlJc w:val="right"/>
      <w:pPr>
        <w:ind w:left="500" w:hanging="180"/>
      </w:pPr>
    </w:lvl>
    <w:lvl w:ilvl="1" w:tplc="1B002B66">
      <w:start w:val="1"/>
      <w:numFmt w:val="decimal"/>
      <w:lvlText w:val="%2."/>
      <w:lvlJc w:val="right"/>
      <w:pPr>
        <w:ind w:left="1000" w:hanging="180"/>
      </w:pPr>
    </w:lvl>
    <w:lvl w:ilvl="2" w:tplc="71E28308">
      <w:start w:val="1"/>
      <w:numFmt w:val="decimal"/>
      <w:lvlText w:val="%3."/>
      <w:lvlJc w:val="right"/>
      <w:pPr>
        <w:ind w:left="1500" w:hanging="180"/>
      </w:pPr>
    </w:lvl>
    <w:lvl w:ilvl="3" w:tplc="6CF6B8D6">
      <w:start w:val="1"/>
      <w:numFmt w:val="decimal"/>
      <w:lvlText w:val="%4."/>
      <w:lvlJc w:val="right"/>
      <w:pPr>
        <w:ind w:left="2000" w:hanging="180"/>
      </w:pPr>
    </w:lvl>
    <w:lvl w:ilvl="4" w:tplc="5A4A32B6">
      <w:start w:val="1"/>
      <w:numFmt w:val="decimal"/>
      <w:lvlText w:val="%5."/>
      <w:lvlJc w:val="right"/>
      <w:pPr>
        <w:ind w:left="2500" w:hanging="180"/>
      </w:pPr>
    </w:lvl>
    <w:lvl w:ilvl="5" w:tplc="BB9001BC">
      <w:start w:val="1"/>
      <w:numFmt w:val="decimal"/>
      <w:lvlText w:val="%6."/>
      <w:lvlJc w:val="right"/>
      <w:pPr>
        <w:ind w:left="3000" w:hanging="180"/>
      </w:pPr>
    </w:lvl>
    <w:lvl w:ilvl="6" w:tplc="D7B24302">
      <w:start w:val="1"/>
      <w:numFmt w:val="decimal"/>
      <w:lvlText w:val="%7."/>
      <w:lvlJc w:val="right"/>
      <w:pPr>
        <w:ind w:left="3500" w:hanging="180"/>
      </w:pPr>
    </w:lvl>
    <w:lvl w:ilvl="7" w:tplc="1046D4F8">
      <w:start w:val="1"/>
      <w:numFmt w:val="decimal"/>
      <w:lvlText w:val="%8."/>
      <w:lvlJc w:val="right"/>
      <w:pPr>
        <w:ind w:left="4000" w:hanging="180"/>
      </w:pPr>
    </w:lvl>
    <w:lvl w:ilvl="8" w:tplc="C96A7890">
      <w:start w:val="1"/>
      <w:numFmt w:val="decimal"/>
      <w:lvlText w:val="%9."/>
      <w:lvlJc w:val="right"/>
      <w:pPr>
        <w:ind w:left="4500" w:hanging="180"/>
      </w:pPr>
    </w:lvl>
  </w:abstractNum>
  <w:abstractNum w:abstractNumId="4">
    <w:nsid w:val="20EF1DDD"/>
    <w:multiLevelType w:val="hybridMultilevel"/>
    <w:tmpl w:val="C65A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F6B68"/>
    <w:multiLevelType w:val="hybridMultilevel"/>
    <w:tmpl w:val="8F68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282"/>
    <w:multiLevelType w:val="hybridMultilevel"/>
    <w:tmpl w:val="89A62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D1D6C"/>
    <w:multiLevelType w:val="hybridMultilevel"/>
    <w:tmpl w:val="D0C23DDA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05152"/>
    <w:multiLevelType w:val="hybridMultilevel"/>
    <w:tmpl w:val="20CA3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D53441"/>
    <w:multiLevelType w:val="hybridMultilevel"/>
    <w:tmpl w:val="DE1422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F2CB9"/>
    <w:multiLevelType w:val="hybridMultilevel"/>
    <w:tmpl w:val="79D42972"/>
    <w:lvl w:ilvl="0" w:tplc="09E844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3B25A8"/>
    <w:multiLevelType w:val="hybridMultilevel"/>
    <w:tmpl w:val="A38CBC06"/>
    <w:lvl w:ilvl="0" w:tplc="807239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1"/>
  </w:num>
  <w:num w:numId="9">
    <w:abstractNumId w:val="3"/>
    <w:lvlOverride w:ilvl="0">
      <w:startOverride w:val="1"/>
      <w:lvl w:ilvl="0" w:tplc="693488F2">
        <w:start w:val="1"/>
        <w:numFmt w:val="bullet"/>
        <w:lvlText w:val=""/>
        <w:lvlJc w:val="right"/>
        <w:pPr>
          <w:ind w:left="500" w:hanging="180"/>
        </w:pPr>
        <w:rPr>
          <w:rFonts w:ascii="Symbol" w:hAnsi="Symbol" w:hint="default"/>
        </w:rPr>
      </w:lvl>
    </w:lvlOverride>
    <w:lvlOverride w:ilvl="1">
      <w:startOverride w:val="1"/>
      <w:lvl w:ilvl="1" w:tplc="1B002B66">
        <w:start w:val="1"/>
        <w:numFmt w:val="decimal"/>
        <w:lvlText w:val="%2."/>
        <w:lvlJc w:val="right"/>
        <w:pPr>
          <w:ind w:left="1000" w:hanging="180"/>
        </w:pPr>
      </w:lvl>
    </w:lvlOverride>
    <w:lvlOverride w:ilvl="2">
      <w:startOverride w:val="1"/>
      <w:lvl w:ilvl="2" w:tplc="71E28308">
        <w:start w:val="1"/>
        <w:numFmt w:val="decimal"/>
        <w:lvlText w:val="%3."/>
        <w:lvlJc w:val="right"/>
        <w:pPr>
          <w:ind w:left="1500" w:hanging="180"/>
        </w:pPr>
      </w:lvl>
    </w:lvlOverride>
    <w:lvlOverride w:ilvl="3">
      <w:startOverride w:val="1"/>
      <w:lvl w:ilvl="3" w:tplc="6CF6B8D6">
        <w:start w:val="1"/>
        <w:numFmt w:val="decimal"/>
        <w:lvlText w:val="%4."/>
        <w:lvlJc w:val="right"/>
        <w:pPr>
          <w:ind w:left="2000" w:hanging="180"/>
        </w:pPr>
      </w:lvl>
    </w:lvlOverride>
    <w:lvlOverride w:ilvl="4">
      <w:startOverride w:val="1"/>
      <w:lvl w:ilvl="4" w:tplc="5A4A32B6">
        <w:start w:val="1"/>
        <w:numFmt w:val="decimal"/>
        <w:lvlText w:val="%5."/>
        <w:lvlJc w:val="right"/>
        <w:pPr>
          <w:ind w:left="2500" w:hanging="180"/>
        </w:pPr>
      </w:lvl>
    </w:lvlOverride>
    <w:lvlOverride w:ilvl="5">
      <w:startOverride w:val="1"/>
      <w:lvl w:ilvl="5" w:tplc="BB9001BC">
        <w:start w:val="1"/>
        <w:numFmt w:val="decimal"/>
        <w:lvlText w:val="%6."/>
        <w:lvlJc w:val="right"/>
        <w:pPr>
          <w:ind w:left="3000" w:hanging="180"/>
        </w:pPr>
      </w:lvl>
    </w:lvlOverride>
    <w:lvlOverride w:ilvl="6">
      <w:startOverride w:val="1"/>
      <w:lvl w:ilvl="6" w:tplc="D7B24302">
        <w:start w:val="1"/>
        <w:numFmt w:val="decimal"/>
        <w:lvlText w:val="%7."/>
        <w:lvlJc w:val="right"/>
        <w:pPr>
          <w:ind w:left="3500" w:hanging="180"/>
        </w:pPr>
      </w:lvl>
    </w:lvlOverride>
    <w:lvlOverride w:ilvl="7">
      <w:startOverride w:val="1"/>
      <w:lvl w:ilvl="7" w:tplc="1046D4F8">
        <w:start w:val="1"/>
        <w:numFmt w:val="decimal"/>
        <w:lvlText w:val="%8."/>
        <w:lvlJc w:val="right"/>
        <w:pPr>
          <w:ind w:left="4000" w:hanging="180"/>
        </w:pPr>
      </w:lvl>
    </w:lvlOverride>
    <w:lvlOverride w:ilvl="8">
      <w:startOverride w:val="1"/>
      <w:lvl w:ilvl="8" w:tplc="C96A7890">
        <w:start w:val="1"/>
        <w:numFmt w:val="decimal"/>
        <w:lvlText w:val="%9."/>
        <w:lvlJc w:val="right"/>
        <w:pPr>
          <w:ind w:left="4500" w:hanging="180"/>
        </w:pPr>
      </w:lvl>
    </w:lvlOverride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44947931-6970-4FF4-9F69-7104EE4D8C09"/>
    <w:docVar w:name="LW_COVERPAGE_TYPE" w:val="1"/>
    <w:docVar w:name="LW_CROSSREFERENCE" w:val="&lt;UNUSED&gt;"/>
    <w:docVar w:name="LW_DocType" w:val="NORMAL"/>
    <w:docVar w:name="LW_EMISSION" w:val="8.4.2019"/>
    <w:docVar w:name="LW_EMISSION_ISODATE" w:val="2019-04-08"/>
    <w:docVar w:name="LW_EMISSION_LOCATION" w:val="BRX"/>
    <w:docVar w:name="LW_EMISSION_PREFIX" w:val="Brussell, "/>
    <w:docVar w:name="LW_EMISSION_SUFFIX" w:val=" "/>
    <w:docVar w:name="LW_ID_DOCTYPE_NONLW" w:val="CP-014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1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Nibnu l-Fidu\u267?ja fl-Intelli\u289?enza Artifi\u267?jali \u266?\u267?entrata Fuq il-Bniedem"/>
    <w:docVar w:name="LW_TYPE.DOC.CP" w:val="KOMUNIKAZZJONI TAL-KUMMISSJONI LILL-PARLAMENT EWROPEW, LILL-KUNSILL, LILL-KUMITAT EKONOMIKU U SO\u266?JALI EWROPEW U LILL-KUMITAT TAR-RE\u288?JUNI"/>
    <w:docVar w:name="LW_TYPE.DOC.CP.USERTEXT" w:val="&lt;EMPTY&gt;"/>
    <w:docVar w:name="Stamp" w:val="\\dossiers.dgt.cec.eu.int\dossiers\CNECT\CNECT-2019-00118\CNECT-2019-00118-00-00-EN-EDT-00.201903120915467957681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ypedudocument">
    <w:name w:val="Type du document"/>
    <w:basedOn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white-space">
    <w:name w:val="white-space"/>
    <w:basedOn w:val="DefaultParagraphFont"/>
  </w:style>
  <w:style w:type="character" w:customStyle="1" w:styleId="st">
    <w:name w:val="st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pdate1">
    <w:name w:val="update1"/>
    <w:basedOn w:val="DefaultParagraphFont"/>
    <w:rPr>
      <w:color w:val="006666"/>
    </w:rPr>
  </w:style>
  <w:style w:type="character" w:customStyle="1" w:styleId="bold1">
    <w:name w:val="bold1"/>
    <w:basedOn w:val="DefaultParagraphFont"/>
    <w:rPr>
      <w:b/>
      <w:bCs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rmal1">
    <w:name w:val="Normal1"/>
    <w:rPr>
      <w:rFonts w:ascii="Calibri" w:eastAsia="Calibri" w:hAnsi="Calibri" w:cs="Calibri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ypedudocument">
    <w:name w:val="Type du document"/>
    <w:basedOn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white-space">
    <w:name w:val="white-space"/>
    <w:basedOn w:val="DefaultParagraphFont"/>
  </w:style>
  <w:style w:type="character" w:customStyle="1" w:styleId="st">
    <w:name w:val="st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pdate1">
    <w:name w:val="update1"/>
    <w:basedOn w:val="DefaultParagraphFont"/>
    <w:rPr>
      <w:color w:val="006666"/>
    </w:rPr>
  </w:style>
  <w:style w:type="character" w:customStyle="1" w:styleId="bold1">
    <w:name w:val="bold1"/>
    <w:basedOn w:val="DefaultParagraphFont"/>
    <w:rPr>
      <w:b/>
      <w:bCs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rmal1">
    <w:name w:val="Normal1"/>
    <w:rPr>
      <w:rFonts w:ascii="Calibri" w:eastAsia="Calibri" w:hAnsi="Calibri" w:cs="Calibri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42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74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6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6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1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58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33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hpc-ju.europa.eu" TargetMode="External"/><Relationship Id="rId3" Type="http://schemas.openxmlformats.org/officeDocument/2006/relationships/hyperlink" Target="https://ec.europa.eu/futurium/en/system/files/ged/consultation_feedback_on_draft_ai_ethics_guidelines_4.pdf" TargetMode="External"/><Relationship Id="rId7" Type="http://schemas.openxmlformats.org/officeDocument/2006/relationships/hyperlink" Target="http://s3platform.jrc.ec.europa.eu/digital-innovation-hubs" TargetMode="External"/><Relationship Id="rId2" Type="http://schemas.openxmlformats.org/officeDocument/2006/relationships/hyperlink" Target="https://ec.europa.eu/digital-single-market/en/european-ai-alliance" TargetMode="External"/><Relationship Id="rId1" Type="http://schemas.openxmlformats.org/officeDocument/2006/relationships/hyperlink" Target="https://ec.europa.eu/digital-single-market/en/high-level-expert-group-artificial-intelligence" TargetMode="External"/><Relationship Id="rId6" Type="http://schemas.openxmlformats.org/officeDocument/2006/relationships/hyperlink" Target="https://ec.europa.eu/digital-single-market/en/news/artificial-intelligence-ai4eu-project-launches-1-january-2019" TargetMode="External"/><Relationship Id="rId5" Type="http://schemas.openxmlformats.org/officeDocument/2006/relationships/hyperlink" Target="https://ec.europa.eu/futurium/en/ai-alliance-consultation/guidelines" TargetMode="External"/><Relationship Id="rId10" Type="http://schemas.openxmlformats.org/officeDocument/2006/relationships/hyperlink" Target="file:///\\NET1.cec.eu.int\HOMES\022\saryuma\Desktop\www.european-processor-initiative.eu" TargetMode="External"/><Relationship Id="rId4" Type="http://schemas.openxmlformats.org/officeDocument/2006/relationships/hyperlink" Target="https://data.consilium.europa.eu/doc/document/ST-6177-2019-INIT/en/pdf" TargetMode="External"/><Relationship Id="rId9" Type="http://schemas.openxmlformats.org/officeDocument/2006/relationships/hyperlink" Target="file:///\\NET1.cec.eu.int\HOMES\022\saryuma\Desktop\www.ecse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027CA3-376C-4955-B194-CEF839D8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3943</Words>
  <Characters>27292</Characters>
  <Application>Microsoft Office Word</Application>
  <DocSecurity>0</DocSecurity>
  <Lines>373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2019-04-01T13:08:00Z</dcterms:created>
  <dcterms:modified xsi:type="dcterms:W3CDTF">2019-04-08T06:29:00Z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Level of sensitivity">
    <vt:lpwstr>Standard treatment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reated using">
    <vt:lpwstr>LW 6.0.1, Build 20180503</vt:lpwstr>
  </property>
</Properties>
</file>