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1E26" w14:textId="1DA03839" w:rsidR="000A0709" w:rsidRPr="006D6DBA" w:rsidRDefault="00846BA2" w:rsidP="00A70323">
      <w:pPr>
        <w:pageBreakBefore/>
        <w:bidi/>
        <w:jc w:val="center"/>
        <w:rPr>
          <w:b/>
          <w:bCs/>
          <w:sz w:val="24"/>
          <w:szCs w:val="28"/>
        </w:rPr>
      </w:pPr>
      <w:r>
        <w:rPr>
          <w:rFonts w:hint="cs"/>
          <w:b/>
          <w:bCs/>
          <w:sz w:val="24"/>
          <w:szCs w:val="28"/>
          <w:rtl/>
        </w:rPr>
        <w:t>اللمحة العامة والأسس المنطقية</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6582"/>
        <w:gridCol w:w="1533"/>
      </w:tblGrid>
      <w:tr w:rsidR="005473CF" w:rsidRPr="00AB5B88" w14:paraId="69AD8493" w14:textId="77777777" w:rsidTr="006D6DBA">
        <w:trPr>
          <w:cantSplit/>
        </w:trPr>
        <w:tc>
          <w:tcPr>
            <w:tcW w:w="786" w:type="pct"/>
            <w:shd w:val="clear" w:color="auto" w:fill="auto"/>
          </w:tcPr>
          <w:p w14:paraId="2FAF861A" w14:textId="316E7C42" w:rsidR="005473CF" w:rsidRPr="001A51AE" w:rsidRDefault="006D6DBA" w:rsidP="00A70323">
            <w:pPr>
              <w:bidi/>
              <w:spacing w:before="120"/>
              <w:rPr>
                <w:bCs/>
                <w:sz w:val="24"/>
                <w:rtl/>
                <w:lang w:bidi="ar-EG"/>
              </w:rPr>
            </w:pPr>
            <w:r w:rsidRPr="001A51AE">
              <w:rPr>
                <w:rFonts w:hint="cs"/>
                <w:bCs/>
                <w:sz w:val="24"/>
                <w:rtl/>
                <w:lang w:bidi="ar-EG"/>
              </w:rPr>
              <w:t>المؤشر</w:t>
            </w:r>
          </w:p>
        </w:tc>
        <w:tc>
          <w:tcPr>
            <w:tcW w:w="4214" w:type="pct"/>
            <w:gridSpan w:val="2"/>
            <w:shd w:val="clear" w:color="auto" w:fill="auto"/>
          </w:tcPr>
          <w:p w14:paraId="7BB8554E" w14:textId="57225A70" w:rsidR="00155D1F" w:rsidRPr="001A51AE" w:rsidRDefault="00AB5B88" w:rsidP="00A70323">
            <w:pPr>
              <w:pStyle w:val="ListParagraph"/>
              <w:keepLines/>
              <w:numPr>
                <w:ilvl w:val="0"/>
                <w:numId w:val="74"/>
              </w:numPr>
              <w:bidi/>
              <w:spacing w:before="120"/>
              <w:jc w:val="both"/>
              <w:rPr>
                <w:rFonts w:ascii="Times New Roman" w:hAnsi="Times New Roman"/>
                <w:bCs/>
                <w:sz w:val="24"/>
                <w:szCs w:val="24"/>
                <w:lang w:val="en-GB"/>
              </w:rPr>
            </w:pPr>
            <w:r w:rsidRPr="001A51AE">
              <w:rPr>
                <w:rFonts w:ascii="Times New Roman" w:hAnsi="Times New Roman"/>
                <w:bCs/>
                <w:sz w:val="24"/>
                <w:szCs w:val="24"/>
                <w:rtl/>
                <w:lang w:val="en-GB"/>
              </w:rPr>
              <w:t xml:space="preserve">مدى دعم </w:t>
            </w:r>
            <w:r w:rsidR="00D01CB5" w:rsidRPr="001A51AE">
              <w:rPr>
                <w:rFonts w:ascii="Times New Roman" w:hAnsi="Times New Roman" w:hint="cs"/>
                <w:bCs/>
                <w:sz w:val="24"/>
                <w:szCs w:val="24"/>
                <w:rtl/>
                <w:lang w:val="en-GB"/>
              </w:rPr>
              <w:t>الهيئات</w:t>
            </w:r>
            <w:r w:rsidRPr="001A51AE">
              <w:rPr>
                <w:rFonts w:ascii="Times New Roman" w:hAnsi="Times New Roman"/>
                <w:bCs/>
                <w:sz w:val="24"/>
                <w:szCs w:val="24"/>
                <w:rtl/>
                <w:lang w:val="en-GB"/>
              </w:rPr>
              <w:t xml:space="preserve"> والمؤسسات المختصّة والآليات الاستشارية للممارسة المستمرة للتراث الثقافي غير المادي ونقله</w:t>
            </w:r>
          </w:p>
        </w:tc>
      </w:tr>
      <w:tr w:rsidR="005B0FE5" w:rsidRPr="00AB5B88" w14:paraId="0EFD8400" w14:textId="77777777" w:rsidTr="006D6DBA">
        <w:trPr>
          <w:cantSplit/>
        </w:trPr>
        <w:tc>
          <w:tcPr>
            <w:tcW w:w="786" w:type="pct"/>
            <w:vMerge w:val="restart"/>
            <w:shd w:val="clear" w:color="auto" w:fill="auto"/>
          </w:tcPr>
          <w:p w14:paraId="40C3E354" w14:textId="65EDCA5E" w:rsidR="006D6DBA" w:rsidRPr="001A51AE" w:rsidRDefault="006D6DBA" w:rsidP="00A70323">
            <w:pPr>
              <w:bidi/>
              <w:spacing w:before="120"/>
              <w:rPr>
                <w:bCs/>
                <w:sz w:val="24"/>
              </w:rPr>
            </w:pPr>
            <w:r w:rsidRPr="001A51AE">
              <w:rPr>
                <w:rFonts w:hint="cs"/>
                <w:bCs/>
                <w:sz w:val="24"/>
                <w:rtl/>
              </w:rPr>
              <w:t>عوامل التقييم الشامل</w:t>
            </w:r>
          </w:p>
        </w:tc>
        <w:tc>
          <w:tcPr>
            <w:tcW w:w="4214" w:type="pct"/>
            <w:gridSpan w:val="2"/>
            <w:shd w:val="clear" w:color="auto" w:fill="auto"/>
          </w:tcPr>
          <w:p w14:paraId="35F4E4E2" w14:textId="557129B3" w:rsidR="005B0FE5" w:rsidRPr="001A51AE" w:rsidRDefault="007B3072" w:rsidP="00A70323">
            <w:pPr>
              <w:keepLines/>
              <w:bidi/>
              <w:spacing w:before="120"/>
              <w:jc w:val="both"/>
              <w:rPr>
                <w:b/>
                <w:sz w:val="24"/>
              </w:rPr>
            </w:pPr>
            <w:r w:rsidRPr="001A51AE">
              <w:rPr>
                <w:sz w:val="24"/>
                <w:rtl/>
              </w:rPr>
              <w:t xml:space="preserve">يتم تقييم هذا المؤشر على أساس خمسة عوامل على </w:t>
            </w:r>
            <w:r w:rsidR="004545A1" w:rsidRPr="001A51AE">
              <w:rPr>
                <w:rFonts w:hint="cs"/>
                <w:b/>
                <w:sz w:val="24"/>
                <w:rtl/>
              </w:rPr>
              <w:t>الصعيد</w:t>
            </w:r>
            <w:r w:rsidRPr="001A51AE">
              <w:rPr>
                <w:sz w:val="24"/>
                <w:rtl/>
              </w:rPr>
              <w:t xml:space="preserve"> القطري ترصدها كل دولة طرف </w:t>
            </w:r>
            <w:r w:rsidR="00CC7316" w:rsidRPr="001A51AE">
              <w:rPr>
                <w:rFonts w:hint="cs"/>
                <w:sz w:val="24"/>
                <w:rtl/>
              </w:rPr>
              <w:t>وت</w:t>
            </w:r>
            <w:r w:rsidR="006E4EE2">
              <w:rPr>
                <w:rFonts w:hint="cs"/>
                <w:sz w:val="24"/>
                <w:rtl/>
              </w:rPr>
              <w:t>عد</w:t>
            </w:r>
            <w:r w:rsidR="00E33E86" w:rsidRPr="001A51AE">
              <w:rPr>
                <w:rFonts w:hint="cs"/>
                <w:sz w:val="24"/>
                <w:rtl/>
              </w:rPr>
              <w:t xml:space="preserve"> بها</w:t>
            </w:r>
            <w:r w:rsidR="006E4EE2">
              <w:rPr>
                <w:rFonts w:hint="cs"/>
                <w:sz w:val="24"/>
                <w:rtl/>
              </w:rPr>
              <w:t xml:space="preserve"> التقرير</w:t>
            </w:r>
            <w:r w:rsidRPr="001A51AE">
              <w:rPr>
                <w:sz w:val="24"/>
                <w:rtl/>
              </w:rPr>
              <w:t>:</w:t>
            </w:r>
          </w:p>
        </w:tc>
      </w:tr>
      <w:tr w:rsidR="007710E1" w:rsidRPr="00AB5B88" w14:paraId="4551CB1C" w14:textId="77777777" w:rsidTr="006D6DBA">
        <w:trPr>
          <w:cantSplit/>
        </w:trPr>
        <w:tc>
          <w:tcPr>
            <w:tcW w:w="786" w:type="pct"/>
            <w:vMerge/>
            <w:shd w:val="clear" w:color="auto" w:fill="auto"/>
          </w:tcPr>
          <w:p w14:paraId="2EBDBBEF" w14:textId="77777777" w:rsidR="007710E1" w:rsidRPr="001A51AE" w:rsidRDefault="007710E1" w:rsidP="00A70323">
            <w:pPr>
              <w:bidi/>
              <w:spacing w:before="120"/>
              <w:rPr>
                <w:b/>
                <w:sz w:val="24"/>
              </w:rPr>
            </w:pPr>
          </w:p>
        </w:tc>
        <w:tc>
          <w:tcPr>
            <w:tcW w:w="3418" w:type="pct"/>
            <w:shd w:val="clear" w:color="auto" w:fill="auto"/>
            <w:vAlign w:val="center"/>
          </w:tcPr>
          <w:p w14:paraId="3FDF81B0" w14:textId="15A23EC0" w:rsidR="00155D1F" w:rsidRPr="001A51AE" w:rsidRDefault="00AB5B88" w:rsidP="00A70323">
            <w:pPr>
              <w:tabs>
                <w:tab w:val="left" w:pos="567"/>
                <w:tab w:val="left" w:pos="1134"/>
                <w:tab w:val="left" w:pos="1701"/>
              </w:tabs>
              <w:bidi/>
              <w:spacing w:before="60" w:after="60"/>
              <w:jc w:val="both"/>
              <w:rPr>
                <w:vanish/>
                <w:sz w:val="24"/>
              </w:rPr>
            </w:pPr>
            <w:r w:rsidRPr="001A51AE">
              <w:rPr>
                <w:rFonts w:hint="cs"/>
                <w:sz w:val="24"/>
                <w:rtl/>
              </w:rPr>
              <w:t>1</w:t>
            </w:r>
            <w:r w:rsidRPr="001A51AE">
              <w:rPr>
                <w:sz w:val="24"/>
                <w:rtl/>
              </w:rPr>
              <w:t>-1 تعيين أو إنشاء جهاز مختصأو أكثر لصون التراث الثقافي غير المادي.</w:t>
            </w:r>
          </w:p>
        </w:tc>
        <w:tc>
          <w:tcPr>
            <w:tcW w:w="796" w:type="pct"/>
            <w:shd w:val="clear" w:color="auto" w:fill="auto"/>
            <w:vAlign w:val="center"/>
          </w:tcPr>
          <w:p w14:paraId="0CF889AA" w14:textId="77777777" w:rsidR="00D0225B" w:rsidRPr="001A51AE" w:rsidRDefault="007B3072" w:rsidP="00A70323">
            <w:pPr>
              <w:bidi/>
              <w:spacing w:before="60" w:after="60"/>
              <w:jc w:val="both"/>
              <w:rPr>
                <w:sz w:val="24"/>
              </w:rPr>
            </w:pPr>
            <w:r w:rsidRPr="001A51AE">
              <w:rPr>
                <w:sz w:val="24"/>
                <w:rtl/>
              </w:rPr>
              <w:t>المادة 13 (ب)</w:t>
            </w:r>
          </w:p>
          <w:p w14:paraId="30A85857" w14:textId="18E6B789" w:rsidR="007710E1" w:rsidRPr="001A51AE" w:rsidRDefault="00D0225B" w:rsidP="00A70323">
            <w:pPr>
              <w:bidi/>
              <w:spacing w:before="60" w:after="60"/>
              <w:jc w:val="both"/>
              <w:rPr>
                <w:sz w:val="24"/>
              </w:rPr>
            </w:pPr>
            <w:r w:rsidRPr="001A51AE">
              <w:rPr>
                <w:sz w:val="24"/>
                <w:rtl/>
              </w:rPr>
              <w:t>التوجيه التنفيذي</w:t>
            </w:r>
            <w:r w:rsidR="007B3072" w:rsidRPr="001A51AE">
              <w:rPr>
                <w:sz w:val="24"/>
                <w:rtl/>
              </w:rPr>
              <w:t xml:space="preserve"> 154 (أ)</w:t>
            </w:r>
          </w:p>
        </w:tc>
      </w:tr>
      <w:tr w:rsidR="007710E1" w:rsidRPr="00AB5B88" w14:paraId="07F945D6" w14:textId="77777777" w:rsidTr="006D6DBA">
        <w:trPr>
          <w:cantSplit/>
        </w:trPr>
        <w:tc>
          <w:tcPr>
            <w:tcW w:w="786" w:type="pct"/>
            <w:vMerge/>
            <w:shd w:val="clear" w:color="auto" w:fill="auto"/>
          </w:tcPr>
          <w:p w14:paraId="6DE9D247" w14:textId="77777777" w:rsidR="007710E1" w:rsidRPr="001A51AE" w:rsidRDefault="007710E1" w:rsidP="00A70323">
            <w:pPr>
              <w:bidi/>
              <w:spacing w:before="120"/>
              <w:rPr>
                <w:b/>
                <w:sz w:val="24"/>
              </w:rPr>
            </w:pPr>
          </w:p>
        </w:tc>
        <w:tc>
          <w:tcPr>
            <w:tcW w:w="3418" w:type="pct"/>
            <w:shd w:val="clear" w:color="auto" w:fill="auto"/>
            <w:vAlign w:val="center"/>
          </w:tcPr>
          <w:p w14:paraId="3E34D738" w14:textId="7586E7E7" w:rsidR="00456483" w:rsidRPr="001A51AE" w:rsidRDefault="00AB5B88" w:rsidP="00A70323">
            <w:pPr>
              <w:tabs>
                <w:tab w:val="left" w:pos="567"/>
                <w:tab w:val="left" w:pos="1134"/>
                <w:tab w:val="left" w:pos="1701"/>
              </w:tabs>
              <w:bidi/>
              <w:spacing w:before="60" w:after="60"/>
              <w:jc w:val="both"/>
              <w:rPr>
                <w:sz w:val="24"/>
              </w:rPr>
            </w:pPr>
            <w:r w:rsidRPr="001A51AE">
              <w:rPr>
                <w:sz w:val="24"/>
                <w:rtl/>
              </w:rPr>
              <w:t>1-2 وجود أجهزة مختصّة لصون عناصر محدّدة من التراث الثقافي غير المادي، سواء كانت مدرجة أم لا.</w:t>
            </w:r>
          </w:p>
        </w:tc>
        <w:tc>
          <w:tcPr>
            <w:tcW w:w="796" w:type="pct"/>
            <w:shd w:val="clear" w:color="auto" w:fill="auto"/>
            <w:vAlign w:val="center"/>
          </w:tcPr>
          <w:p w14:paraId="026DBC11" w14:textId="77777777" w:rsidR="00E33E86" w:rsidRPr="001A51AE" w:rsidRDefault="007B3072" w:rsidP="00A70323">
            <w:pPr>
              <w:bidi/>
              <w:spacing w:before="60" w:after="60"/>
              <w:jc w:val="both"/>
              <w:rPr>
                <w:sz w:val="24"/>
                <w:rtl/>
              </w:rPr>
            </w:pPr>
            <w:r w:rsidRPr="001A51AE">
              <w:rPr>
                <w:sz w:val="24"/>
                <w:rtl/>
              </w:rPr>
              <w:t>المادة 13 (ب)</w:t>
            </w:r>
          </w:p>
          <w:p w14:paraId="59BECE32" w14:textId="0C4E10EA" w:rsidR="007710E1" w:rsidRPr="001A51AE" w:rsidRDefault="00D0225B" w:rsidP="00A70323">
            <w:pPr>
              <w:bidi/>
              <w:spacing w:before="60" w:after="60"/>
              <w:jc w:val="both"/>
              <w:rPr>
                <w:sz w:val="24"/>
              </w:rPr>
            </w:pPr>
            <w:r w:rsidRPr="001A51AE">
              <w:rPr>
                <w:sz w:val="24"/>
                <w:rtl/>
              </w:rPr>
              <w:t>التوجيه التنفيذي</w:t>
            </w:r>
            <w:r w:rsidR="007B3072" w:rsidRPr="001A51AE">
              <w:rPr>
                <w:sz w:val="24"/>
                <w:rtl/>
              </w:rPr>
              <w:t xml:space="preserve"> 158(أ)</w:t>
            </w:r>
            <w:r w:rsidR="00E33E86" w:rsidRPr="001A51AE">
              <w:rPr>
                <w:rFonts w:hint="cs"/>
                <w:sz w:val="24"/>
                <w:rtl/>
              </w:rPr>
              <w:t>، و</w:t>
            </w:r>
            <w:r w:rsidRPr="001A51AE">
              <w:rPr>
                <w:sz w:val="24"/>
                <w:rtl/>
              </w:rPr>
              <w:t>التوجيه التنفيذي</w:t>
            </w:r>
            <w:r w:rsidR="007B3072" w:rsidRPr="001A51AE">
              <w:rPr>
                <w:sz w:val="24"/>
                <w:rtl/>
              </w:rPr>
              <w:t xml:space="preserve"> 162 (د)</w:t>
            </w:r>
          </w:p>
        </w:tc>
      </w:tr>
      <w:tr w:rsidR="007710E1" w:rsidRPr="00AB5B88" w14:paraId="78B0D751" w14:textId="77777777" w:rsidTr="006D6DBA">
        <w:trPr>
          <w:cantSplit/>
        </w:trPr>
        <w:tc>
          <w:tcPr>
            <w:tcW w:w="786" w:type="pct"/>
            <w:vMerge/>
            <w:shd w:val="clear" w:color="auto" w:fill="auto"/>
          </w:tcPr>
          <w:p w14:paraId="00F8C4EA" w14:textId="77777777" w:rsidR="007710E1" w:rsidRPr="001A51AE" w:rsidRDefault="007710E1" w:rsidP="00A70323">
            <w:pPr>
              <w:bidi/>
              <w:spacing w:before="120"/>
              <w:rPr>
                <w:b/>
                <w:sz w:val="24"/>
              </w:rPr>
            </w:pPr>
          </w:p>
        </w:tc>
        <w:tc>
          <w:tcPr>
            <w:tcW w:w="3418" w:type="pct"/>
            <w:shd w:val="clear" w:color="auto" w:fill="auto"/>
            <w:vAlign w:val="center"/>
          </w:tcPr>
          <w:p w14:paraId="48F18371" w14:textId="7D25944A" w:rsidR="00E35396" w:rsidRDefault="00940D98" w:rsidP="00A70323">
            <w:pPr>
              <w:tabs>
                <w:tab w:val="left" w:pos="567"/>
                <w:tab w:val="left" w:pos="1134"/>
                <w:tab w:val="left" w:pos="1701"/>
              </w:tabs>
              <w:bidi/>
              <w:spacing w:before="60" w:after="60"/>
              <w:jc w:val="both"/>
              <w:rPr>
                <w:sz w:val="24"/>
                <w:rtl/>
              </w:rPr>
            </w:pPr>
            <w:r w:rsidRPr="001A51AE">
              <w:rPr>
                <w:rFonts w:hint="cs"/>
                <w:sz w:val="24"/>
                <w:rtl/>
              </w:rPr>
              <w:t>1-</w:t>
            </w:r>
            <w:r w:rsidR="00215231" w:rsidRPr="001A51AE">
              <w:rPr>
                <w:sz w:val="24"/>
                <w:rtl/>
              </w:rPr>
              <w:t>3 تقديم برامج تدريب</w:t>
            </w:r>
            <w:r w:rsidR="009D36BB">
              <w:rPr>
                <w:rFonts w:hint="cs"/>
                <w:sz w:val="24"/>
                <w:rtl/>
              </w:rPr>
              <w:t xml:space="preserve"> </w:t>
            </w:r>
            <w:r w:rsidR="00215231" w:rsidRPr="001A51AE">
              <w:rPr>
                <w:sz w:val="24"/>
                <w:rtl/>
              </w:rPr>
              <w:t>، بما في ذلك البرامج التي تديرها الجماعات نفسها، على بناء القدرات في مجال التراث الثقافي غير المادي تتوجّه على أساس شامل للجماعات والمجموعات والأفراد.</w:t>
            </w:r>
          </w:p>
          <w:p w14:paraId="62A6F1E3" w14:textId="4D936CB6" w:rsidR="00105E37" w:rsidRPr="001A51AE" w:rsidRDefault="00105E37" w:rsidP="00105E37">
            <w:pPr>
              <w:tabs>
                <w:tab w:val="left" w:pos="567"/>
                <w:tab w:val="left" w:pos="1134"/>
                <w:tab w:val="left" w:pos="1701"/>
              </w:tabs>
              <w:bidi/>
              <w:spacing w:before="60" w:after="60"/>
              <w:jc w:val="both"/>
              <w:rPr>
                <w:sz w:val="24"/>
              </w:rPr>
            </w:pPr>
            <w:r>
              <w:rPr>
                <w:rFonts w:hint="cs"/>
                <w:sz w:val="24"/>
                <w:rtl/>
              </w:rPr>
              <w:t xml:space="preserve">مشاركة واسعة وشاملة في صون وادارة التراث الثقافي غير المادي خاصة من قبل </w:t>
            </w:r>
            <w:r w:rsidRPr="00105E37">
              <w:rPr>
                <w:sz w:val="24"/>
                <w:rtl/>
              </w:rPr>
              <w:t xml:space="preserve">للجماعات والمجموعات والأفراد </w:t>
            </w:r>
            <w:r>
              <w:rPr>
                <w:rFonts w:hint="cs"/>
                <w:sz w:val="24"/>
                <w:rtl/>
              </w:rPr>
              <w:t xml:space="preserve">المعنيين يتم تعزيزها </w:t>
            </w:r>
            <w:r w:rsidRPr="00105E37">
              <w:rPr>
                <w:sz w:val="24"/>
                <w:rtl/>
              </w:rPr>
              <w:t>من خلال هيئات استشارية و اليات تنسيق</w:t>
            </w:r>
            <w:r>
              <w:rPr>
                <w:rFonts w:hint="cs"/>
                <w:sz w:val="24"/>
                <w:rtl/>
              </w:rPr>
              <w:t xml:space="preserve"> اخرى. </w:t>
            </w:r>
          </w:p>
        </w:tc>
        <w:tc>
          <w:tcPr>
            <w:tcW w:w="796" w:type="pct"/>
            <w:shd w:val="clear" w:color="auto" w:fill="auto"/>
            <w:vAlign w:val="center"/>
          </w:tcPr>
          <w:p w14:paraId="399A8A1A" w14:textId="74AEB732" w:rsidR="007710E1" w:rsidRPr="001A51AE" w:rsidRDefault="00D0225B" w:rsidP="00A70323">
            <w:pPr>
              <w:bidi/>
              <w:spacing w:before="60" w:after="60"/>
              <w:jc w:val="both"/>
              <w:rPr>
                <w:sz w:val="24"/>
              </w:rPr>
            </w:pPr>
            <w:r w:rsidRPr="001A51AE">
              <w:rPr>
                <w:sz w:val="24"/>
                <w:rtl/>
              </w:rPr>
              <w:t>التوجيه التنفيذي</w:t>
            </w:r>
            <w:r w:rsidR="007B3072" w:rsidRPr="001A51AE">
              <w:rPr>
                <w:rFonts w:hint="cs"/>
                <w:sz w:val="24"/>
                <w:rtl/>
              </w:rPr>
              <w:t xml:space="preserve"> 80</w:t>
            </w:r>
          </w:p>
        </w:tc>
      </w:tr>
      <w:tr w:rsidR="007710E1" w:rsidRPr="00AB5B88" w14:paraId="75B7201B" w14:textId="77777777" w:rsidTr="006D6DBA">
        <w:trPr>
          <w:cantSplit/>
        </w:trPr>
        <w:tc>
          <w:tcPr>
            <w:tcW w:w="786" w:type="pct"/>
            <w:vMerge/>
            <w:shd w:val="clear" w:color="auto" w:fill="auto"/>
          </w:tcPr>
          <w:p w14:paraId="33413065" w14:textId="77777777" w:rsidR="007710E1" w:rsidRPr="001A51AE" w:rsidRDefault="007710E1" w:rsidP="00A70323">
            <w:pPr>
              <w:bidi/>
              <w:spacing w:before="120"/>
              <w:rPr>
                <w:b/>
                <w:sz w:val="24"/>
              </w:rPr>
            </w:pPr>
          </w:p>
        </w:tc>
        <w:tc>
          <w:tcPr>
            <w:tcW w:w="3418" w:type="pct"/>
            <w:shd w:val="clear" w:color="auto" w:fill="auto"/>
            <w:vAlign w:val="center"/>
          </w:tcPr>
          <w:p w14:paraId="66EA50CE" w14:textId="70EFB0B2" w:rsidR="00BB7BC4" w:rsidRPr="001A51AE" w:rsidRDefault="00AB5B88" w:rsidP="00A70323">
            <w:pPr>
              <w:tabs>
                <w:tab w:val="left" w:pos="567"/>
                <w:tab w:val="left" w:pos="1134"/>
                <w:tab w:val="left" w:pos="1701"/>
              </w:tabs>
              <w:bidi/>
              <w:spacing w:before="60" w:after="60"/>
              <w:jc w:val="both"/>
              <w:rPr>
                <w:sz w:val="24"/>
              </w:rPr>
            </w:pPr>
            <w:r w:rsidRPr="001A51AE">
              <w:rPr>
                <w:sz w:val="24"/>
                <w:rtl/>
              </w:rPr>
              <w:t xml:space="preserve">1-4 تعزيز المؤسسات والمنظمات و/أو المبادرات المتعلّقة بوثائق التراث الثقافي غير المادي، واستخدام موادها لدعم الممارسة المستمرّة </w:t>
            </w:r>
            <w:r w:rsidR="00A578F1">
              <w:rPr>
                <w:rFonts w:hint="cs"/>
                <w:sz w:val="24"/>
                <w:rtl/>
              </w:rPr>
              <w:t xml:space="preserve"> التراث </w:t>
            </w:r>
            <w:r w:rsidRPr="001A51AE">
              <w:rPr>
                <w:sz w:val="24"/>
                <w:rtl/>
              </w:rPr>
              <w:t>الثقافي غير المادي ونقله.</w:t>
            </w:r>
          </w:p>
        </w:tc>
        <w:tc>
          <w:tcPr>
            <w:tcW w:w="796" w:type="pct"/>
            <w:shd w:val="clear" w:color="auto" w:fill="auto"/>
            <w:vAlign w:val="center"/>
          </w:tcPr>
          <w:p w14:paraId="462ADEEE" w14:textId="2073356B" w:rsidR="007710E1" w:rsidRPr="001A51AE" w:rsidRDefault="007B3072" w:rsidP="00A70323">
            <w:pPr>
              <w:bidi/>
              <w:spacing w:before="60" w:after="60"/>
              <w:jc w:val="both"/>
              <w:rPr>
                <w:sz w:val="24"/>
              </w:rPr>
            </w:pPr>
            <w:r w:rsidRPr="001A51AE">
              <w:rPr>
                <w:sz w:val="24"/>
                <w:rtl/>
              </w:rPr>
              <w:t>المادة 13 (د) (3)</w:t>
            </w:r>
          </w:p>
        </w:tc>
      </w:tr>
      <w:tr w:rsidR="009F715C" w:rsidRPr="00AB5B88" w14:paraId="6C1D3C4E" w14:textId="77777777" w:rsidTr="006D6DBA">
        <w:trPr>
          <w:cantSplit/>
        </w:trPr>
        <w:tc>
          <w:tcPr>
            <w:tcW w:w="786" w:type="pct"/>
            <w:vMerge/>
            <w:shd w:val="clear" w:color="auto" w:fill="auto"/>
          </w:tcPr>
          <w:p w14:paraId="0D57AF3C" w14:textId="77777777" w:rsidR="009F715C" w:rsidRPr="001A51AE" w:rsidRDefault="009F715C" w:rsidP="00A70323">
            <w:pPr>
              <w:bidi/>
              <w:spacing w:before="120"/>
              <w:rPr>
                <w:b/>
                <w:sz w:val="24"/>
              </w:rPr>
            </w:pPr>
          </w:p>
        </w:tc>
        <w:tc>
          <w:tcPr>
            <w:tcW w:w="3418" w:type="pct"/>
            <w:shd w:val="clear" w:color="auto" w:fill="auto"/>
            <w:vAlign w:val="center"/>
          </w:tcPr>
          <w:p w14:paraId="77EA5B59" w14:textId="4CF2733F" w:rsidR="003032B3" w:rsidRPr="001A51AE" w:rsidRDefault="00AB5B88" w:rsidP="00A70323">
            <w:pPr>
              <w:tabs>
                <w:tab w:val="left" w:pos="567"/>
                <w:tab w:val="left" w:pos="1134"/>
                <w:tab w:val="left" w:pos="1701"/>
              </w:tabs>
              <w:bidi/>
              <w:spacing w:before="60" w:after="60"/>
              <w:jc w:val="both"/>
              <w:rPr>
                <w:sz w:val="24"/>
              </w:rPr>
            </w:pPr>
            <w:r w:rsidRPr="001A51AE">
              <w:rPr>
                <w:sz w:val="24"/>
                <w:rtl/>
              </w:rPr>
              <w:t>1-5 مساهمة المراكز الثقافية، ومراكز الخبرة، ومؤسسات البحوث، والمتاحف، ودور المحفوظات، والمكتبات، وغيرها في صون التراث الثقافي غير المادي وإدارته.</w:t>
            </w:r>
          </w:p>
        </w:tc>
        <w:tc>
          <w:tcPr>
            <w:tcW w:w="796" w:type="pct"/>
            <w:shd w:val="clear" w:color="auto" w:fill="auto"/>
            <w:vAlign w:val="center"/>
          </w:tcPr>
          <w:p w14:paraId="74BF5B44" w14:textId="2FF60D6B" w:rsidR="009F715C" w:rsidRPr="001A51AE" w:rsidRDefault="00D0225B" w:rsidP="00A70323">
            <w:pPr>
              <w:bidi/>
              <w:spacing w:before="60" w:after="60"/>
              <w:jc w:val="both"/>
              <w:rPr>
                <w:sz w:val="24"/>
              </w:rPr>
            </w:pPr>
            <w:r w:rsidRPr="001A51AE">
              <w:rPr>
                <w:sz w:val="24"/>
                <w:rtl/>
              </w:rPr>
              <w:t>التوجيه التنفيذي</w:t>
            </w:r>
            <w:r w:rsidR="00254187" w:rsidRPr="001A51AE">
              <w:rPr>
                <w:sz w:val="24"/>
                <w:rtl/>
              </w:rPr>
              <w:t xml:space="preserve"> 79</w:t>
            </w:r>
            <w:r w:rsidR="00E33E86" w:rsidRPr="001A51AE">
              <w:rPr>
                <w:rFonts w:hint="cs"/>
                <w:sz w:val="24"/>
                <w:rtl/>
              </w:rPr>
              <w:t>، و</w:t>
            </w:r>
            <w:r w:rsidRPr="001A51AE">
              <w:rPr>
                <w:sz w:val="24"/>
                <w:rtl/>
              </w:rPr>
              <w:t>التوجيه التنفيذي</w:t>
            </w:r>
            <w:r w:rsidR="00254187" w:rsidRPr="001A51AE">
              <w:rPr>
                <w:sz w:val="24"/>
                <w:rtl/>
              </w:rPr>
              <w:t xml:space="preserve"> 109</w:t>
            </w:r>
          </w:p>
        </w:tc>
      </w:tr>
      <w:tr w:rsidR="005473CF" w:rsidRPr="00AB5B88" w14:paraId="0D562B7D" w14:textId="77777777" w:rsidTr="006D6DBA">
        <w:trPr>
          <w:cantSplit/>
        </w:trPr>
        <w:tc>
          <w:tcPr>
            <w:tcW w:w="786" w:type="pct"/>
            <w:shd w:val="clear" w:color="auto" w:fill="auto"/>
          </w:tcPr>
          <w:p w14:paraId="389F7F3D" w14:textId="4990E15C" w:rsidR="005473CF" w:rsidRPr="001A51AE" w:rsidRDefault="006D6DBA" w:rsidP="00A70323">
            <w:pPr>
              <w:bidi/>
              <w:spacing w:before="120"/>
              <w:rPr>
                <w:bCs/>
                <w:sz w:val="24"/>
              </w:rPr>
            </w:pPr>
            <w:r w:rsidRPr="001A51AE">
              <w:rPr>
                <w:bCs/>
                <w:sz w:val="24"/>
                <w:rtl/>
              </w:rPr>
              <w:t>العلاقة مع أهداف التنمية المستدامة والمؤشرات الأخرى</w:t>
            </w:r>
          </w:p>
        </w:tc>
        <w:tc>
          <w:tcPr>
            <w:tcW w:w="4214" w:type="pct"/>
            <w:gridSpan w:val="2"/>
            <w:shd w:val="clear" w:color="auto" w:fill="auto"/>
          </w:tcPr>
          <w:p w14:paraId="59E10739" w14:textId="222E8B2A" w:rsidR="005473CF" w:rsidRPr="001A51AE" w:rsidRDefault="00D46606" w:rsidP="00A70323">
            <w:pPr>
              <w:autoSpaceDE w:val="0"/>
              <w:autoSpaceDN w:val="0"/>
              <w:bidi/>
              <w:adjustRightInd w:val="0"/>
              <w:spacing w:after="0"/>
              <w:jc w:val="both"/>
              <w:rPr>
                <w:sz w:val="24"/>
              </w:rPr>
            </w:pPr>
            <w:r w:rsidRPr="001A51AE">
              <w:rPr>
                <w:rFonts w:hint="cs"/>
                <w:b/>
                <w:bCs/>
                <w:sz w:val="24"/>
                <w:rtl/>
              </w:rPr>
              <w:t>أ</w:t>
            </w:r>
            <w:r w:rsidRPr="001A51AE">
              <w:rPr>
                <w:b/>
                <w:bCs/>
                <w:sz w:val="24"/>
                <w:rtl/>
              </w:rPr>
              <w:t xml:space="preserve">هداف التنمية المستدامة: </w:t>
            </w:r>
            <w:r w:rsidRPr="001A51AE">
              <w:rPr>
                <w:sz w:val="24"/>
                <w:rtl/>
              </w:rPr>
              <w:t xml:space="preserve">يستجيب هذا المؤشر ككل </w:t>
            </w:r>
            <w:r w:rsidR="00A055C3" w:rsidRPr="001A51AE">
              <w:rPr>
                <w:rFonts w:hint="cs"/>
                <w:sz w:val="24"/>
                <w:rtl/>
              </w:rPr>
              <w:t>ل</w:t>
            </w:r>
            <w:r w:rsidRPr="001A51AE">
              <w:rPr>
                <w:sz w:val="24"/>
                <w:rtl/>
              </w:rPr>
              <w:t xml:space="preserve">لغاية </w:t>
            </w:r>
            <w:r w:rsidR="00AE17B5" w:rsidRPr="001A51AE">
              <w:rPr>
                <w:sz w:val="24"/>
                <w:rtl/>
              </w:rPr>
              <w:t>11-4</w:t>
            </w:r>
            <w:r w:rsidR="00A055C3" w:rsidRPr="001A51AE">
              <w:rPr>
                <w:rFonts w:hint="cs"/>
                <w:sz w:val="24"/>
                <w:rtl/>
              </w:rPr>
              <w:t xml:space="preserve"> من أهداف </w:t>
            </w:r>
            <w:r w:rsidR="00A055C3" w:rsidRPr="001A51AE">
              <w:rPr>
                <w:sz w:val="24"/>
                <w:rtl/>
              </w:rPr>
              <w:t>التنمية المستدامة</w:t>
            </w:r>
            <w:r w:rsidR="00AE17B5" w:rsidRPr="001A51AE">
              <w:rPr>
                <w:sz w:val="24"/>
                <w:rtl/>
              </w:rPr>
              <w:t xml:space="preserve">، "تعزيز الجهود الرامية </w:t>
            </w:r>
            <w:r w:rsidR="00D0225B" w:rsidRPr="001A51AE">
              <w:rPr>
                <w:rFonts w:hint="cs"/>
                <w:sz w:val="24"/>
                <w:rtl/>
              </w:rPr>
              <w:t>إلى</w:t>
            </w:r>
            <w:r w:rsidRPr="001A51AE">
              <w:rPr>
                <w:sz w:val="24"/>
                <w:rtl/>
              </w:rPr>
              <w:t xml:space="preserve"> حماية وصون التراث الثقافي والطبيعي العالمي". ومن خلال تشجيع الهيئات أو الآليات الرسمية لتنسيق مشاركة ال</w:t>
            </w:r>
            <w:r w:rsidR="00A17885" w:rsidRPr="001A51AE">
              <w:rPr>
                <w:rFonts w:hint="cs"/>
                <w:sz w:val="24"/>
                <w:rtl/>
              </w:rPr>
              <w:t>جماهير</w:t>
            </w:r>
            <w:r w:rsidRPr="001A51AE">
              <w:rPr>
                <w:sz w:val="24"/>
                <w:rtl/>
              </w:rPr>
              <w:t xml:space="preserve"> واسعة النطاق في الصون، </w:t>
            </w:r>
            <w:r w:rsidR="00A17885" w:rsidRPr="001A51AE">
              <w:rPr>
                <w:rFonts w:hint="cs"/>
                <w:sz w:val="24"/>
                <w:rtl/>
              </w:rPr>
              <w:t>و</w:t>
            </w:r>
            <w:r w:rsidRPr="001A51AE">
              <w:rPr>
                <w:sz w:val="24"/>
                <w:rtl/>
              </w:rPr>
              <w:t>يكمل عامل التقييم الشامل 1</w:t>
            </w:r>
            <w:r w:rsidR="00A20765" w:rsidRPr="001A51AE">
              <w:rPr>
                <w:sz w:val="24"/>
              </w:rPr>
              <w:t>-</w:t>
            </w:r>
            <w:r w:rsidRPr="001A51AE">
              <w:rPr>
                <w:sz w:val="24"/>
                <w:rtl/>
              </w:rPr>
              <w:t xml:space="preserve">3 </w:t>
            </w:r>
            <w:r w:rsidR="00A055C3" w:rsidRPr="001A51AE">
              <w:rPr>
                <w:rFonts w:hint="cs"/>
                <w:sz w:val="24"/>
                <w:rtl/>
              </w:rPr>
              <w:t>ال</w:t>
            </w:r>
            <w:r w:rsidRPr="001A51AE">
              <w:rPr>
                <w:sz w:val="24"/>
                <w:rtl/>
              </w:rPr>
              <w:t>غاية 16-6</w:t>
            </w:r>
            <w:r w:rsidR="00A055C3" w:rsidRPr="001A51AE">
              <w:rPr>
                <w:rFonts w:hint="cs"/>
                <w:sz w:val="24"/>
                <w:rtl/>
              </w:rPr>
              <w:t xml:space="preserve"> من أهداف </w:t>
            </w:r>
            <w:r w:rsidR="00A055C3" w:rsidRPr="001A51AE">
              <w:rPr>
                <w:sz w:val="24"/>
                <w:rtl/>
              </w:rPr>
              <w:t>التنمية المستدامة</w:t>
            </w:r>
            <w:r w:rsidRPr="001A51AE">
              <w:rPr>
                <w:sz w:val="24"/>
                <w:rtl/>
              </w:rPr>
              <w:t>، التي تهدف إلى "إنشاء مؤسسات فعالة وشفافة وخاضعة للمساءلة على جميع المستويات"، وكذلك الغاية 16-</w:t>
            </w:r>
            <w:r w:rsidR="00A055C3" w:rsidRPr="001A51AE">
              <w:rPr>
                <w:rFonts w:hint="cs"/>
                <w:sz w:val="24"/>
                <w:rtl/>
              </w:rPr>
              <w:t xml:space="preserve"> </w:t>
            </w:r>
            <w:r w:rsidRPr="001A51AE">
              <w:rPr>
                <w:sz w:val="24"/>
                <w:rtl/>
              </w:rPr>
              <w:t>7</w:t>
            </w:r>
            <w:r w:rsidR="00A055C3" w:rsidRPr="001A51AE">
              <w:rPr>
                <w:rFonts w:hint="cs"/>
                <w:sz w:val="24"/>
                <w:rtl/>
              </w:rPr>
              <w:t xml:space="preserve"> من أهداف </w:t>
            </w:r>
            <w:r w:rsidR="00A055C3" w:rsidRPr="001A51AE">
              <w:rPr>
                <w:sz w:val="24"/>
                <w:rtl/>
              </w:rPr>
              <w:t>التنمية المستدامة</w:t>
            </w:r>
            <w:r w:rsidRPr="001A51AE">
              <w:rPr>
                <w:sz w:val="24"/>
                <w:rtl/>
              </w:rPr>
              <w:t>، التي تهدف إلى "ضمان اتخاذ القرارات على نحو مستجيب للاحتياجات وشامل للجميع وتشاركي وتمثيلي على جميع المستويات".</w:t>
            </w:r>
          </w:p>
          <w:p w14:paraId="28DEFB29" w14:textId="40BF5E90" w:rsidR="005473CF" w:rsidRPr="001A51AE" w:rsidRDefault="00F57468" w:rsidP="00A70323">
            <w:pPr>
              <w:keepLines/>
              <w:bidi/>
              <w:spacing w:before="120"/>
              <w:jc w:val="both"/>
              <w:rPr>
                <w:bCs/>
                <w:sz w:val="24"/>
              </w:rPr>
            </w:pPr>
            <w:r w:rsidRPr="001A51AE">
              <w:rPr>
                <w:bCs/>
                <w:sz w:val="24"/>
                <w:rtl/>
              </w:rPr>
              <w:t>العلاقة بالمؤشرات الأخرى:</w:t>
            </w:r>
            <w:r w:rsidRPr="001A51AE">
              <w:rPr>
                <w:b/>
                <w:sz w:val="24"/>
                <w:rtl/>
              </w:rPr>
              <w:t xml:space="preserve"> يركز هذا المؤشر على القدرات المؤسسية، بينما يركز المؤشر 2 على القدرات البشرية. وعادةً ما تكون الهيئات والمؤسسات المشمولة هنا كيانات حكومية أو أُنشئت بدعم من الحكومة، بينما يتناول المؤشر 21 الأنشطة التكميلية للمنظمات غير الحكومية، والمنظمات </w:t>
            </w:r>
            <w:r w:rsidR="004545A1" w:rsidRPr="001A51AE">
              <w:rPr>
                <w:b/>
                <w:sz w:val="24"/>
                <w:rtl/>
              </w:rPr>
              <w:t>الجماعات</w:t>
            </w:r>
            <w:r w:rsidRPr="001A51AE">
              <w:rPr>
                <w:b/>
                <w:sz w:val="24"/>
                <w:rtl/>
              </w:rPr>
              <w:t xml:space="preserve">، وكيانات القطاع الخاص. تتم مناقشة أنشطة ونتائج البحث </w:t>
            </w:r>
            <w:r w:rsidR="002C31EB" w:rsidRPr="001A51AE">
              <w:rPr>
                <w:rFonts w:hint="cs"/>
                <w:b/>
                <w:sz w:val="24"/>
                <w:rtl/>
              </w:rPr>
              <w:t>وال</w:t>
            </w:r>
            <w:r w:rsidR="00FD6B03" w:rsidRPr="001A51AE">
              <w:rPr>
                <w:rFonts w:hint="cs"/>
                <w:b/>
                <w:sz w:val="24"/>
                <w:rtl/>
              </w:rPr>
              <w:t>توثيق</w:t>
            </w:r>
            <w:r w:rsidRPr="001A51AE">
              <w:rPr>
                <w:b/>
                <w:sz w:val="24"/>
                <w:rtl/>
              </w:rPr>
              <w:t xml:space="preserve"> </w:t>
            </w:r>
            <w:r w:rsidR="002F50AF" w:rsidRPr="001A51AE">
              <w:rPr>
                <w:rFonts w:hint="cs"/>
                <w:b/>
                <w:sz w:val="24"/>
                <w:rtl/>
              </w:rPr>
              <w:t>بموجب</w:t>
            </w:r>
            <w:r w:rsidRPr="001A51AE">
              <w:rPr>
                <w:b/>
                <w:sz w:val="24"/>
                <w:rtl/>
              </w:rPr>
              <w:t xml:space="preserve"> المؤشرين 9 و10، بينما ينصب التركيز هنا على المؤسسات في حد ذاتها. ويتناول المؤشر 22 </w:t>
            </w:r>
            <w:r w:rsidR="005D0BA0" w:rsidRPr="001A51AE">
              <w:rPr>
                <w:rFonts w:hint="cs"/>
                <w:b/>
                <w:sz w:val="24"/>
                <w:rtl/>
              </w:rPr>
              <w:t>إشراك</w:t>
            </w:r>
            <w:r w:rsidRPr="001A51AE">
              <w:rPr>
                <w:b/>
                <w:sz w:val="24"/>
                <w:rtl/>
              </w:rPr>
              <w:t xml:space="preserve"> مؤسسات البحوث ومراكز الخبرة في رصد الأرقام، بينما </w:t>
            </w:r>
            <w:r w:rsidR="002F50AF" w:rsidRPr="001A51AE">
              <w:rPr>
                <w:rFonts w:hint="cs"/>
                <w:b/>
                <w:sz w:val="24"/>
                <w:rtl/>
              </w:rPr>
              <w:t>ي</w:t>
            </w:r>
            <w:r w:rsidR="002F50AF" w:rsidRPr="001A51AE">
              <w:rPr>
                <w:rFonts w:hint="cs"/>
                <w:b/>
                <w:sz w:val="24"/>
                <w:rtl/>
                <w:lang w:bidi="ar-EG"/>
              </w:rPr>
              <w:t xml:space="preserve">نظر </w:t>
            </w:r>
            <w:r w:rsidRPr="001A51AE">
              <w:rPr>
                <w:b/>
                <w:sz w:val="24"/>
                <w:rtl/>
              </w:rPr>
              <w:t xml:space="preserve">المؤشر 25 </w:t>
            </w:r>
            <w:r w:rsidR="002F50AF" w:rsidRPr="001A51AE">
              <w:rPr>
                <w:rFonts w:hint="cs"/>
                <w:b/>
                <w:sz w:val="24"/>
                <w:rtl/>
                <w:lang w:bidi="ar-EG"/>
              </w:rPr>
              <w:t>في</w:t>
            </w:r>
            <w:r w:rsidR="002F50AF" w:rsidRPr="001A51AE">
              <w:rPr>
                <w:b/>
                <w:sz w:val="24"/>
                <w:rtl/>
              </w:rPr>
              <w:t xml:space="preserve"> </w:t>
            </w:r>
            <w:r w:rsidR="00E735EA" w:rsidRPr="001A51AE">
              <w:rPr>
                <w:rFonts w:hint="cs"/>
                <w:b/>
                <w:sz w:val="24"/>
                <w:rtl/>
              </w:rPr>
              <w:t xml:space="preserve">إقامة الشبكات </w:t>
            </w:r>
            <w:r w:rsidRPr="001A51AE">
              <w:rPr>
                <w:b/>
                <w:sz w:val="24"/>
                <w:rtl/>
              </w:rPr>
              <w:t>الدولي</w:t>
            </w:r>
            <w:r w:rsidR="00E735EA" w:rsidRPr="001A51AE">
              <w:rPr>
                <w:rFonts w:hint="cs"/>
                <w:b/>
                <w:sz w:val="24"/>
                <w:rtl/>
              </w:rPr>
              <w:t>ة</w:t>
            </w:r>
            <w:r w:rsidRPr="001A51AE">
              <w:rPr>
                <w:b/>
                <w:sz w:val="24"/>
                <w:rtl/>
              </w:rPr>
              <w:t xml:space="preserve"> بين هذه المؤسسات والمراكز.</w:t>
            </w:r>
            <w:r w:rsidR="000A0671" w:rsidRPr="001A51AE">
              <w:rPr>
                <w:bCs/>
                <w:sz w:val="24"/>
              </w:rPr>
              <w:t xml:space="preserve"> </w:t>
            </w:r>
          </w:p>
        </w:tc>
      </w:tr>
      <w:tr w:rsidR="00896177" w:rsidRPr="00AB5B88" w14:paraId="0B999A31" w14:textId="77777777" w:rsidTr="006D6DBA">
        <w:trPr>
          <w:cantSplit/>
        </w:trPr>
        <w:tc>
          <w:tcPr>
            <w:tcW w:w="786" w:type="pct"/>
            <w:shd w:val="clear" w:color="auto" w:fill="auto"/>
          </w:tcPr>
          <w:p w14:paraId="3DCF1AD9" w14:textId="7BF1964A" w:rsidR="00896177" w:rsidRPr="001A51AE" w:rsidRDefault="00E60B1B" w:rsidP="00A70323">
            <w:pPr>
              <w:bidi/>
              <w:spacing w:before="120"/>
              <w:rPr>
                <w:bCs/>
                <w:sz w:val="24"/>
              </w:rPr>
            </w:pPr>
            <w:r w:rsidRPr="001A51AE">
              <w:rPr>
                <w:rFonts w:hint="cs"/>
                <w:bCs/>
                <w:sz w:val="24"/>
                <w:rtl/>
              </w:rPr>
              <w:t xml:space="preserve">الأسس المنطقية </w:t>
            </w:r>
            <w:r w:rsidR="00CA1E3E" w:rsidRPr="001A51AE">
              <w:rPr>
                <w:rFonts w:hint="cs"/>
                <w:bCs/>
                <w:sz w:val="24"/>
                <w:rtl/>
              </w:rPr>
              <w:t>للإجراءات</w:t>
            </w:r>
          </w:p>
        </w:tc>
        <w:tc>
          <w:tcPr>
            <w:tcW w:w="4214" w:type="pct"/>
            <w:gridSpan w:val="2"/>
            <w:shd w:val="clear" w:color="auto" w:fill="auto"/>
          </w:tcPr>
          <w:p w14:paraId="4D45D8C3" w14:textId="5DC54A59" w:rsidR="00704766" w:rsidRPr="001A51AE" w:rsidRDefault="0033103A" w:rsidP="00A70323">
            <w:pPr>
              <w:keepLines/>
              <w:bidi/>
              <w:spacing w:before="120"/>
              <w:jc w:val="both"/>
              <w:rPr>
                <w:sz w:val="24"/>
              </w:rPr>
            </w:pPr>
            <w:r w:rsidRPr="001A51AE">
              <w:rPr>
                <w:sz w:val="24"/>
                <w:rtl/>
              </w:rPr>
              <w:t>تحدد المادة 13 (ب) مسؤولية الدولة الطرف في</w:t>
            </w:r>
            <w:r w:rsidR="00922985" w:rsidRPr="001A51AE">
              <w:rPr>
                <w:rFonts w:hint="cs"/>
                <w:sz w:val="24"/>
                <w:rtl/>
              </w:rPr>
              <w:t xml:space="preserve"> </w:t>
            </w:r>
            <w:r w:rsidR="00922985" w:rsidRPr="001A51AE">
              <w:rPr>
                <w:rFonts w:hint="cs"/>
                <w:sz w:val="24"/>
                <w:rtl/>
                <w:lang w:bidi="ar-EG"/>
              </w:rPr>
              <w:t>تعيين أو</w:t>
            </w:r>
            <w:r w:rsidRPr="001A51AE">
              <w:rPr>
                <w:sz w:val="24"/>
                <w:rtl/>
              </w:rPr>
              <w:t xml:space="preserve"> إنشاء </w:t>
            </w:r>
            <w:r w:rsidR="00922985" w:rsidRPr="001A51AE">
              <w:rPr>
                <w:rFonts w:hint="cs"/>
                <w:sz w:val="24"/>
                <w:rtl/>
              </w:rPr>
              <w:t xml:space="preserve">جهاز </w:t>
            </w:r>
            <w:r w:rsidR="00906370" w:rsidRPr="001A51AE">
              <w:rPr>
                <w:sz w:val="24"/>
                <w:rtl/>
              </w:rPr>
              <w:t xml:space="preserve">مختص </w:t>
            </w:r>
            <w:r w:rsidR="00922985" w:rsidRPr="001A51AE">
              <w:rPr>
                <w:rFonts w:hint="cs"/>
                <w:sz w:val="24"/>
                <w:rtl/>
              </w:rPr>
              <w:t>أو أكثر</w:t>
            </w:r>
            <w:r w:rsidR="00922985" w:rsidRPr="001A51AE">
              <w:rPr>
                <w:sz w:val="24"/>
                <w:rtl/>
              </w:rPr>
              <w:t xml:space="preserve"> </w:t>
            </w:r>
            <w:r w:rsidR="00906370" w:rsidRPr="001A51AE">
              <w:rPr>
                <w:rFonts w:hint="cs"/>
                <w:sz w:val="24"/>
                <w:rtl/>
              </w:rPr>
              <w:t xml:space="preserve">يمكنه </w:t>
            </w:r>
            <w:r w:rsidRPr="001A51AE">
              <w:rPr>
                <w:sz w:val="24"/>
                <w:rtl/>
              </w:rPr>
              <w:t>صون التراث الثقافي غير المادي. وفي الاتفاقية، تُفهم مثل هذه البنية التحتية المؤسسية على أنها شرط مسبق للصون الفعال، وفي العديد من البلدان، تُكلف هذه ال</w:t>
            </w:r>
            <w:r w:rsidR="00906370" w:rsidRPr="001A51AE">
              <w:rPr>
                <w:rFonts w:hint="cs"/>
                <w:sz w:val="24"/>
                <w:rtl/>
              </w:rPr>
              <w:t xml:space="preserve">أجهزة </w:t>
            </w:r>
            <w:r w:rsidRPr="001A51AE">
              <w:rPr>
                <w:sz w:val="24"/>
                <w:rtl/>
              </w:rPr>
              <w:t xml:space="preserve">بمسؤوليات محددة لتنفيذ الاتفاقية على </w:t>
            </w:r>
            <w:r w:rsidR="004545A1" w:rsidRPr="001A51AE">
              <w:rPr>
                <w:rFonts w:hint="cs"/>
                <w:sz w:val="24"/>
                <w:rtl/>
              </w:rPr>
              <w:t>الصعيد</w:t>
            </w:r>
            <w:r w:rsidRPr="001A51AE">
              <w:rPr>
                <w:sz w:val="24"/>
                <w:rtl/>
              </w:rPr>
              <w:t xml:space="preserve"> الوطني. ونظرًا إلى أن الاتفاقية تضع </w:t>
            </w:r>
            <w:r w:rsidR="000B06FE" w:rsidRPr="001A51AE">
              <w:rPr>
                <w:rFonts w:hint="cs"/>
                <w:sz w:val="24"/>
                <w:rtl/>
              </w:rPr>
              <w:t xml:space="preserve">الجماعات </w:t>
            </w:r>
            <w:r w:rsidRPr="001A51AE">
              <w:rPr>
                <w:sz w:val="24"/>
                <w:rtl/>
              </w:rPr>
              <w:t>والمجموعات والأفراد في قلب الصون</w:t>
            </w:r>
            <w:r w:rsidR="00906370" w:rsidRPr="001A51AE">
              <w:rPr>
                <w:rFonts w:hint="cs"/>
                <w:sz w:val="24"/>
                <w:rtl/>
              </w:rPr>
              <w:t>،</w:t>
            </w:r>
            <w:r w:rsidRPr="001A51AE">
              <w:rPr>
                <w:sz w:val="24"/>
                <w:rtl/>
              </w:rPr>
              <w:t xml:space="preserve"> وتتوقع مشاركة العديد من الجهات الفاعلة الأخرى، غالبًا ما تجد الدول أن إنشاء ال</w:t>
            </w:r>
            <w:r w:rsidR="00906370" w:rsidRPr="001A51AE">
              <w:rPr>
                <w:rFonts w:hint="cs"/>
                <w:sz w:val="24"/>
                <w:rtl/>
              </w:rPr>
              <w:t>أجهزة</w:t>
            </w:r>
            <w:r w:rsidR="00877378" w:rsidRPr="001A51AE">
              <w:rPr>
                <w:sz w:val="24"/>
                <w:rtl/>
              </w:rPr>
              <w:t xml:space="preserve"> أو الآليات الإضافية لتنسيق هذ</w:t>
            </w:r>
            <w:r w:rsidR="00906370" w:rsidRPr="001A51AE">
              <w:rPr>
                <w:rFonts w:hint="cs"/>
                <w:sz w:val="24"/>
                <w:rtl/>
              </w:rPr>
              <w:t>ه</w:t>
            </w:r>
            <w:r w:rsidR="00877378" w:rsidRPr="001A51AE">
              <w:rPr>
                <w:rFonts w:hint="cs"/>
                <w:sz w:val="24"/>
                <w:rtl/>
              </w:rPr>
              <w:t xml:space="preserve"> </w:t>
            </w:r>
            <w:r w:rsidR="00906370" w:rsidRPr="001A51AE">
              <w:rPr>
                <w:rFonts w:hint="cs"/>
                <w:sz w:val="24"/>
                <w:rtl/>
              </w:rPr>
              <w:t xml:space="preserve">المشاركة </w:t>
            </w:r>
            <w:r w:rsidRPr="001A51AE">
              <w:rPr>
                <w:sz w:val="24"/>
                <w:rtl/>
              </w:rPr>
              <w:t xml:space="preserve">أمرًا مفيدًا. كما تشمل هيئات أو مؤسسات الصون </w:t>
            </w:r>
            <w:r w:rsidR="00906370" w:rsidRPr="001A51AE">
              <w:rPr>
                <w:rFonts w:hint="cs"/>
                <w:sz w:val="24"/>
                <w:rtl/>
              </w:rPr>
              <w:t>المراكز</w:t>
            </w:r>
            <w:r w:rsidR="00906370" w:rsidRPr="001A51AE">
              <w:rPr>
                <w:sz w:val="24"/>
                <w:rtl/>
              </w:rPr>
              <w:t xml:space="preserve"> </w:t>
            </w:r>
            <w:r w:rsidR="00906370" w:rsidRPr="001A51AE">
              <w:rPr>
                <w:rFonts w:hint="cs"/>
                <w:sz w:val="24"/>
                <w:rtl/>
              </w:rPr>
              <w:t>الثقافية،</w:t>
            </w:r>
            <w:r w:rsidR="00906370" w:rsidRPr="001A51AE">
              <w:rPr>
                <w:sz w:val="24"/>
                <w:rtl/>
              </w:rPr>
              <w:t xml:space="preserve"> </w:t>
            </w:r>
            <w:r w:rsidR="00906370" w:rsidRPr="001A51AE">
              <w:rPr>
                <w:rFonts w:hint="cs"/>
                <w:sz w:val="24"/>
                <w:rtl/>
              </w:rPr>
              <w:t>ومراكز</w:t>
            </w:r>
            <w:r w:rsidR="00906370" w:rsidRPr="001A51AE">
              <w:rPr>
                <w:sz w:val="24"/>
                <w:rtl/>
              </w:rPr>
              <w:t xml:space="preserve"> </w:t>
            </w:r>
            <w:r w:rsidR="00906370" w:rsidRPr="001A51AE">
              <w:rPr>
                <w:rFonts w:hint="cs"/>
                <w:sz w:val="24"/>
                <w:rtl/>
              </w:rPr>
              <w:t>الخبرة،</w:t>
            </w:r>
            <w:r w:rsidR="00906370" w:rsidRPr="001A51AE">
              <w:rPr>
                <w:sz w:val="24"/>
                <w:rtl/>
              </w:rPr>
              <w:t xml:space="preserve"> </w:t>
            </w:r>
            <w:r w:rsidR="00906370" w:rsidRPr="001A51AE">
              <w:rPr>
                <w:rFonts w:hint="cs"/>
                <w:sz w:val="24"/>
                <w:rtl/>
              </w:rPr>
              <w:t>والمتاحف،</w:t>
            </w:r>
            <w:r w:rsidR="00906370" w:rsidRPr="001A51AE">
              <w:rPr>
                <w:sz w:val="24"/>
                <w:rtl/>
              </w:rPr>
              <w:t xml:space="preserve"> </w:t>
            </w:r>
            <w:r w:rsidR="00906370" w:rsidRPr="001A51AE">
              <w:rPr>
                <w:rFonts w:hint="cs"/>
                <w:sz w:val="24"/>
                <w:rtl/>
              </w:rPr>
              <w:t>ودور</w:t>
            </w:r>
            <w:r w:rsidR="00906370" w:rsidRPr="001A51AE">
              <w:rPr>
                <w:sz w:val="24"/>
                <w:rtl/>
              </w:rPr>
              <w:t xml:space="preserve"> </w:t>
            </w:r>
            <w:r w:rsidR="00906370" w:rsidRPr="001A51AE">
              <w:rPr>
                <w:rFonts w:hint="cs"/>
                <w:sz w:val="24"/>
                <w:rtl/>
              </w:rPr>
              <w:t>المحفوظات،</w:t>
            </w:r>
            <w:r w:rsidR="00906370" w:rsidRPr="001A51AE">
              <w:rPr>
                <w:sz w:val="24"/>
                <w:rtl/>
              </w:rPr>
              <w:t xml:space="preserve"> </w:t>
            </w:r>
            <w:r w:rsidR="00906370" w:rsidRPr="001A51AE">
              <w:rPr>
                <w:rFonts w:hint="cs"/>
                <w:sz w:val="24"/>
                <w:rtl/>
              </w:rPr>
              <w:t>والمكتبات،</w:t>
            </w:r>
            <w:r w:rsidR="00906370" w:rsidRPr="001A51AE">
              <w:rPr>
                <w:sz w:val="24"/>
                <w:rtl/>
              </w:rPr>
              <w:t xml:space="preserve"> </w:t>
            </w:r>
            <w:r w:rsidR="00906370" w:rsidRPr="001A51AE">
              <w:rPr>
                <w:rFonts w:hint="cs"/>
                <w:sz w:val="24"/>
                <w:rtl/>
              </w:rPr>
              <w:t>وغيرها من مؤسسات</w:t>
            </w:r>
            <w:r w:rsidR="00906370" w:rsidRPr="001A51AE">
              <w:rPr>
                <w:sz w:val="24"/>
                <w:rtl/>
              </w:rPr>
              <w:t xml:space="preserve"> </w:t>
            </w:r>
            <w:r w:rsidR="00906370" w:rsidRPr="001A51AE">
              <w:rPr>
                <w:rFonts w:hint="cs"/>
                <w:sz w:val="24"/>
                <w:rtl/>
              </w:rPr>
              <w:t>البحوث</w:t>
            </w:r>
            <w:r w:rsidR="00906370" w:rsidRPr="001A51AE">
              <w:rPr>
                <w:sz w:val="24"/>
                <w:rtl/>
              </w:rPr>
              <w:t xml:space="preserve"> </w:t>
            </w:r>
            <w:r w:rsidRPr="001A51AE">
              <w:rPr>
                <w:sz w:val="24"/>
                <w:rtl/>
              </w:rPr>
              <w:t>التي قد يكون لها دور في توثيق التراث الثقافي غير المادي (المادة 13 (د) (3))، بالإضافة إلى دور أوسع في صون التراث الثقافي غير المادي وإدارته.</w:t>
            </w:r>
          </w:p>
        </w:tc>
      </w:tr>
      <w:tr w:rsidR="00704766" w:rsidRPr="00AB5B88" w14:paraId="2D6BF3D9" w14:textId="77777777" w:rsidTr="006D6DBA">
        <w:trPr>
          <w:cantSplit/>
        </w:trPr>
        <w:tc>
          <w:tcPr>
            <w:tcW w:w="786" w:type="pct"/>
            <w:shd w:val="clear" w:color="auto" w:fill="auto"/>
          </w:tcPr>
          <w:p w14:paraId="3848AE23" w14:textId="780DD13A" w:rsidR="00056F67" w:rsidRPr="001A51AE" w:rsidRDefault="004F5A6C" w:rsidP="00A70323">
            <w:pPr>
              <w:bidi/>
              <w:spacing w:before="120" w:after="60"/>
              <w:jc w:val="both"/>
              <w:rPr>
                <w:bCs/>
                <w:sz w:val="24"/>
              </w:rPr>
            </w:pPr>
            <w:r w:rsidRPr="001A51AE">
              <w:rPr>
                <w:rFonts w:hint="cs"/>
                <w:bCs/>
                <w:sz w:val="24"/>
                <w:rtl/>
              </w:rPr>
              <w:lastRenderedPageBreak/>
              <w:t>المصطلحات الرئيسية</w:t>
            </w:r>
          </w:p>
        </w:tc>
        <w:tc>
          <w:tcPr>
            <w:tcW w:w="4214" w:type="pct"/>
            <w:gridSpan w:val="2"/>
            <w:shd w:val="clear" w:color="auto" w:fill="auto"/>
          </w:tcPr>
          <w:p w14:paraId="574D39B9" w14:textId="2D0411B7" w:rsidR="00704766" w:rsidRPr="001A51AE" w:rsidRDefault="00605DB3" w:rsidP="00A70323">
            <w:pPr>
              <w:pStyle w:val="ListParagraph"/>
              <w:numPr>
                <w:ilvl w:val="0"/>
                <w:numId w:val="71"/>
              </w:numPr>
              <w:bidi/>
              <w:spacing w:before="120" w:after="120"/>
              <w:ind w:left="714" w:hanging="357"/>
              <w:jc w:val="both"/>
              <w:rPr>
                <w:rFonts w:ascii="Times New Roman" w:hAnsi="Times New Roman"/>
                <w:sz w:val="24"/>
                <w:szCs w:val="24"/>
                <w:lang w:val="en-GB"/>
              </w:rPr>
            </w:pPr>
            <w:r w:rsidRPr="001A51AE">
              <w:rPr>
                <w:rFonts w:ascii="Times New Roman" w:hAnsi="Times New Roman" w:hint="cs"/>
                <w:sz w:val="24"/>
                <w:szCs w:val="24"/>
                <w:rtl/>
                <w:lang w:val="en-GB"/>
              </w:rPr>
              <w:t>ال</w:t>
            </w:r>
            <w:r w:rsidR="00055179" w:rsidRPr="001A51AE">
              <w:rPr>
                <w:rFonts w:ascii="Times New Roman" w:hAnsi="Times New Roman" w:hint="cs"/>
                <w:sz w:val="24"/>
                <w:szCs w:val="24"/>
                <w:rtl/>
                <w:lang w:val="en-GB"/>
              </w:rPr>
              <w:t>أ</w:t>
            </w:r>
            <w:r w:rsidR="00ED3333" w:rsidRPr="001A51AE">
              <w:rPr>
                <w:rFonts w:ascii="Times New Roman" w:hAnsi="Times New Roman" w:hint="cs"/>
                <w:sz w:val="24"/>
                <w:szCs w:val="24"/>
                <w:rtl/>
                <w:lang w:val="en-GB"/>
              </w:rPr>
              <w:t>جهز</w:t>
            </w:r>
            <w:r w:rsidR="00055179" w:rsidRPr="001A51AE">
              <w:rPr>
                <w:rFonts w:ascii="Times New Roman" w:hAnsi="Times New Roman" w:hint="cs"/>
                <w:sz w:val="24"/>
                <w:szCs w:val="24"/>
                <w:rtl/>
                <w:lang w:val="en-GB"/>
              </w:rPr>
              <w:t>ة</w:t>
            </w:r>
            <w:r w:rsidR="00ED3333" w:rsidRPr="001A51AE">
              <w:rPr>
                <w:rFonts w:ascii="Times New Roman" w:hAnsi="Times New Roman" w:hint="cs"/>
                <w:sz w:val="24"/>
                <w:szCs w:val="24"/>
                <w:rtl/>
                <w:lang w:val="en-GB"/>
              </w:rPr>
              <w:t xml:space="preserve"> </w:t>
            </w:r>
            <w:r w:rsidRPr="001A51AE">
              <w:rPr>
                <w:rFonts w:ascii="Times New Roman" w:hAnsi="Times New Roman" w:hint="cs"/>
                <w:sz w:val="24"/>
                <w:szCs w:val="24"/>
                <w:rtl/>
                <w:lang w:val="en-GB"/>
              </w:rPr>
              <w:t>ال</w:t>
            </w:r>
            <w:r w:rsidR="00796A0E" w:rsidRPr="001A51AE">
              <w:rPr>
                <w:rFonts w:ascii="Times New Roman" w:hAnsi="Times New Roman" w:hint="cs"/>
                <w:sz w:val="24"/>
                <w:szCs w:val="24"/>
                <w:rtl/>
                <w:lang w:val="en-GB"/>
              </w:rPr>
              <w:t>مختص</w:t>
            </w:r>
            <w:r w:rsidR="00055179" w:rsidRPr="001A51AE">
              <w:rPr>
                <w:rFonts w:ascii="Times New Roman" w:hAnsi="Times New Roman" w:hint="cs"/>
                <w:sz w:val="24"/>
                <w:szCs w:val="24"/>
                <w:rtl/>
                <w:lang w:val="en-GB"/>
              </w:rPr>
              <w:t>ة</w:t>
            </w:r>
          </w:p>
          <w:p w14:paraId="48AC5336" w14:textId="4D761DA8" w:rsidR="007710E1" w:rsidRPr="001A51AE" w:rsidRDefault="00796A0E" w:rsidP="00A70323">
            <w:pPr>
              <w:pStyle w:val="ListParagraph"/>
              <w:numPr>
                <w:ilvl w:val="0"/>
                <w:numId w:val="71"/>
              </w:numPr>
              <w:bidi/>
              <w:spacing w:before="120" w:after="120"/>
              <w:ind w:left="714" w:hanging="357"/>
              <w:jc w:val="both"/>
              <w:rPr>
                <w:rFonts w:ascii="Times New Roman" w:hAnsi="Times New Roman"/>
                <w:sz w:val="24"/>
                <w:szCs w:val="24"/>
                <w:lang w:val="en-GB"/>
              </w:rPr>
            </w:pPr>
            <w:r w:rsidRPr="001A51AE">
              <w:rPr>
                <w:rFonts w:ascii="Times New Roman" w:hAnsi="Times New Roman" w:hint="cs"/>
                <w:sz w:val="24"/>
                <w:szCs w:val="24"/>
                <w:rtl/>
                <w:lang w:val="en-GB"/>
              </w:rPr>
              <w:t xml:space="preserve">عناصر </w:t>
            </w:r>
            <w:r w:rsidRPr="001A51AE">
              <w:rPr>
                <w:rFonts w:ascii="Times New Roman" w:hAnsi="Times New Roman"/>
                <w:sz w:val="24"/>
                <w:szCs w:val="24"/>
                <w:rtl/>
                <w:lang w:val="en-GB"/>
              </w:rPr>
              <w:t>التراث الثقافي غير المادي</w:t>
            </w:r>
          </w:p>
          <w:p w14:paraId="6521C9A3" w14:textId="77777777" w:rsidR="00360576" w:rsidRPr="001A51AE" w:rsidRDefault="00360576" w:rsidP="00A70323">
            <w:pPr>
              <w:pStyle w:val="ListParagraph"/>
              <w:numPr>
                <w:ilvl w:val="0"/>
                <w:numId w:val="71"/>
              </w:numPr>
              <w:bidi/>
              <w:spacing w:before="120" w:after="120"/>
              <w:jc w:val="both"/>
              <w:rPr>
                <w:rFonts w:ascii="Times New Roman" w:hAnsi="Times New Roman"/>
                <w:sz w:val="24"/>
                <w:szCs w:val="24"/>
                <w:lang w:val="en-GB"/>
              </w:rPr>
            </w:pPr>
            <w:r w:rsidRPr="001A51AE">
              <w:rPr>
                <w:rFonts w:ascii="Times New Roman" w:hAnsi="Times New Roman"/>
                <w:sz w:val="24"/>
                <w:szCs w:val="24"/>
                <w:rtl/>
                <w:lang w:val="en-GB"/>
              </w:rPr>
              <w:t>مدرج (سواء كان مدرجًا أم لا)</w:t>
            </w:r>
          </w:p>
          <w:p w14:paraId="42399C01" w14:textId="3ABF663B" w:rsidR="007710E1" w:rsidRPr="001A51AE" w:rsidRDefault="00ED3333" w:rsidP="00A70323">
            <w:pPr>
              <w:pStyle w:val="ListParagraph"/>
              <w:numPr>
                <w:ilvl w:val="0"/>
                <w:numId w:val="71"/>
              </w:numPr>
              <w:bidi/>
              <w:spacing w:before="120" w:after="120"/>
              <w:jc w:val="both"/>
              <w:rPr>
                <w:rFonts w:ascii="Times New Roman" w:hAnsi="Times New Roman"/>
                <w:sz w:val="24"/>
                <w:szCs w:val="24"/>
                <w:lang w:val="en-GB"/>
              </w:rPr>
            </w:pPr>
            <w:r w:rsidRPr="001A51AE">
              <w:rPr>
                <w:rFonts w:ascii="Times New Roman" w:hAnsi="Times New Roman" w:hint="cs"/>
                <w:sz w:val="24"/>
                <w:szCs w:val="24"/>
                <w:rtl/>
                <w:lang w:val="en-GB"/>
              </w:rPr>
              <w:t>شامل/ شمولي</w:t>
            </w:r>
            <w:r w:rsidR="00055179" w:rsidRPr="001A51AE">
              <w:rPr>
                <w:rFonts w:ascii="Times New Roman" w:hAnsi="Times New Roman" w:hint="cs"/>
                <w:sz w:val="24"/>
                <w:szCs w:val="24"/>
                <w:rtl/>
                <w:lang w:val="en-GB"/>
              </w:rPr>
              <w:t>ة</w:t>
            </w:r>
          </w:p>
          <w:p w14:paraId="7352788E" w14:textId="17FF4C26" w:rsidR="00526656" w:rsidRPr="001A51AE" w:rsidRDefault="00605DB3" w:rsidP="00A70323">
            <w:pPr>
              <w:pStyle w:val="ListParagraph"/>
              <w:numPr>
                <w:ilvl w:val="0"/>
                <w:numId w:val="71"/>
              </w:numPr>
              <w:bidi/>
              <w:spacing w:before="120" w:after="120"/>
              <w:jc w:val="both"/>
              <w:rPr>
                <w:rFonts w:ascii="Times New Roman" w:hAnsi="Times New Roman"/>
                <w:sz w:val="24"/>
                <w:szCs w:val="24"/>
                <w:lang w:val="en-GB"/>
              </w:rPr>
            </w:pPr>
            <w:r w:rsidRPr="001A51AE">
              <w:rPr>
                <w:rFonts w:ascii="Times New Roman" w:hAnsi="Times New Roman" w:hint="cs"/>
                <w:sz w:val="24"/>
                <w:szCs w:val="24"/>
                <w:rtl/>
                <w:lang w:val="en-GB"/>
              </w:rPr>
              <w:t>ال</w:t>
            </w:r>
            <w:r w:rsidR="00182D84" w:rsidRPr="001A51AE">
              <w:rPr>
                <w:rFonts w:ascii="Times New Roman" w:hAnsi="Times New Roman"/>
                <w:sz w:val="24"/>
                <w:szCs w:val="24"/>
                <w:rtl/>
                <w:lang w:val="en-GB"/>
              </w:rPr>
              <w:t xml:space="preserve">مشاركة أو </w:t>
            </w:r>
            <w:r w:rsidRPr="001A51AE">
              <w:rPr>
                <w:rFonts w:ascii="Times New Roman" w:hAnsi="Times New Roman" w:hint="cs"/>
                <w:sz w:val="24"/>
                <w:szCs w:val="24"/>
                <w:rtl/>
                <w:lang w:val="en-GB"/>
              </w:rPr>
              <w:t>ال</w:t>
            </w:r>
            <w:r w:rsidR="00182D84" w:rsidRPr="001A51AE">
              <w:rPr>
                <w:rFonts w:ascii="Times New Roman" w:hAnsi="Times New Roman" w:hint="cs"/>
                <w:sz w:val="24"/>
                <w:szCs w:val="24"/>
                <w:rtl/>
                <w:lang w:val="en-GB"/>
              </w:rPr>
              <w:t>إشراك</w:t>
            </w:r>
          </w:p>
          <w:p w14:paraId="5BE32AE7" w14:textId="3A853F8A" w:rsidR="00206600" w:rsidRPr="001A51AE" w:rsidRDefault="000B06FE" w:rsidP="00A70323">
            <w:pPr>
              <w:pStyle w:val="ListParagraph"/>
              <w:numPr>
                <w:ilvl w:val="0"/>
                <w:numId w:val="71"/>
              </w:numPr>
              <w:bidi/>
              <w:spacing w:before="120" w:after="120"/>
              <w:jc w:val="both"/>
              <w:rPr>
                <w:rFonts w:ascii="Times New Roman" w:hAnsi="Times New Roman"/>
                <w:sz w:val="24"/>
                <w:szCs w:val="24"/>
                <w:lang w:val="en-GB"/>
              </w:rPr>
            </w:pPr>
            <w:r w:rsidRPr="001A51AE">
              <w:rPr>
                <w:rFonts w:ascii="Times New Roman" w:hAnsi="Times New Roman"/>
                <w:sz w:val="24"/>
                <w:szCs w:val="24"/>
                <w:rtl/>
                <w:lang w:val="en-GB"/>
              </w:rPr>
              <w:t xml:space="preserve">جماعات </w:t>
            </w:r>
            <w:r w:rsidR="004A4DD4" w:rsidRPr="001A51AE">
              <w:rPr>
                <w:rFonts w:ascii="Times New Roman" w:hAnsi="Times New Roman"/>
                <w:sz w:val="24"/>
                <w:szCs w:val="24"/>
                <w:rtl/>
                <w:lang w:val="en-GB"/>
              </w:rPr>
              <w:t xml:space="preserve">أو </w:t>
            </w:r>
            <w:r w:rsidR="00206600" w:rsidRPr="001A51AE">
              <w:rPr>
                <w:rFonts w:ascii="Times New Roman" w:hAnsi="Times New Roman"/>
                <w:sz w:val="24"/>
                <w:szCs w:val="24"/>
                <w:rtl/>
                <w:lang w:val="en-GB"/>
              </w:rPr>
              <w:t>مجموعات أو،</w:t>
            </w:r>
            <w:r w:rsidR="004A4DD4" w:rsidRPr="001A51AE">
              <w:rPr>
                <w:rFonts w:ascii="Times New Roman" w:hAnsi="Times New Roman" w:hint="cs"/>
                <w:sz w:val="24"/>
                <w:szCs w:val="24"/>
                <w:rtl/>
                <w:lang w:val="en-GB"/>
              </w:rPr>
              <w:t xml:space="preserve"> أحيانًا </w:t>
            </w:r>
            <w:r w:rsidR="00206600" w:rsidRPr="001A51AE">
              <w:rPr>
                <w:rFonts w:ascii="Times New Roman" w:hAnsi="Times New Roman"/>
                <w:sz w:val="24"/>
                <w:szCs w:val="24"/>
                <w:rtl/>
                <w:lang w:val="en-GB"/>
              </w:rPr>
              <w:t>الأفراد</w:t>
            </w:r>
          </w:p>
          <w:p w14:paraId="1B9F26FF" w14:textId="08E459E5" w:rsidR="00526656" w:rsidRPr="001A51AE" w:rsidRDefault="004A4DD4" w:rsidP="00A70323">
            <w:pPr>
              <w:pStyle w:val="ListParagraph"/>
              <w:numPr>
                <w:ilvl w:val="0"/>
                <w:numId w:val="71"/>
              </w:numPr>
              <w:bidi/>
              <w:spacing w:before="120" w:after="120"/>
              <w:jc w:val="both"/>
              <w:rPr>
                <w:rFonts w:ascii="Times New Roman" w:hAnsi="Times New Roman"/>
                <w:sz w:val="24"/>
                <w:szCs w:val="24"/>
                <w:lang w:val="en-GB"/>
              </w:rPr>
            </w:pPr>
            <w:r w:rsidRPr="001A51AE">
              <w:rPr>
                <w:rFonts w:ascii="Times New Roman" w:hAnsi="Times New Roman"/>
                <w:sz w:val="24"/>
                <w:szCs w:val="24"/>
                <w:rtl/>
                <w:lang w:val="en-GB"/>
              </w:rPr>
              <w:t xml:space="preserve">هيئة استشارية أو آلية </w:t>
            </w:r>
            <w:r w:rsidR="00526656" w:rsidRPr="001A51AE">
              <w:rPr>
                <w:rFonts w:ascii="Times New Roman" w:hAnsi="Times New Roman"/>
                <w:sz w:val="24"/>
                <w:szCs w:val="24"/>
                <w:rtl/>
                <w:lang w:val="en-GB"/>
              </w:rPr>
              <w:t>تنسيق</w:t>
            </w:r>
          </w:p>
          <w:p w14:paraId="607FA86E" w14:textId="43A7D795" w:rsidR="007710E1" w:rsidRPr="001A51AE" w:rsidRDefault="00B533F5" w:rsidP="00A70323">
            <w:pPr>
              <w:pStyle w:val="ListParagraph"/>
              <w:numPr>
                <w:ilvl w:val="0"/>
                <w:numId w:val="71"/>
              </w:numPr>
              <w:bidi/>
              <w:spacing w:before="120" w:after="120"/>
              <w:jc w:val="both"/>
              <w:rPr>
                <w:rFonts w:ascii="Times New Roman" w:hAnsi="Times New Roman"/>
                <w:sz w:val="24"/>
                <w:szCs w:val="24"/>
                <w:lang w:val="en-GB"/>
              </w:rPr>
            </w:pPr>
            <w:r w:rsidRPr="001A51AE">
              <w:rPr>
                <w:rFonts w:ascii="Times New Roman" w:hAnsi="Times New Roman" w:hint="cs"/>
                <w:sz w:val="24"/>
                <w:szCs w:val="24"/>
                <w:rtl/>
                <w:lang w:val="en-GB"/>
              </w:rPr>
              <w:t>مراكز الخبرة</w:t>
            </w:r>
          </w:p>
          <w:p w14:paraId="1C6D6FEF" w14:textId="2DA0B83B" w:rsidR="007710E1" w:rsidRPr="001A51AE" w:rsidRDefault="00B533F5" w:rsidP="00A70323">
            <w:pPr>
              <w:pStyle w:val="ListParagraph"/>
              <w:numPr>
                <w:ilvl w:val="0"/>
                <w:numId w:val="71"/>
              </w:numPr>
              <w:bidi/>
              <w:spacing w:before="120" w:after="120"/>
              <w:ind w:left="714" w:hanging="357"/>
              <w:jc w:val="both"/>
              <w:rPr>
                <w:rFonts w:ascii="Times New Roman" w:hAnsi="Times New Roman"/>
                <w:sz w:val="24"/>
                <w:szCs w:val="24"/>
                <w:lang w:val="en-GB"/>
              </w:rPr>
            </w:pPr>
            <w:r w:rsidRPr="001A51AE">
              <w:rPr>
                <w:rFonts w:ascii="Times New Roman" w:hAnsi="Times New Roman" w:hint="cs"/>
                <w:sz w:val="24"/>
                <w:szCs w:val="24"/>
                <w:rtl/>
                <w:lang w:val="en-GB"/>
              </w:rPr>
              <w:t>مؤسسات البحوث</w:t>
            </w:r>
          </w:p>
        </w:tc>
      </w:tr>
    </w:tbl>
    <w:p w14:paraId="2176A560" w14:textId="77777777" w:rsidR="0054175C" w:rsidRPr="00BD4C7C" w:rsidRDefault="0054175C" w:rsidP="00A70323">
      <w:pPr>
        <w:bidi/>
        <w:jc w:val="center"/>
        <w:rPr>
          <w:rFonts w:ascii="Arial" w:hAnsi="Arial" w:cs="Arial"/>
          <w:b/>
          <w:sz w:val="24"/>
        </w:rPr>
        <w:sectPr w:rsidR="0054175C" w:rsidRPr="00BD4C7C" w:rsidSect="000F25BA">
          <w:footerReference w:type="default" r:id="rId8"/>
          <w:pgSz w:w="11906" w:h="16838" w:code="9"/>
          <w:pgMar w:top="1418" w:right="1134" w:bottom="1134" w:left="1134" w:header="397" w:footer="284" w:gutter="0"/>
          <w:cols w:space="708"/>
          <w:docGrid w:linePitch="360"/>
        </w:sectPr>
      </w:pPr>
    </w:p>
    <w:p w14:paraId="5FB309AC" w14:textId="4BAF619C" w:rsidR="0054175C" w:rsidRPr="00F54F77" w:rsidRDefault="00290D41" w:rsidP="00A70323">
      <w:pPr>
        <w:bidi/>
        <w:jc w:val="center"/>
        <w:rPr>
          <w:bCs/>
          <w:sz w:val="28"/>
          <w:szCs w:val="28"/>
        </w:rPr>
      </w:pPr>
      <w:r w:rsidRPr="00F54F77">
        <w:rPr>
          <w:bCs/>
          <w:sz w:val="28"/>
          <w:szCs w:val="28"/>
          <w:rtl/>
        </w:rPr>
        <w:t>التوجيهات المحددة بشأن الرصد و</w:t>
      </w:r>
      <w:r w:rsidR="00055179" w:rsidRPr="00F54F77">
        <w:rPr>
          <w:rFonts w:hint="cs"/>
          <w:bCs/>
          <w:sz w:val="28"/>
          <w:szCs w:val="28"/>
          <w:rtl/>
        </w:rPr>
        <w:t>ا</w:t>
      </w:r>
      <w:r w:rsidR="007E126F">
        <w:rPr>
          <w:rFonts w:hint="cs"/>
          <w:bCs/>
          <w:sz w:val="28"/>
          <w:szCs w:val="28"/>
          <w:rtl/>
        </w:rPr>
        <w:t>لتقرير</w:t>
      </w:r>
      <w:r w:rsidR="00055179" w:rsidRPr="00F54F77">
        <w:rPr>
          <w:rFonts w:hint="cs"/>
          <w:bCs/>
          <w:sz w:val="28"/>
          <w:szCs w:val="28"/>
          <w:rtl/>
        </w:rPr>
        <w:t xml:space="preserve"> </w:t>
      </w:r>
      <w:r w:rsidRPr="00F54F77">
        <w:rPr>
          <w:bCs/>
          <w:sz w:val="28"/>
          <w:szCs w:val="28"/>
          <w:rtl/>
        </w:rPr>
        <w:t>الدوري</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8222"/>
      </w:tblGrid>
      <w:tr w:rsidR="009C0510" w:rsidRPr="00F54F77" w14:paraId="3FD666A5" w14:textId="77777777" w:rsidTr="006D6DBA">
        <w:tc>
          <w:tcPr>
            <w:tcW w:w="730" w:type="pct"/>
            <w:shd w:val="clear" w:color="auto" w:fill="auto"/>
          </w:tcPr>
          <w:p w14:paraId="7286F55B" w14:textId="3104EB7E" w:rsidR="002C28BA" w:rsidRPr="00F54F77" w:rsidRDefault="006D6DBA" w:rsidP="00A70323">
            <w:pPr>
              <w:bidi/>
              <w:spacing w:before="120"/>
              <w:rPr>
                <w:bCs/>
                <w:sz w:val="24"/>
              </w:rPr>
            </w:pPr>
            <w:r w:rsidRPr="00F54F77">
              <w:rPr>
                <w:bCs/>
                <w:sz w:val="24"/>
                <w:rtl/>
              </w:rPr>
              <w:t>فوائد الرصد</w:t>
            </w:r>
          </w:p>
        </w:tc>
        <w:tc>
          <w:tcPr>
            <w:tcW w:w="4270" w:type="pct"/>
            <w:shd w:val="clear" w:color="auto" w:fill="auto"/>
          </w:tcPr>
          <w:p w14:paraId="3E7F9726" w14:textId="13B786A3" w:rsidR="002C28BA" w:rsidRPr="00F54F77" w:rsidRDefault="00897443" w:rsidP="00A70323">
            <w:pPr>
              <w:keepLines/>
              <w:bidi/>
              <w:spacing w:before="120"/>
              <w:jc w:val="both"/>
              <w:rPr>
                <w:b/>
                <w:sz w:val="24"/>
              </w:rPr>
            </w:pPr>
            <w:r w:rsidRPr="00F54F77">
              <w:rPr>
                <w:b/>
                <w:sz w:val="24"/>
                <w:rtl/>
              </w:rPr>
              <w:t xml:space="preserve">قد يزود رصد هذا المؤشر الدولة الطرف بخريطة للمؤسسات النشطة في مجال التراث الثقافي غير المادي ويساعد في تحديد الفجوات أو نقاط الضعف المؤسسية ومعالجتها. كما </w:t>
            </w:r>
            <w:r w:rsidR="00055179" w:rsidRPr="00F54F77">
              <w:rPr>
                <w:rFonts w:hint="cs"/>
                <w:b/>
                <w:sz w:val="24"/>
                <w:rtl/>
                <w:lang w:bidi="ar-EG"/>
              </w:rPr>
              <w:t>يمكن</w:t>
            </w:r>
            <w:r w:rsidRPr="00F54F77">
              <w:rPr>
                <w:b/>
                <w:sz w:val="24"/>
                <w:rtl/>
              </w:rPr>
              <w:t xml:space="preserve"> </w:t>
            </w:r>
            <w:r w:rsidR="00055179" w:rsidRPr="00F54F77">
              <w:rPr>
                <w:rFonts w:hint="cs"/>
                <w:b/>
                <w:sz w:val="24"/>
                <w:rtl/>
              </w:rPr>
              <w:t xml:space="preserve">أن </w:t>
            </w:r>
            <w:r w:rsidRPr="00F54F77">
              <w:rPr>
                <w:b/>
                <w:sz w:val="24"/>
                <w:rtl/>
              </w:rPr>
              <w:t xml:space="preserve">يساعد في تقييم ما إذا كانت </w:t>
            </w:r>
            <w:r w:rsidR="00055179" w:rsidRPr="00F54F77">
              <w:rPr>
                <w:rFonts w:hint="cs"/>
                <w:b/>
                <w:sz w:val="24"/>
                <w:rtl/>
              </w:rPr>
              <w:t>الأجهزة</w:t>
            </w:r>
            <w:r w:rsidRPr="00F54F77">
              <w:rPr>
                <w:b/>
                <w:sz w:val="24"/>
                <w:rtl/>
              </w:rPr>
              <w:t xml:space="preserve"> المختصة حاليًا بصون التراث الثقافي غير المادي تعمل بفعالية على تعبئة جهود الصون التي تبذلها الجهات الفاعلة الأخرى </w:t>
            </w:r>
            <w:r w:rsidR="00055179" w:rsidRPr="00F54F77">
              <w:rPr>
                <w:rFonts w:hint="cs"/>
                <w:b/>
                <w:sz w:val="24"/>
                <w:rtl/>
              </w:rPr>
              <w:t>و</w:t>
            </w:r>
            <w:r w:rsidRPr="00F54F77">
              <w:rPr>
                <w:b/>
                <w:sz w:val="24"/>
                <w:rtl/>
              </w:rPr>
              <w:t>ت</w:t>
            </w:r>
            <w:r w:rsidR="00055179" w:rsidRPr="00F54F77">
              <w:rPr>
                <w:rFonts w:hint="cs"/>
                <w:b/>
                <w:sz w:val="24"/>
                <w:rtl/>
              </w:rPr>
              <w:t>و</w:t>
            </w:r>
            <w:r w:rsidR="00055179" w:rsidRPr="00F54F77">
              <w:rPr>
                <w:rFonts w:hint="cs"/>
                <w:b/>
                <w:sz w:val="24"/>
                <w:rtl/>
                <w:lang w:bidi="ar-EG"/>
              </w:rPr>
              <w:t>حيدها</w:t>
            </w:r>
            <w:r w:rsidRPr="00F54F77">
              <w:rPr>
                <w:b/>
                <w:sz w:val="24"/>
                <w:rtl/>
              </w:rPr>
              <w:t>.</w:t>
            </w:r>
            <w:r w:rsidR="00DA2B35">
              <w:rPr>
                <w:rFonts w:hint="cs"/>
                <w:b/>
                <w:sz w:val="24"/>
                <w:rtl/>
              </w:rPr>
              <w:t>،</w:t>
            </w:r>
            <w:r w:rsidRPr="00F54F77">
              <w:rPr>
                <w:b/>
                <w:sz w:val="24"/>
                <w:rtl/>
              </w:rPr>
              <w:t xml:space="preserve"> وعلى </w:t>
            </w:r>
            <w:r w:rsidR="004545A1" w:rsidRPr="00F54F77">
              <w:rPr>
                <w:rFonts w:hint="cs"/>
                <w:b/>
                <w:sz w:val="24"/>
                <w:rtl/>
              </w:rPr>
              <w:t>الصعيد</w:t>
            </w:r>
            <w:r w:rsidRPr="00F54F77">
              <w:rPr>
                <w:b/>
                <w:sz w:val="24"/>
                <w:rtl/>
              </w:rPr>
              <w:t xml:space="preserve"> العالمي، قد يقدم الرصد لمحة عامة عن البنية التحتية المؤسسية لصون التراث الثقافي غير المادي، كما </w:t>
            </w:r>
            <w:r w:rsidR="00055179" w:rsidRPr="00F54F77">
              <w:rPr>
                <w:rFonts w:hint="cs"/>
                <w:b/>
                <w:sz w:val="24"/>
                <w:rtl/>
              </w:rPr>
              <w:t xml:space="preserve">يمكن أن </w:t>
            </w:r>
            <w:r w:rsidRPr="00F54F77">
              <w:rPr>
                <w:b/>
                <w:sz w:val="24"/>
                <w:rtl/>
              </w:rPr>
              <w:t>يقدم أمثلة على آليات تنسيق أثبتت فعاليتها.</w:t>
            </w:r>
          </w:p>
        </w:tc>
      </w:tr>
      <w:tr w:rsidR="0054175C" w:rsidRPr="00F54F77" w14:paraId="4F3B228E" w14:textId="77777777" w:rsidTr="006D6DBA">
        <w:tc>
          <w:tcPr>
            <w:tcW w:w="730" w:type="pct"/>
            <w:shd w:val="clear" w:color="auto" w:fill="auto"/>
          </w:tcPr>
          <w:p w14:paraId="1F2C999E" w14:textId="1ED02A4C" w:rsidR="00846BA2" w:rsidRPr="00F54F77" w:rsidRDefault="00846BA2" w:rsidP="00A70323">
            <w:pPr>
              <w:bidi/>
              <w:spacing w:before="120"/>
              <w:rPr>
                <w:bCs/>
                <w:sz w:val="24"/>
              </w:rPr>
            </w:pPr>
            <w:r w:rsidRPr="00F54F77">
              <w:rPr>
                <w:bCs/>
                <w:sz w:val="24"/>
                <w:rtl/>
              </w:rPr>
              <w:t>مصادر البيانات وجمعها</w:t>
            </w:r>
          </w:p>
        </w:tc>
        <w:tc>
          <w:tcPr>
            <w:tcW w:w="4270" w:type="pct"/>
            <w:shd w:val="clear" w:color="auto" w:fill="auto"/>
          </w:tcPr>
          <w:p w14:paraId="7B6D7904" w14:textId="22407797" w:rsidR="00056E69" w:rsidRPr="00F54F77" w:rsidRDefault="00056E69" w:rsidP="00A70323">
            <w:pPr>
              <w:keepNext/>
              <w:bidi/>
              <w:spacing w:before="120" w:after="60"/>
              <w:jc w:val="both"/>
              <w:rPr>
                <w:sz w:val="24"/>
                <w:rtl/>
              </w:rPr>
            </w:pPr>
            <w:r w:rsidRPr="00F54F77">
              <w:rPr>
                <w:sz w:val="24"/>
                <w:rtl/>
              </w:rPr>
              <w:t>في كثير من الحالات، يتم تعيين المكتب المسؤول عن الرصد و</w:t>
            </w:r>
            <w:r w:rsidR="00DA2B35">
              <w:rPr>
                <w:rFonts w:hint="cs"/>
                <w:sz w:val="24"/>
                <w:rtl/>
              </w:rPr>
              <w:t xml:space="preserve">اعداد التقرير </w:t>
            </w:r>
            <w:r w:rsidRPr="00F54F77">
              <w:rPr>
                <w:sz w:val="24"/>
                <w:rtl/>
              </w:rPr>
              <w:t xml:space="preserve">على </w:t>
            </w:r>
            <w:r w:rsidR="004545A1" w:rsidRPr="00F54F77">
              <w:rPr>
                <w:rFonts w:hint="cs"/>
                <w:b/>
                <w:sz w:val="24"/>
                <w:rtl/>
              </w:rPr>
              <w:t>الصعيد</w:t>
            </w:r>
            <w:r w:rsidRPr="00F54F77">
              <w:rPr>
                <w:sz w:val="24"/>
                <w:rtl/>
              </w:rPr>
              <w:t xml:space="preserve"> الوطني كال</w:t>
            </w:r>
            <w:r w:rsidR="00ED3333" w:rsidRPr="00F54F77">
              <w:rPr>
                <w:rFonts w:hint="cs"/>
                <w:sz w:val="24"/>
                <w:rtl/>
              </w:rPr>
              <w:t>جهاز</w:t>
            </w:r>
            <w:r w:rsidRPr="00F54F77">
              <w:rPr>
                <w:sz w:val="24"/>
                <w:rtl/>
              </w:rPr>
              <w:t xml:space="preserve"> المختص بصون التراث الثقافي غير المادي وتنسيق تنفيذ اتفاقية عام 2003. وعلى هذا النحو، فمن المحتمل أن يكون للمكتب إمكانية الوصول إلى المعلومات الموجودة عن الهيئات الرئيسية، والمؤسسات، والآليات المشار إليها هنا. من المرجح أن تكون الهيئات الحكومية والمنظمات الوطنية الأخرى من بين المتعاونين والشركاء الدائمين، بما في ذلك أولئك </w:t>
            </w:r>
            <w:r w:rsidR="004E614A" w:rsidRPr="00F54F77">
              <w:rPr>
                <w:rFonts w:hint="cs"/>
                <w:sz w:val="24"/>
                <w:rtl/>
              </w:rPr>
              <w:t xml:space="preserve">العاملين </w:t>
            </w:r>
            <w:r w:rsidRPr="00F54F77">
              <w:rPr>
                <w:sz w:val="24"/>
                <w:rtl/>
              </w:rPr>
              <w:t xml:space="preserve">في قطاعات أخرى غير الثقافة. كما سيكون من المهم مراعاة الهيئات والمؤسسات الإقليمية والمحلية، وقد يتطلب ذلك </w:t>
            </w:r>
            <w:r w:rsidR="00E559CC">
              <w:rPr>
                <w:rFonts w:hint="cs"/>
                <w:sz w:val="24"/>
                <w:rtl/>
              </w:rPr>
              <w:t xml:space="preserve">ربط شبكي </w:t>
            </w:r>
            <w:r w:rsidRPr="00F54F77">
              <w:rPr>
                <w:sz w:val="24"/>
                <w:rtl/>
              </w:rPr>
              <w:t>مستمر. وخاصة في حالة عامل التقييم</w:t>
            </w:r>
            <w:r w:rsidR="004E614A" w:rsidRPr="00F54F77">
              <w:rPr>
                <w:rFonts w:hint="cs"/>
                <w:sz w:val="24"/>
                <w:rtl/>
                <w:lang w:bidi="ar-EG"/>
              </w:rPr>
              <w:t xml:space="preserve"> الشامل</w:t>
            </w:r>
            <w:r w:rsidR="004E614A" w:rsidRPr="00F54F77">
              <w:rPr>
                <w:rFonts w:hint="cs"/>
                <w:sz w:val="24"/>
                <w:rtl/>
              </w:rPr>
              <w:t xml:space="preserve"> </w:t>
            </w:r>
            <w:r w:rsidRPr="00F54F77">
              <w:rPr>
                <w:sz w:val="24"/>
                <w:rtl/>
              </w:rPr>
              <w:t>1</w:t>
            </w:r>
            <w:r w:rsidR="004E614A" w:rsidRPr="00F54F77">
              <w:rPr>
                <w:sz w:val="24"/>
              </w:rPr>
              <w:t>-</w:t>
            </w:r>
            <w:r w:rsidRPr="00F54F77">
              <w:rPr>
                <w:sz w:val="24"/>
                <w:rtl/>
              </w:rPr>
              <w:t>2 وال</w:t>
            </w:r>
            <w:r w:rsidR="004E614A" w:rsidRPr="00F54F77">
              <w:rPr>
                <w:rFonts w:hint="cs"/>
                <w:sz w:val="24"/>
                <w:rtl/>
              </w:rPr>
              <w:t>أجهزة</w:t>
            </w:r>
            <w:r w:rsidRPr="00F54F77">
              <w:rPr>
                <w:sz w:val="24"/>
                <w:rtl/>
              </w:rPr>
              <w:t xml:space="preserve"> المختصة لصون عناصر محددة من التراث الثقافي غير المادي، قد تحتاج الدولة الطرف إلى إجراء مسوح منتظمة لرصد الأحداث على </w:t>
            </w:r>
            <w:r w:rsidR="004E614A" w:rsidRPr="00F54F77">
              <w:rPr>
                <w:rFonts w:hint="cs"/>
                <w:sz w:val="24"/>
                <w:rtl/>
              </w:rPr>
              <w:t>الأصعدة</w:t>
            </w:r>
            <w:r w:rsidRPr="00F54F77">
              <w:rPr>
                <w:sz w:val="24"/>
                <w:rtl/>
              </w:rPr>
              <w:t xml:space="preserve"> المحلية. وإذا كانت هناك هيئة استشارية أو آلية تنسيق فعالة، سيكون هذا الرصد متعدد ال</w:t>
            </w:r>
            <w:r w:rsidR="00176428" w:rsidRPr="00F54F77">
              <w:rPr>
                <w:rFonts w:hint="cs"/>
                <w:sz w:val="24"/>
                <w:rtl/>
              </w:rPr>
              <w:t>أصعدة</w:t>
            </w:r>
            <w:r w:rsidRPr="00F54F77">
              <w:rPr>
                <w:sz w:val="24"/>
                <w:rtl/>
              </w:rPr>
              <w:t xml:space="preserve"> أكثر كفاءة.</w:t>
            </w:r>
          </w:p>
          <w:p w14:paraId="6B8D24D2" w14:textId="31C8928E" w:rsidR="0054175C" w:rsidRPr="00F54F77" w:rsidRDefault="00CC70B3" w:rsidP="00A70323">
            <w:pPr>
              <w:keepNext/>
              <w:bidi/>
              <w:spacing w:before="120" w:after="60"/>
              <w:jc w:val="both"/>
              <w:rPr>
                <w:bCs/>
                <w:sz w:val="24"/>
              </w:rPr>
            </w:pPr>
            <w:r w:rsidRPr="00F54F77">
              <w:rPr>
                <w:bCs/>
                <w:sz w:val="24"/>
                <w:rtl/>
              </w:rPr>
              <w:t>مصادر البيانات المحتملة</w:t>
            </w:r>
          </w:p>
          <w:p w14:paraId="30207102" w14:textId="2FCCCEB9" w:rsidR="006C5B93" w:rsidRPr="00F54F77" w:rsidRDefault="006C5B93" w:rsidP="00A70323">
            <w:pPr>
              <w:pStyle w:val="ListParagraph"/>
              <w:numPr>
                <w:ilvl w:val="0"/>
                <w:numId w:val="73"/>
              </w:numPr>
              <w:bidi/>
              <w:spacing w:before="120"/>
              <w:jc w:val="both"/>
              <w:rPr>
                <w:rFonts w:ascii="Times New Roman" w:hAnsi="Times New Roman"/>
                <w:sz w:val="24"/>
                <w:szCs w:val="24"/>
                <w:lang w:val="en-GB"/>
              </w:rPr>
            </w:pPr>
            <w:r w:rsidRPr="00F54F77">
              <w:rPr>
                <w:rFonts w:ascii="Times New Roman" w:hAnsi="Times New Roman"/>
                <w:sz w:val="24"/>
                <w:szCs w:val="24"/>
                <w:rtl/>
                <w:lang w:val="en-GB"/>
              </w:rPr>
              <w:t xml:space="preserve">جرائد/ </w:t>
            </w:r>
            <w:r w:rsidR="008970C2" w:rsidRPr="00F54F77">
              <w:rPr>
                <w:rFonts w:ascii="Times New Roman" w:hAnsi="Times New Roman" w:hint="cs"/>
                <w:sz w:val="24"/>
                <w:szCs w:val="24"/>
                <w:rtl/>
                <w:lang w:val="en-GB"/>
              </w:rPr>
              <w:t>مجلات</w:t>
            </w:r>
            <w:r w:rsidR="00D57783" w:rsidRPr="00F54F77">
              <w:rPr>
                <w:rFonts w:ascii="Times New Roman" w:hAnsi="Times New Roman"/>
                <w:sz w:val="24"/>
                <w:szCs w:val="24"/>
                <w:rtl/>
                <w:lang w:val="en-GB"/>
              </w:rPr>
              <w:t xml:space="preserve"> </w:t>
            </w:r>
            <w:r w:rsidRPr="00F54F77">
              <w:rPr>
                <w:rFonts w:ascii="Times New Roman" w:hAnsi="Times New Roman"/>
                <w:sz w:val="24"/>
                <w:szCs w:val="24"/>
                <w:rtl/>
                <w:lang w:val="en-GB"/>
              </w:rPr>
              <w:t xml:space="preserve">رسمية أو </w:t>
            </w:r>
            <w:r w:rsidR="008C6959" w:rsidRPr="00F54F77">
              <w:rPr>
                <w:rFonts w:ascii="Times New Roman" w:hAnsi="Times New Roman" w:hint="cs"/>
                <w:sz w:val="24"/>
                <w:szCs w:val="24"/>
                <w:rtl/>
                <w:lang w:val="en-GB"/>
              </w:rPr>
              <w:t>موجزات</w:t>
            </w:r>
            <w:r w:rsidR="00D57783" w:rsidRPr="00F54F77">
              <w:rPr>
                <w:rFonts w:ascii="Times New Roman" w:hAnsi="Times New Roman"/>
                <w:sz w:val="24"/>
                <w:szCs w:val="24"/>
                <w:rtl/>
                <w:lang w:val="en-GB"/>
              </w:rPr>
              <w:t xml:space="preserve"> قوانين ولوائح </w:t>
            </w:r>
            <w:r w:rsidRPr="00F54F77">
              <w:rPr>
                <w:rFonts w:ascii="Times New Roman" w:hAnsi="Times New Roman"/>
                <w:sz w:val="24"/>
                <w:szCs w:val="24"/>
                <w:rtl/>
                <w:lang w:val="en-GB"/>
              </w:rPr>
              <w:t>قانونية</w:t>
            </w:r>
          </w:p>
          <w:p w14:paraId="679C22EE" w14:textId="0169ABD8" w:rsidR="006C5B93" w:rsidRPr="00F54F77" w:rsidRDefault="00A25AA6" w:rsidP="00A70323">
            <w:pPr>
              <w:pStyle w:val="ListParagraph"/>
              <w:numPr>
                <w:ilvl w:val="0"/>
                <w:numId w:val="73"/>
              </w:numPr>
              <w:bidi/>
              <w:spacing w:before="120"/>
              <w:jc w:val="both"/>
              <w:rPr>
                <w:rFonts w:ascii="Times New Roman" w:hAnsi="Times New Roman"/>
                <w:sz w:val="24"/>
                <w:szCs w:val="24"/>
                <w:lang w:val="en-GB"/>
              </w:rPr>
            </w:pPr>
            <w:r w:rsidRPr="00F54F77">
              <w:rPr>
                <w:rFonts w:ascii="Times New Roman" w:hAnsi="Times New Roman"/>
                <w:sz w:val="24"/>
                <w:szCs w:val="24"/>
                <w:rtl/>
                <w:lang w:val="en-GB"/>
              </w:rPr>
              <w:t xml:space="preserve">ميزانيات سنوية، وخطط </w:t>
            </w:r>
            <w:r w:rsidR="006C5B93" w:rsidRPr="00F54F77">
              <w:rPr>
                <w:rFonts w:ascii="Times New Roman" w:hAnsi="Times New Roman"/>
                <w:sz w:val="24"/>
                <w:szCs w:val="24"/>
                <w:rtl/>
                <w:lang w:val="en-GB"/>
              </w:rPr>
              <w:t>عمل، وتقارير المكاتب الثقافية الحكومية، والمؤسسات التراثية</w:t>
            </w:r>
          </w:p>
          <w:p w14:paraId="6BF4F00E" w14:textId="3C6D4803" w:rsidR="006C5B93" w:rsidRPr="00F54F77" w:rsidRDefault="00A25AA6" w:rsidP="00A70323">
            <w:pPr>
              <w:pStyle w:val="ListParagraph"/>
              <w:numPr>
                <w:ilvl w:val="0"/>
                <w:numId w:val="73"/>
              </w:numPr>
              <w:bidi/>
              <w:spacing w:before="120"/>
              <w:jc w:val="both"/>
              <w:rPr>
                <w:rFonts w:ascii="Times New Roman" w:hAnsi="Times New Roman"/>
                <w:sz w:val="24"/>
                <w:szCs w:val="24"/>
                <w:lang w:val="en-GB"/>
              </w:rPr>
            </w:pPr>
            <w:r w:rsidRPr="00F54F77">
              <w:rPr>
                <w:rFonts w:ascii="Times New Roman" w:hAnsi="Times New Roman"/>
                <w:sz w:val="24"/>
                <w:szCs w:val="24"/>
                <w:rtl/>
                <w:lang w:val="en-GB"/>
              </w:rPr>
              <w:t xml:space="preserve">تقارير سنوية أو محاضر هيئات </w:t>
            </w:r>
            <w:r w:rsidR="006C5B93" w:rsidRPr="00F54F77">
              <w:rPr>
                <w:rFonts w:ascii="Times New Roman" w:hAnsi="Times New Roman"/>
                <w:sz w:val="24"/>
                <w:szCs w:val="24"/>
                <w:rtl/>
                <w:lang w:val="en-GB"/>
              </w:rPr>
              <w:t xml:space="preserve">استشارية على </w:t>
            </w:r>
            <w:r w:rsidR="004545A1" w:rsidRPr="00F54F77">
              <w:rPr>
                <w:rFonts w:hint="cs"/>
                <w:b/>
                <w:sz w:val="24"/>
                <w:szCs w:val="24"/>
                <w:rtl/>
              </w:rPr>
              <w:t>الصعيد</w:t>
            </w:r>
            <w:r w:rsidR="006C5B93" w:rsidRPr="00F54F77">
              <w:rPr>
                <w:rFonts w:ascii="Times New Roman" w:hAnsi="Times New Roman"/>
                <w:sz w:val="24"/>
                <w:szCs w:val="24"/>
                <w:rtl/>
                <w:lang w:val="en-GB"/>
              </w:rPr>
              <w:t xml:space="preserve"> الوطني</w:t>
            </w:r>
          </w:p>
          <w:p w14:paraId="2EAA42FF" w14:textId="7AB1839E" w:rsidR="006C5B93" w:rsidRPr="00F54F77" w:rsidRDefault="00AE3648" w:rsidP="00A70323">
            <w:pPr>
              <w:pStyle w:val="ListParagraph"/>
              <w:numPr>
                <w:ilvl w:val="0"/>
                <w:numId w:val="73"/>
              </w:numPr>
              <w:bidi/>
              <w:spacing w:before="120"/>
              <w:jc w:val="both"/>
              <w:rPr>
                <w:rFonts w:ascii="Times New Roman" w:hAnsi="Times New Roman"/>
                <w:sz w:val="24"/>
                <w:szCs w:val="24"/>
                <w:lang w:val="en-GB"/>
              </w:rPr>
            </w:pPr>
            <w:r w:rsidRPr="00F54F77">
              <w:rPr>
                <w:rFonts w:ascii="Times New Roman" w:hAnsi="Times New Roman" w:hint="cs"/>
                <w:sz w:val="24"/>
                <w:szCs w:val="24"/>
                <w:rtl/>
                <w:lang w:val="en-GB"/>
              </w:rPr>
              <w:t xml:space="preserve">الإبلاغ </w:t>
            </w:r>
            <w:r w:rsidR="008066EA">
              <w:rPr>
                <w:rFonts w:ascii="Times New Roman" w:hAnsi="Times New Roman" w:hint="cs"/>
                <w:sz w:val="24"/>
                <w:szCs w:val="24"/>
                <w:rtl/>
                <w:lang w:val="en-GB"/>
              </w:rPr>
              <w:t>التقرير</w:t>
            </w:r>
            <w:r w:rsidRPr="00F54F77">
              <w:rPr>
                <w:rFonts w:ascii="Times New Roman" w:hAnsi="Times New Roman" w:hint="cs"/>
                <w:sz w:val="24"/>
                <w:szCs w:val="24"/>
                <w:rtl/>
                <w:lang w:val="en-GB"/>
              </w:rPr>
              <w:t>ال</w:t>
            </w:r>
            <w:r w:rsidR="009C2491" w:rsidRPr="00F54F77">
              <w:rPr>
                <w:rFonts w:ascii="Times New Roman" w:hAnsi="Times New Roman"/>
                <w:sz w:val="24"/>
                <w:szCs w:val="24"/>
                <w:rtl/>
                <w:lang w:val="en-GB"/>
              </w:rPr>
              <w:t>دور</w:t>
            </w:r>
            <w:r w:rsidR="009C2491" w:rsidRPr="00F54F77">
              <w:rPr>
                <w:rFonts w:ascii="Times New Roman" w:hAnsi="Times New Roman" w:hint="cs"/>
                <w:sz w:val="24"/>
                <w:szCs w:val="24"/>
                <w:rtl/>
                <w:lang w:val="en-GB"/>
              </w:rPr>
              <w:t>ي</w:t>
            </w:r>
            <w:r w:rsidR="009C2491" w:rsidRPr="00F54F77">
              <w:rPr>
                <w:rFonts w:ascii="Times New Roman" w:hAnsi="Times New Roman"/>
                <w:sz w:val="24"/>
                <w:szCs w:val="24"/>
                <w:rtl/>
                <w:lang w:val="en-GB"/>
              </w:rPr>
              <w:t xml:space="preserve"> </w:t>
            </w:r>
            <w:r w:rsidRPr="00F54F77">
              <w:rPr>
                <w:rFonts w:ascii="Times New Roman" w:hAnsi="Times New Roman" w:hint="cs"/>
                <w:sz w:val="24"/>
                <w:szCs w:val="24"/>
                <w:rtl/>
                <w:lang w:val="en-GB"/>
              </w:rPr>
              <w:t xml:space="preserve"> </w:t>
            </w:r>
            <w:r w:rsidR="008066EA">
              <w:rPr>
                <w:rFonts w:ascii="Times New Roman" w:hAnsi="Times New Roman" w:hint="cs"/>
                <w:sz w:val="24"/>
                <w:szCs w:val="24"/>
                <w:rtl/>
                <w:lang w:val="en-GB"/>
              </w:rPr>
              <w:t>ل</w:t>
            </w:r>
            <w:r w:rsidR="009C2491" w:rsidRPr="00F54F77">
              <w:rPr>
                <w:rFonts w:ascii="Times New Roman" w:hAnsi="Times New Roman"/>
                <w:sz w:val="24"/>
                <w:szCs w:val="24"/>
                <w:rtl/>
                <w:lang w:val="en-GB"/>
              </w:rPr>
              <w:t xml:space="preserve">لدولة بشأن عناصر </w:t>
            </w:r>
            <w:r w:rsidR="006C5B93" w:rsidRPr="00F54F77">
              <w:rPr>
                <w:rFonts w:ascii="Times New Roman" w:hAnsi="Times New Roman"/>
                <w:sz w:val="24"/>
                <w:szCs w:val="24"/>
                <w:rtl/>
                <w:lang w:val="en-GB"/>
              </w:rPr>
              <w:t xml:space="preserve">مدرجة </w:t>
            </w:r>
            <w:r w:rsidR="009C2491" w:rsidRPr="00F54F77">
              <w:rPr>
                <w:rFonts w:ascii="Times New Roman" w:hAnsi="Times New Roman"/>
                <w:sz w:val="24"/>
                <w:szCs w:val="24"/>
                <w:rtl/>
                <w:lang w:val="en-GB"/>
              </w:rPr>
              <w:t>في قائمة وطنية أو في أي من قائ</w:t>
            </w:r>
            <w:r w:rsidR="009C2491" w:rsidRPr="00F54F77">
              <w:rPr>
                <w:rFonts w:ascii="Times New Roman" w:hAnsi="Times New Roman" w:hint="cs"/>
                <w:sz w:val="24"/>
                <w:szCs w:val="24"/>
                <w:rtl/>
                <w:lang w:val="en-GB"/>
              </w:rPr>
              <w:t>متي</w:t>
            </w:r>
            <w:r w:rsidR="006C5B93" w:rsidRPr="00F54F77">
              <w:rPr>
                <w:rFonts w:ascii="Times New Roman" w:hAnsi="Times New Roman"/>
                <w:sz w:val="24"/>
                <w:szCs w:val="24"/>
                <w:rtl/>
                <w:lang w:val="en-GB"/>
              </w:rPr>
              <w:t xml:space="preserve"> اليونسكو</w:t>
            </w:r>
          </w:p>
          <w:p w14:paraId="2825DA79" w14:textId="1C886CFF" w:rsidR="00A84822" w:rsidRPr="00F54F77" w:rsidRDefault="00DA706A" w:rsidP="00A70323">
            <w:pPr>
              <w:pStyle w:val="ListParagraph"/>
              <w:numPr>
                <w:ilvl w:val="0"/>
                <w:numId w:val="73"/>
              </w:numPr>
              <w:bidi/>
              <w:spacing w:before="120"/>
              <w:jc w:val="both"/>
              <w:rPr>
                <w:rFonts w:ascii="Times New Roman" w:hAnsi="Times New Roman"/>
                <w:sz w:val="24"/>
                <w:szCs w:val="24"/>
                <w:lang w:val="en-GB"/>
              </w:rPr>
            </w:pPr>
            <w:r w:rsidRPr="00F54F77">
              <w:rPr>
                <w:rFonts w:ascii="Times New Roman" w:hAnsi="Times New Roman"/>
                <w:sz w:val="24"/>
                <w:szCs w:val="24"/>
                <w:rtl/>
                <w:lang w:val="en-GB"/>
              </w:rPr>
              <w:t xml:space="preserve">مواقع وأدلة خاصة بمكاتب ثقافية ومؤسسات </w:t>
            </w:r>
            <w:r w:rsidR="006C5B93" w:rsidRPr="00F54F77">
              <w:rPr>
                <w:rFonts w:ascii="Times New Roman" w:hAnsi="Times New Roman"/>
                <w:sz w:val="24"/>
                <w:szCs w:val="24"/>
                <w:rtl/>
                <w:lang w:val="en-GB"/>
              </w:rPr>
              <w:t>تراثية</w:t>
            </w:r>
          </w:p>
        </w:tc>
      </w:tr>
    </w:tbl>
    <w:p w14:paraId="7C5394E4" w14:textId="77777777" w:rsidR="00320242" w:rsidRPr="00672115" w:rsidRDefault="00320242" w:rsidP="00A70323">
      <w:pPr>
        <w:bidi/>
        <w:rPr>
          <w:rFonts w:ascii="Arial" w:hAnsi="Arial" w:cs="Arial"/>
        </w:rPr>
      </w:pPr>
    </w:p>
    <w:sectPr w:rsidR="00320242" w:rsidRPr="00672115"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4C926" w14:textId="77777777" w:rsidR="00F55582" w:rsidRDefault="00F55582" w:rsidP="002938F2">
      <w:r>
        <w:separator/>
      </w:r>
    </w:p>
    <w:p w14:paraId="4A95BD4D" w14:textId="77777777" w:rsidR="00F55582" w:rsidRDefault="00F55582"/>
  </w:endnote>
  <w:endnote w:type="continuationSeparator" w:id="0">
    <w:p w14:paraId="31195622" w14:textId="77777777" w:rsidR="00F55582" w:rsidRDefault="00F55582" w:rsidP="002938F2">
      <w:r>
        <w:continuationSeparator/>
      </w:r>
    </w:p>
    <w:p w14:paraId="340A19B7" w14:textId="77777777" w:rsidR="00F55582" w:rsidRDefault="00F55582"/>
  </w:endnote>
  <w:endnote w:type="continuationNotice" w:id="1">
    <w:p w14:paraId="66737925" w14:textId="77777777" w:rsidR="00F55582" w:rsidRDefault="00F555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054F" w14:textId="42F6F1BB" w:rsidR="00C04344" w:rsidRPr="000A0709" w:rsidRDefault="008A7855" w:rsidP="000A0709">
    <w:pPr>
      <w:pStyle w:val="Footer"/>
      <w:jc w:val="center"/>
      <w:rPr>
        <w:rFonts w:ascii="Arial" w:hAnsi="Arial"/>
        <w:lang w:bidi="ar-EG"/>
      </w:rPr>
    </w:pPr>
    <w:r>
      <w:rPr>
        <w:rFonts w:ascii="Arial" w:hAnsi="Arial" w:cs="Arial" w:hint="cs"/>
        <w:rtl/>
        <w:lang w:bidi="ar-EG"/>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C5C4" w14:textId="77777777" w:rsidR="00F55582" w:rsidRDefault="00F55582" w:rsidP="002938F2">
      <w:r>
        <w:separator/>
      </w:r>
    </w:p>
  </w:footnote>
  <w:footnote w:type="continuationSeparator" w:id="0">
    <w:p w14:paraId="69AE1CF9" w14:textId="77777777" w:rsidR="00F55582" w:rsidRDefault="00F55582" w:rsidP="002938F2">
      <w:r>
        <w:continuationSeparator/>
      </w:r>
    </w:p>
    <w:p w14:paraId="579A625C" w14:textId="77777777" w:rsidR="00F55582" w:rsidRDefault="00F55582"/>
  </w:footnote>
  <w:footnote w:type="continuationNotice" w:id="1">
    <w:p w14:paraId="48B502F1" w14:textId="77777777" w:rsidR="00F55582" w:rsidRDefault="00F5558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BD32AC72"/>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78C66BF"/>
    <w:multiLevelType w:val="multilevel"/>
    <w:tmpl w:val="ACCA3BD2"/>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910"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460" w:hanging="1080"/>
      </w:pPr>
      <w:rPr>
        <w:rFonts w:hint="default"/>
      </w:rPr>
    </w:lvl>
    <w:lvl w:ilvl="5">
      <w:start w:val="1"/>
      <w:numFmt w:val="decimal"/>
      <w:isLgl/>
      <w:lvlText w:val="%1.%2.%3.%4.%5.%6"/>
      <w:lvlJc w:val="left"/>
      <w:pPr>
        <w:ind w:left="4055" w:hanging="1080"/>
      </w:pPr>
      <w:rPr>
        <w:rFonts w:hint="default"/>
      </w:rPr>
    </w:lvl>
    <w:lvl w:ilvl="6">
      <w:start w:val="1"/>
      <w:numFmt w:val="decimal"/>
      <w:isLgl/>
      <w:lvlText w:val="%1.%2.%3.%4.%5.%6.%7"/>
      <w:lvlJc w:val="left"/>
      <w:pPr>
        <w:ind w:left="5010" w:hanging="1440"/>
      </w:pPr>
      <w:rPr>
        <w:rFonts w:hint="default"/>
      </w:rPr>
    </w:lvl>
    <w:lvl w:ilvl="7">
      <w:start w:val="1"/>
      <w:numFmt w:val="decimal"/>
      <w:isLgl/>
      <w:lvlText w:val="%1.%2.%3.%4.%5.%6.%7.%8"/>
      <w:lvlJc w:val="left"/>
      <w:pPr>
        <w:ind w:left="5605" w:hanging="1440"/>
      </w:pPr>
      <w:rPr>
        <w:rFonts w:hint="default"/>
      </w:rPr>
    </w:lvl>
    <w:lvl w:ilvl="8">
      <w:start w:val="1"/>
      <w:numFmt w:val="decimal"/>
      <w:isLgl/>
      <w:lvlText w:val="%1.%2.%3.%4.%5.%6.%7.%8.%9"/>
      <w:lvlJc w:val="left"/>
      <w:pPr>
        <w:ind w:left="6560" w:hanging="1800"/>
      </w:pPr>
      <w:rPr>
        <w:rFonts w:hint="default"/>
      </w:rPr>
    </w:lvl>
  </w:abstractNum>
  <w:abstractNum w:abstractNumId="37"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2"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2"/>
  </w:num>
  <w:num w:numId="2">
    <w:abstractNumId w:val="25"/>
  </w:num>
  <w:num w:numId="3">
    <w:abstractNumId w:val="11"/>
  </w:num>
  <w:num w:numId="4">
    <w:abstractNumId w:val="54"/>
  </w:num>
  <w:num w:numId="5">
    <w:abstractNumId w:val="45"/>
  </w:num>
  <w:num w:numId="6">
    <w:abstractNumId w:val="4"/>
  </w:num>
  <w:num w:numId="7">
    <w:abstractNumId w:val="15"/>
  </w:num>
  <w:num w:numId="8">
    <w:abstractNumId w:val="24"/>
  </w:num>
  <w:num w:numId="9">
    <w:abstractNumId w:val="48"/>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8"/>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2"/>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6"/>
  </w:num>
  <w:num w:numId="35">
    <w:abstractNumId w:val="20"/>
  </w:num>
  <w:num w:numId="36">
    <w:abstractNumId w:val="40"/>
  </w:num>
  <w:num w:numId="37">
    <w:abstractNumId w:val="17"/>
  </w:num>
  <w:num w:numId="38">
    <w:abstractNumId w:val="9"/>
  </w:num>
  <w:num w:numId="39">
    <w:abstractNumId w:val="6"/>
  </w:num>
  <w:num w:numId="40">
    <w:abstractNumId w:val="19"/>
  </w:num>
  <w:num w:numId="41">
    <w:abstractNumId w:val="53"/>
  </w:num>
  <w:num w:numId="42">
    <w:abstractNumId w:val="50"/>
  </w:num>
  <w:num w:numId="43">
    <w:abstractNumId w:val="28"/>
  </w:num>
  <w:num w:numId="44">
    <w:abstractNumId w:val="12"/>
  </w:num>
  <w:num w:numId="45">
    <w:abstractNumId w:val="51"/>
  </w:num>
  <w:num w:numId="46">
    <w:abstractNumId w:val="5"/>
  </w:num>
  <w:num w:numId="47">
    <w:abstractNumId w:val="34"/>
  </w:num>
  <w:num w:numId="48">
    <w:abstractNumId w:val="55"/>
  </w:num>
  <w:num w:numId="49">
    <w:abstractNumId w:val="31"/>
  </w:num>
  <w:num w:numId="50">
    <w:abstractNumId w:val="29"/>
  </w:num>
  <w:num w:numId="51">
    <w:abstractNumId w:val="26"/>
  </w:num>
  <w:num w:numId="52">
    <w:abstractNumId w:val="37"/>
  </w:num>
  <w:num w:numId="53">
    <w:abstractNumId w:val="14"/>
  </w:num>
  <w:num w:numId="54">
    <w:abstractNumId w:val="1"/>
  </w:num>
  <w:num w:numId="55">
    <w:abstractNumId w:val="33"/>
  </w:num>
  <w:num w:numId="56">
    <w:abstractNumId w:val="39"/>
  </w:num>
  <w:num w:numId="57">
    <w:abstractNumId w:val="0"/>
  </w:num>
  <w:num w:numId="58">
    <w:abstractNumId w:val="3"/>
  </w:num>
  <w:num w:numId="59">
    <w:abstractNumId w:val="43"/>
  </w:num>
  <w:num w:numId="60">
    <w:abstractNumId w:val="2"/>
  </w:num>
  <w:num w:numId="61">
    <w:abstractNumId w:val="30"/>
  </w:num>
  <w:num w:numId="62">
    <w:abstractNumId w:val="21"/>
  </w:num>
  <w:num w:numId="63">
    <w:abstractNumId w:val="47"/>
  </w:num>
  <w:num w:numId="64">
    <w:abstractNumId w:val="18"/>
  </w:num>
  <w:num w:numId="65">
    <w:abstractNumId w:val="23"/>
  </w:num>
  <w:num w:numId="66">
    <w:abstractNumId w:val="44"/>
  </w:num>
  <w:num w:numId="67">
    <w:abstractNumId w:val="35"/>
  </w:num>
  <w:num w:numId="68">
    <w:abstractNumId w:val="13"/>
  </w:num>
  <w:num w:numId="69">
    <w:abstractNumId w:val="41"/>
  </w:num>
  <w:num w:numId="70">
    <w:abstractNumId w:val="32"/>
  </w:num>
  <w:num w:numId="71">
    <w:abstractNumId w:val="27"/>
  </w:num>
  <w:num w:numId="72">
    <w:abstractNumId w:val="49"/>
  </w:num>
  <w:num w:numId="73">
    <w:abstractNumId w:val="7"/>
  </w:num>
  <w:num w:numId="74">
    <w:abstractNumId w:val="3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ar-SA" w:vendorID="64" w:dllVersion="0" w:nlCheck="1" w:checkStyle="0"/>
  <w:activeWritingStyle w:appName="MSWord" w:lang="ar-EG" w:vendorID="64" w:dllVersion="0" w:nlCheck="1" w:checkStyle="0"/>
  <w:activeWritingStyle w:appName="MSWord" w:lang="en-US"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92"/>
    <w:rsid w:val="000016A4"/>
    <w:rsid w:val="00001769"/>
    <w:rsid w:val="000019DB"/>
    <w:rsid w:val="000024E4"/>
    <w:rsid w:val="000047CC"/>
    <w:rsid w:val="00005BA5"/>
    <w:rsid w:val="00005BFA"/>
    <w:rsid w:val="00006F66"/>
    <w:rsid w:val="00010E2D"/>
    <w:rsid w:val="000120FD"/>
    <w:rsid w:val="00013A65"/>
    <w:rsid w:val="0001506E"/>
    <w:rsid w:val="00015B9D"/>
    <w:rsid w:val="0001601A"/>
    <w:rsid w:val="00021831"/>
    <w:rsid w:val="00022C19"/>
    <w:rsid w:val="00031A37"/>
    <w:rsid w:val="00032543"/>
    <w:rsid w:val="00036843"/>
    <w:rsid w:val="00043B87"/>
    <w:rsid w:val="00047E58"/>
    <w:rsid w:val="00054FDC"/>
    <w:rsid w:val="00055179"/>
    <w:rsid w:val="00056E69"/>
    <w:rsid w:val="00056F67"/>
    <w:rsid w:val="00060E1E"/>
    <w:rsid w:val="000632E2"/>
    <w:rsid w:val="0007203D"/>
    <w:rsid w:val="000729D2"/>
    <w:rsid w:val="00073D20"/>
    <w:rsid w:val="00074E7D"/>
    <w:rsid w:val="000755E1"/>
    <w:rsid w:val="0007681B"/>
    <w:rsid w:val="000769F1"/>
    <w:rsid w:val="00083694"/>
    <w:rsid w:val="00085541"/>
    <w:rsid w:val="00092AE6"/>
    <w:rsid w:val="00093063"/>
    <w:rsid w:val="00094199"/>
    <w:rsid w:val="000A0671"/>
    <w:rsid w:val="000A0709"/>
    <w:rsid w:val="000A0F0D"/>
    <w:rsid w:val="000A112A"/>
    <w:rsid w:val="000A21DA"/>
    <w:rsid w:val="000A34CE"/>
    <w:rsid w:val="000B06FE"/>
    <w:rsid w:val="000C03BF"/>
    <w:rsid w:val="000C15BD"/>
    <w:rsid w:val="000C454D"/>
    <w:rsid w:val="000C65E4"/>
    <w:rsid w:val="000C7EE0"/>
    <w:rsid w:val="000D1EBC"/>
    <w:rsid w:val="000D260B"/>
    <w:rsid w:val="000D345F"/>
    <w:rsid w:val="000D7375"/>
    <w:rsid w:val="000E2EE7"/>
    <w:rsid w:val="000F25BA"/>
    <w:rsid w:val="000F2B3F"/>
    <w:rsid w:val="000F7E6F"/>
    <w:rsid w:val="001052D4"/>
    <w:rsid w:val="00105E37"/>
    <w:rsid w:val="00106B72"/>
    <w:rsid w:val="00106D19"/>
    <w:rsid w:val="0011334A"/>
    <w:rsid w:val="00115830"/>
    <w:rsid w:val="00116489"/>
    <w:rsid w:val="0011750D"/>
    <w:rsid w:val="00121B41"/>
    <w:rsid w:val="001301DF"/>
    <w:rsid w:val="001379E2"/>
    <w:rsid w:val="001412DE"/>
    <w:rsid w:val="00142D78"/>
    <w:rsid w:val="00144A4D"/>
    <w:rsid w:val="00151351"/>
    <w:rsid w:val="001543C7"/>
    <w:rsid w:val="00155D1F"/>
    <w:rsid w:val="00156788"/>
    <w:rsid w:val="001609A1"/>
    <w:rsid w:val="00162554"/>
    <w:rsid w:val="00163F68"/>
    <w:rsid w:val="0016680B"/>
    <w:rsid w:val="00173B50"/>
    <w:rsid w:val="00173E0E"/>
    <w:rsid w:val="00174B39"/>
    <w:rsid w:val="00176428"/>
    <w:rsid w:val="00182D84"/>
    <w:rsid w:val="00183F6C"/>
    <w:rsid w:val="00194802"/>
    <w:rsid w:val="00194AEB"/>
    <w:rsid w:val="001A431C"/>
    <w:rsid w:val="001A51AE"/>
    <w:rsid w:val="001A5519"/>
    <w:rsid w:val="001A7C3A"/>
    <w:rsid w:val="001B5C26"/>
    <w:rsid w:val="001C08BC"/>
    <w:rsid w:val="001C56BA"/>
    <w:rsid w:val="001C6D7D"/>
    <w:rsid w:val="001D00B5"/>
    <w:rsid w:val="001D3B29"/>
    <w:rsid w:val="001D59C8"/>
    <w:rsid w:val="001E4EEB"/>
    <w:rsid w:val="001E6026"/>
    <w:rsid w:val="001F0C51"/>
    <w:rsid w:val="001F3696"/>
    <w:rsid w:val="001F37CA"/>
    <w:rsid w:val="0020163D"/>
    <w:rsid w:val="00203AD7"/>
    <w:rsid w:val="002042CC"/>
    <w:rsid w:val="00204B37"/>
    <w:rsid w:val="00206600"/>
    <w:rsid w:val="002074D6"/>
    <w:rsid w:val="0021035C"/>
    <w:rsid w:val="00210CBC"/>
    <w:rsid w:val="002119C5"/>
    <w:rsid w:val="00215231"/>
    <w:rsid w:val="00222AF2"/>
    <w:rsid w:val="00223C3B"/>
    <w:rsid w:val="00224346"/>
    <w:rsid w:val="0022597C"/>
    <w:rsid w:val="00226582"/>
    <w:rsid w:val="00230F77"/>
    <w:rsid w:val="00232E4E"/>
    <w:rsid w:val="00234AE4"/>
    <w:rsid w:val="00237935"/>
    <w:rsid w:val="00237E43"/>
    <w:rsid w:val="00245E26"/>
    <w:rsid w:val="002539EA"/>
    <w:rsid w:val="00254187"/>
    <w:rsid w:val="002542FD"/>
    <w:rsid w:val="00254B4E"/>
    <w:rsid w:val="00254CA1"/>
    <w:rsid w:val="0026007A"/>
    <w:rsid w:val="002638C0"/>
    <w:rsid w:val="00265E42"/>
    <w:rsid w:val="00266B45"/>
    <w:rsid w:val="0027198B"/>
    <w:rsid w:val="00273658"/>
    <w:rsid w:val="00276542"/>
    <w:rsid w:val="00282A9D"/>
    <w:rsid w:val="00286C0C"/>
    <w:rsid w:val="00287687"/>
    <w:rsid w:val="002906F5"/>
    <w:rsid w:val="00290D41"/>
    <w:rsid w:val="00290D5F"/>
    <w:rsid w:val="002938F2"/>
    <w:rsid w:val="00293CCC"/>
    <w:rsid w:val="002A195D"/>
    <w:rsid w:val="002B43D6"/>
    <w:rsid w:val="002B6B98"/>
    <w:rsid w:val="002C28BA"/>
    <w:rsid w:val="002C31EB"/>
    <w:rsid w:val="002C3B8F"/>
    <w:rsid w:val="002C444C"/>
    <w:rsid w:val="002C5021"/>
    <w:rsid w:val="002C5280"/>
    <w:rsid w:val="002C5C29"/>
    <w:rsid w:val="002D2A92"/>
    <w:rsid w:val="002D396D"/>
    <w:rsid w:val="002D4C86"/>
    <w:rsid w:val="002D71D4"/>
    <w:rsid w:val="002D7391"/>
    <w:rsid w:val="002E113D"/>
    <w:rsid w:val="002E7846"/>
    <w:rsid w:val="002F17E1"/>
    <w:rsid w:val="002F50AF"/>
    <w:rsid w:val="003032B3"/>
    <w:rsid w:val="003043A9"/>
    <w:rsid w:val="0030454E"/>
    <w:rsid w:val="003144F9"/>
    <w:rsid w:val="00320242"/>
    <w:rsid w:val="00324A32"/>
    <w:rsid w:val="00325D6E"/>
    <w:rsid w:val="0033103A"/>
    <w:rsid w:val="00333EE7"/>
    <w:rsid w:val="00334977"/>
    <w:rsid w:val="00337194"/>
    <w:rsid w:val="00342EE8"/>
    <w:rsid w:val="00344D78"/>
    <w:rsid w:val="00346517"/>
    <w:rsid w:val="00351CCB"/>
    <w:rsid w:val="003530A2"/>
    <w:rsid w:val="0035648A"/>
    <w:rsid w:val="00360576"/>
    <w:rsid w:val="00362B41"/>
    <w:rsid w:val="00363995"/>
    <w:rsid w:val="00364E5E"/>
    <w:rsid w:val="00370E9B"/>
    <w:rsid w:val="00372946"/>
    <w:rsid w:val="00377E4B"/>
    <w:rsid w:val="00383BA9"/>
    <w:rsid w:val="003845B0"/>
    <w:rsid w:val="00385B34"/>
    <w:rsid w:val="00386C08"/>
    <w:rsid w:val="00387D88"/>
    <w:rsid w:val="00390608"/>
    <w:rsid w:val="00393E5B"/>
    <w:rsid w:val="0039446E"/>
    <w:rsid w:val="003A260A"/>
    <w:rsid w:val="003A2BC4"/>
    <w:rsid w:val="003B31BE"/>
    <w:rsid w:val="003B45C5"/>
    <w:rsid w:val="003B504D"/>
    <w:rsid w:val="003C7065"/>
    <w:rsid w:val="003D2E0D"/>
    <w:rsid w:val="003D5113"/>
    <w:rsid w:val="003D5BFC"/>
    <w:rsid w:val="003D6E10"/>
    <w:rsid w:val="003E0C0F"/>
    <w:rsid w:val="003E0E28"/>
    <w:rsid w:val="003E19D5"/>
    <w:rsid w:val="003E41C2"/>
    <w:rsid w:val="003E76A8"/>
    <w:rsid w:val="003F5B90"/>
    <w:rsid w:val="00404856"/>
    <w:rsid w:val="0040653C"/>
    <w:rsid w:val="00406ED7"/>
    <w:rsid w:val="004108B6"/>
    <w:rsid w:val="0041110F"/>
    <w:rsid w:val="0041300C"/>
    <w:rsid w:val="00414B68"/>
    <w:rsid w:val="00422868"/>
    <w:rsid w:val="00430ED2"/>
    <w:rsid w:val="00434773"/>
    <w:rsid w:val="004367F5"/>
    <w:rsid w:val="00440F70"/>
    <w:rsid w:val="004458C9"/>
    <w:rsid w:val="00447C66"/>
    <w:rsid w:val="004545A1"/>
    <w:rsid w:val="00456483"/>
    <w:rsid w:val="00462F38"/>
    <w:rsid w:val="00471B34"/>
    <w:rsid w:val="00474AFE"/>
    <w:rsid w:val="00477E66"/>
    <w:rsid w:val="00480809"/>
    <w:rsid w:val="00486A5E"/>
    <w:rsid w:val="00493F92"/>
    <w:rsid w:val="004A0C2B"/>
    <w:rsid w:val="004A4DD4"/>
    <w:rsid w:val="004A610E"/>
    <w:rsid w:val="004C20E2"/>
    <w:rsid w:val="004D4685"/>
    <w:rsid w:val="004E056C"/>
    <w:rsid w:val="004E2817"/>
    <w:rsid w:val="004E2854"/>
    <w:rsid w:val="004E2AE8"/>
    <w:rsid w:val="004E418A"/>
    <w:rsid w:val="004E614A"/>
    <w:rsid w:val="004F5A6C"/>
    <w:rsid w:val="005014D4"/>
    <w:rsid w:val="005016FB"/>
    <w:rsid w:val="00504256"/>
    <w:rsid w:val="00511D17"/>
    <w:rsid w:val="005157E2"/>
    <w:rsid w:val="0051699F"/>
    <w:rsid w:val="00516DE3"/>
    <w:rsid w:val="00526656"/>
    <w:rsid w:val="00527190"/>
    <w:rsid w:val="005300BF"/>
    <w:rsid w:val="00532631"/>
    <w:rsid w:val="0053592B"/>
    <w:rsid w:val="005414A1"/>
    <w:rsid w:val="0054175C"/>
    <w:rsid w:val="005473CF"/>
    <w:rsid w:val="0055026D"/>
    <w:rsid w:val="00554ACC"/>
    <w:rsid w:val="00570355"/>
    <w:rsid w:val="00574530"/>
    <w:rsid w:val="00581423"/>
    <w:rsid w:val="00581CD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38D"/>
    <w:rsid w:val="005C7D6A"/>
    <w:rsid w:val="005D0BA0"/>
    <w:rsid w:val="005D2DDA"/>
    <w:rsid w:val="005E3A3E"/>
    <w:rsid w:val="005E6A2B"/>
    <w:rsid w:val="005E7C7C"/>
    <w:rsid w:val="00601DD6"/>
    <w:rsid w:val="006032AE"/>
    <w:rsid w:val="00603F71"/>
    <w:rsid w:val="00605202"/>
    <w:rsid w:val="00605DB3"/>
    <w:rsid w:val="00621092"/>
    <w:rsid w:val="00622C85"/>
    <w:rsid w:val="00627BDC"/>
    <w:rsid w:val="00632B30"/>
    <w:rsid w:val="006340A1"/>
    <w:rsid w:val="00636760"/>
    <w:rsid w:val="00644B92"/>
    <w:rsid w:val="00645B77"/>
    <w:rsid w:val="00645C72"/>
    <w:rsid w:val="0065099D"/>
    <w:rsid w:val="006515C9"/>
    <w:rsid w:val="00651944"/>
    <w:rsid w:val="00652318"/>
    <w:rsid w:val="00652484"/>
    <w:rsid w:val="00653314"/>
    <w:rsid w:val="0067005F"/>
    <w:rsid w:val="0067015A"/>
    <w:rsid w:val="00672115"/>
    <w:rsid w:val="0067317F"/>
    <w:rsid w:val="006736EC"/>
    <w:rsid w:val="00673D90"/>
    <w:rsid w:val="00676C1E"/>
    <w:rsid w:val="0068087C"/>
    <w:rsid w:val="00686D60"/>
    <w:rsid w:val="00691869"/>
    <w:rsid w:val="006A0D86"/>
    <w:rsid w:val="006A49AE"/>
    <w:rsid w:val="006A56C0"/>
    <w:rsid w:val="006C0911"/>
    <w:rsid w:val="006C0B19"/>
    <w:rsid w:val="006C5AAE"/>
    <w:rsid w:val="006C5B93"/>
    <w:rsid w:val="006C737A"/>
    <w:rsid w:val="006D46FB"/>
    <w:rsid w:val="006D622E"/>
    <w:rsid w:val="006D6DBA"/>
    <w:rsid w:val="006D6EEB"/>
    <w:rsid w:val="006E29C0"/>
    <w:rsid w:val="006E4EE2"/>
    <w:rsid w:val="006E752A"/>
    <w:rsid w:val="006E7CF0"/>
    <w:rsid w:val="006F1DDB"/>
    <w:rsid w:val="006F3E83"/>
    <w:rsid w:val="006F4B83"/>
    <w:rsid w:val="006F7F47"/>
    <w:rsid w:val="00701458"/>
    <w:rsid w:val="00701D7E"/>
    <w:rsid w:val="00704766"/>
    <w:rsid w:val="007119B8"/>
    <w:rsid w:val="0072226D"/>
    <w:rsid w:val="0072415E"/>
    <w:rsid w:val="007247D7"/>
    <w:rsid w:val="007250E3"/>
    <w:rsid w:val="007277C8"/>
    <w:rsid w:val="00731CE6"/>
    <w:rsid w:val="00732057"/>
    <w:rsid w:val="007368A2"/>
    <w:rsid w:val="007418AE"/>
    <w:rsid w:val="00742DD1"/>
    <w:rsid w:val="00746204"/>
    <w:rsid w:val="00747715"/>
    <w:rsid w:val="00747F86"/>
    <w:rsid w:val="00750138"/>
    <w:rsid w:val="00753DA3"/>
    <w:rsid w:val="00760B79"/>
    <w:rsid w:val="007610D3"/>
    <w:rsid w:val="007629DB"/>
    <w:rsid w:val="00764F50"/>
    <w:rsid w:val="00767871"/>
    <w:rsid w:val="00770A92"/>
    <w:rsid w:val="007710E1"/>
    <w:rsid w:val="00774D9C"/>
    <w:rsid w:val="00776A63"/>
    <w:rsid w:val="00790C65"/>
    <w:rsid w:val="0079316B"/>
    <w:rsid w:val="007955C5"/>
    <w:rsid w:val="00796A0E"/>
    <w:rsid w:val="007A0565"/>
    <w:rsid w:val="007A0EAA"/>
    <w:rsid w:val="007A1247"/>
    <w:rsid w:val="007A1E0A"/>
    <w:rsid w:val="007A392D"/>
    <w:rsid w:val="007A62CE"/>
    <w:rsid w:val="007A6F91"/>
    <w:rsid w:val="007A7D45"/>
    <w:rsid w:val="007B3072"/>
    <w:rsid w:val="007B357A"/>
    <w:rsid w:val="007B4ADA"/>
    <w:rsid w:val="007C105C"/>
    <w:rsid w:val="007C1B00"/>
    <w:rsid w:val="007D0F1D"/>
    <w:rsid w:val="007D2881"/>
    <w:rsid w:val="007D31CE"/>
    <w:rsid w:val="007D3AD8"/>
    <w:rsid w:val="007D5BB7"/>
    <w:rsid w:val="007D6A69"/>
    <w:rsid w:val="007E0621"/>
    <w:rsid w:val="007E126F"/>
    <w:rsid w:val="007E4E37"/>
    <w:rsid w:val="007F2AD8"/>
    <w:rsid w:val="007F4B07"/>
    <w:rsid w:val="00802344"/>
    <w:rsid w:val="008029A6"/>
    <w:rsid w:val="008066EA"/>
    <w:rsid w:val="008130EB"/>
    <w:rsid w:val="008147BA"/>
    <w:rsid w:val="0082457D"/>
    <w:rsid w:val="008269B0"/>
    <w:rsid w:val="008301DA"/>
    <w:rsid w:val="0083067E"/>
    <w:rsid w:val="00832357"/>
    <w:rsid w:val="00832DA4"/>
    <w:rsid w:val="0083488D"/>
    <w:rsid w:val="008466C3"/>
    <w:rsid w:val="00846809"/>
    <w:rsid w:val="00846BA2"/>
    <w:rsid w:val="00851458"/>
    <w:rsid w:val="00861A47"/>
    <w:rsid w:val="008707FF"/>
    <w:rsid w:val="008724E5"/>
    <w:rsid w:val="00875BBA"/>
    <w:rsid w:val="00877378"/>
    <w:rsid w:val="00877AC5"/>
    <w:rsid w:val="00877F27"/>
    <w:rsid w:val="0088173A"/>
    <w:rsid w:val="00881EB9"/>
    <w:rsid w:val="008848E9"/>
    <w:rsid w:val="00884C09"/>
    <w:rsid w:val="00885596"/>
    <w:rsid w:val="00885B33"/>
    <w:rsid w:val="00886B71"/>
    <w:rsid w:val="00887B0D"/>
    <w:rsid w:val="0089499E"/>
    <w:rsid w:val="00896177"/>
    <w:rsid w:val="008970C2"/>
    <w:rsid w:val="00897443"/>
    <w:rsid w:val="008A0BE3"/>
    <w:rsid w:val="008A0E51"/>
    <w:rsid w:val="008A2566"/>
    <w:rsid w:val="008A6663"/>
    <w:rsid w:val="008A7855"/>
    <w:rsid w:val="008B45FA"/>
    <w:rsid w:val="008B6B4C"/>
    <w:rsid w:val="008B7346"/>
    <w:rsid w:val="008C6959"/>
    <w:rsid w:val="008C7F60"/>
    <w:rsid w:val="008D3BF7"/>
    <w:rsid w:val="008E0DAA"/>
    <w:rsid w:val="008E194D"/>
    <w:rsid w:val="008F16C6"/>
    <w:rsid w:val="008F2A76"/>
    <w:rsid w:val="008F34A1"/>
    <w:rsid w:val="008F4F13"/>
    <w:rsid w:val="008F5052"/>
    <w:rsid w:val="008F5193"/>
    <w:rsid w:val="008F7225"/>
    <w:rsid w:val="0090187D"/>
    <w:rsid w:val="00903C3D"/>
    <w:rsid w:val="00906370"/>
    <w:rsid w:val="0090710F"/>
    <w:rsid w:val="00910B12"/>
    <w:rsid w:val="00911179"/>
    <w:rsid w:val="009121CE"/>
    <w:rsid w:val="009127D8"/>
    <w:rsid w:val="009144CD"/>
    <w:rsid w:val="00916F7B"/>
    <w:rsid w:val="00917A4D"/>
    <w:rsid w:val="00921F65"/>
    <w:rsid w:val="00922985"/>
    <w:rsid w:val="0092574C"/>
    <w:rsid w:val="00926427"/>
    <w:rsid w:val="009342E8"/>
    <w:rsid w:val="009357B4"/>
    <w:rsid w:val="00940D98"/>
    <w:rsid w:val="00946D71"/>
    <w:rsid w:val="00952549"/>
    <w:rsid w:val="009577E1"/>
    <w:rsid w:val="00971CA1"/>
    <w:rsid w:val="0097349C"/>
    <w:rsid w:val="009814C2"/>
    <w:rsid w:val="00982FFD"/>
    <w:rsid w:val="00985265"/>
    <w:rsid w:val="00985856"/>
    <w:rsid w:val="00992062"/>
    <w:rsid w:val="00992785"/>
    <w:rsid w:val="009A4969"/>
    <w:rsid w:val="009B1466"/>
    <w:rsid w:val="009B1D39"/>
    <w:rsid w:val="009B3125"/>
    <w:rsid w:val="009B6973"/>
    <w:rsid w:val="009C0510"/>
    <w:rsid w:val="009C2491"/>
    <w:rsid w:val="009C3663"/>
    <w:rsid w:val="009D098F"/>
    <w:rsid w:val="009D36BB"/>
    <w:rsid w:val="009D4547"/>
    <w:rsid w:val="009D5A49"/>
    <w:rsid w:val="009D5E38"/>
    <w:rsid w:val="009D602F"/>
    <w:rsid w:val="009D68D0"/>
    <w:rsid w:val="009D7105"/>
    <w:rsid w:val="009E17AF"/>
    <w:rsid w:val="009F0D42"/>
    <w:rsid w:val="009F1B82"/>
    <w:rsid w:val="009F34A4"/>
    <w:rsid w:val="009F3988"/>
    <w:rsid w:val="009F714A"/>
    <w:rsid w:val="009F715C"/>
    <w:rsid w:val="00A003D0"/>
    <w:rsid w:val="00A055C3"/>
    <w:rsid w:val="00A073FD"/>
    <w:rsid w:val="00A150C7"/>
    <w:rsid w:val="00A17885"/>
    <w:rsid w:val="00A20765"/>
    <w:rsid w:val="00A2307A"/>
    <w:rsid w:val="00A25AA6"/>
    <w:rsid w:val="00A277E5"/>
    <w:rsid w:val="00A462C6"/>
    <w:rsid w:val="00A519A2"/>
    <w:rsid w:val="00A51BDC"/>
    <w:rsid w:val="00A535B7"/>
    <w:rsid w:val="00A5709F"/>
    <w:rsid w:val="00A578F1"/>
    <w:rsid w:val="00A616C4"/>
    <w:rsid w:val="00A61F20"/>
    <w:rsid w:val="00A64796"/>
    <w:rsid w:val="00A64A6E"/>
    <w:rsid w:val="00A66CD4"/>
    <w:rsid w:val="00A70323"/>
    <w:rsid w:val="00A70883"/>
    <w:rsid w:val="00A77AEB"/>
    <w:rsid w:val="00A81F0A"/>
    <w:rsid w:val="00A83B92"/>
    <w:rsid w:val="00A84822"/>
    <w:rsid w:val="00A85C7A"/>
    <w:rsid w:val="00A86042"/>
    <w:rsid w:val="00AA36F9"/>
    <w:rsid w:val="00AA444A"/>
    <w:rsid w:val="00AB1528"/>
    <w:rsid w:val="00AB5B88"/>
    <w:rsid w:val="00AB76FF"/>
    <w:rsid w:val="00AD1E90"/>
    <w:rsid w:val="00AD6BD4"/>
    <w:rsid w:val="00AE085E"/>
    <w:rsid w:val="00AE17B5"/>
    <w:rsid w:val="00AE1B18"/>
    <w:rsid w:val="00AE1D83"/>
    <w:rsid w:val="00AE2DFB"/>
    <w:rsid w:val="00AE3061"/>
    <w:rsid w:val="00AE3648"/>
    <w:rsid w:val="00AF15BA"/>
    <w:rsid w:val="00AF1C32"/>
    <w:rsid w:val="00AF65C6"/>
    <w:rsid w:val="00B03873"/>
    <w:rsid w:val="00B076B3"/>
    <w:rsid w:val="00B11AE3"/>
    <w:rsid w:val="00B121A6"/>
    <w:rsid w:val="00B127C9"/>
    <w:rsid w:val="00B2030D"/>
    <w:rsid w:val="00B300B8"/>
    <w:rsid w:val="00B32A28"/>
    <w:rsid w:val="00B33904"/>
    <w:rsid w:val="00B3751E"/>
    <w:rsid w:val="00B427FE"/>
    <w:rsid w:val="00B51737"/>
    <w:rsid w:val="00B533F5"/>
    <w:rsid w:val="00B6102A"/>
    <w:rsid w:val="00B6167A"/>
    <w:rsid w:val="00B62ED0"/>
    <w:rsid w:val="00B64196"/>
    <w:rsid w:val="00B66A7A"/>
    <w:rsid w:val="00B70266"/>
    <w:rsid w:val="00B74304"/>
    <w:rsid w:val="00B82F05"/>
    <w:rsid w:val="00B87142"/>
    <w:rsid w:val="00B8750E"/>
    <w:rsid w:val="00B92374"/>
    <w:rsid w:val="00B924C8"/>
    <w:rsid w:val="00B95E33"/>
    <w:rsid w:val="00B973B5"/>
    <w:rsid w:val="00B97FD1"/>
    <w:rsid w:val="00BB1062"/>
    <w:rsid w:val="00BB28EF"/>
    <w:rsid w:val="00BB5DEE"/>
    <w:rsid w:val="00BB7BC4"/>
    <w:rsid w:val="00BC002E"/>
    <w:rsid w:val="00BC393F"/>
    <w:rsid w:val="00BC75FC"/>
    <w:rsid w:val="00BD1727"/>
    <w:rsid w:val="00BD4C7C"/>
    <w:rsid w:val="00BD59BD"/>
    <w:rsid w:val="00BE5B3F"/>
    <w:rsid w:val="00BF351F"/>
    <w:rsid w:val="00BF3F50"/>
    <w:rsid w:val="00BF6F37"/>
    <w:rsid w:val="00C02924"/>
    <w:rsid w:val="00C04344"/>
    <w:rsid w:val="00C17FE4"/>
    <w:rsid w:val="00C21897"/>
    <w:rsid w:val="00C276EE"/>
    <w:rsid w:val="00C43757"/>
    <w:rsid w:val="00C43BCE"/>
    <w:rsid w:val="00C43BDB"/>
    <w:rsid w:val="00C463A4"/>
    <w:rsid w:val="00C47743"/>
    <w:rsid w:val="00C47CF1"/>
    <w:rsid w:val="00C52006"/>
    <w:rsid w:val="00C5363C"/>
    <w:rsid w:val="00C53AB4"/>
    <w:rsid w:val="00C542F1"/>
    <w:rsid w:val="00C54679"/>
    <w:rsid w:val="00C572B3"/>
    <w:rsid w:val="00C57CA1"/>
    <w:rsid w:val="00C6300B"/>
    <w:rsid w:val="00C6426B"/>
    <w:rsid w:val="00C6478B"/>
    <w:rsid w:val="00C87194"/>
    <w:rsid w:val="00C90629"/>
    <w:rsid w:val="00C90C51"/>
    <w:rsid w:val="00CA1E3E"/>
    <w:rsid w:val="00CA3ED6"/>
    <w:rsid w:val="00CA7CF4"/>
    <w:rsid w:val="00CB0F37"/>
    <w:rsid w:val="00CB1135"/>
    <w:rsid w:val="00CB590B"/>
    <w:rsid w:val="00CC02C5"/>
    <w:rsid w:val="00CC09AB"/>
    <w:rsid w:val="00CC2BC6"/>
    <w:rsid w:val="00CC3AAB"/>
    <w:rsid w:val="00CC70B3"/>
    <w:rsid w:val="00CC7316"/>
    <w:rsid w:val="00CD324E"/>
    <w:rsid w:val="00CD4A28"/>
    <w:rsid w:val="00CD54BD"/>
    <w:rsid w:val="00CD6C36"/>
    <w:rsid w:val="00CD6CB6"/>
    <w:rsid w:val="00CE2586"/>
    <w:rsid w:val="00CF05D7"/>
    <w:rsid w:val="00CF34A6"/>
    <w:rsid w:val="00CF3F93"/>
    <w:rsid w:val="00D00722"/>
    <w:rsid w:val="00D01CB5"/>
    <w:rsid w:val="00D020F3"/>
    <w:rsid w:val="00D0225B"/>
    <w:rsid w:val="00D04515"/>
    <w:rsid w:val="00D065AD"/>
    <w:rsid w:val="00D22831"/>
    <w:rsid w:val="00D404B7"/>
    <w:rsid w:val="00D44509"/>
    <w:rsid w:val="00D448CB"/>
    <w:rsid w:val="00D46606"/>
    <w:rsid w:val="00D47226"/>
    <w:rsid w:val="00D47ED5"/>
    <w:rsid w:val="00D57783"/>
    <w:rsid w:val="00D61779"/>
    <w:rsid w:val="00D73DB6"/>
    <w:rsid w:val="00D809E5"/>
    <w:rsid w:val="00D81948"/>
    <w:rsid w:val="00D90819"/>
    <w:rsid w:val="00D93291"/>
    <w:rsid w:val="00D9501F"/>
    <w:rsid w:val="00DA23C3"/>
    <w:rsid w:val="00DA2B35"/>
    <w:rsid w:val="00DA706A"/>
    <w:rsid w:val="00DB50D5"/>
    <w:rsid w:val="00DC5537"/>
    <w:rsid w:val="00DD11EE"/>
    <w:rsid w:val="00DD1B92"/>
    <w:rsid w:val="00DD52A0"/>
    <w:rsid w:val="00DE5590"/>
    <w:rsid w:val="00DE6364"/>
    <w:rsid w:val="00DF1D9E"/>
    <w:rsid w:val="00DF3DA3"/>
    <w:rsid w:val="00DF4890"/>
    <w:rsid w:val="00DF5DA4"/>
    <w:rsid w:val="00E058C0"/>
    <w:rsid w:val="00E05C4D"/>
    <w:rsid w:val="00E06492"/>
    <w:rsid w:val="00E065CE"/>
    <w:rsid w:val="00E06A00"/>
    <w:rsid w:val="00E12FD4"/>
    <w:rsid w:val="00E13E03"/>
    <w:rsid w:val="00E22B99"/>
    <w:rsid w:val="00E24A9D"/>
    <w:rsid w:val="00E258D9"/>
    <w:rsid w:val="00E33E86"/>
    <w:rsid w:val="00E35396"/>
    <w:rsid w:val="00E35B8C"/>
    <w:rsid w:val="00E40371"/>
    <w:rsid w:val="00E439CA"/>
    <w:rsid w:val="00E4647E"/>
    <w:rsid w:val="00E46DDB"/>
    <w:rsid w:val="00E5219B"/>
    <w:rsid w:val="00E5488A"/>
    <w:rsid w:val="00E559CC"/>
    <w:rsid w:val="00E56905"/>
    <w:rsid w:val="00E60B1B"/>
    <w:rsid w:val="00E62325"/>
    <w:rsid w:val="00E64BE4"/>
    <w:rsid w:val="00E67C7C"/>
    <w:rsid w:val="00E735EA"/>
    <w:rsid w:val="00E85565"/>
    <w:rsid w:val="00E87F91"/>
    <w:rsid w:val="00E94BC6"/>
    <w:rsid w:val="00EA0563"/>
    <w:rsid w:val="00EA198F"/>
    <w:rsid w:val="00EA2EA1"/>
    <w:rsid w:val="00EA3CB9"/>
    <w:rsid w:val="00EA59EB"/>
    <w:rsid w:val="00EA67F3"/>
    <w:rsid w:val="00EB48F8"/>
    <w:rsid w:val="00EB59AB"/>
    <w:rsid w:val="00EC2BED"/>
    <w:rsid w:val="00EC5641"/>
    <w:rsid w:val="00ED0C60"/>
    <w:rsid w:val="00ED17C9"/>
    <w:rsid w:val="00ED3333"/>
    <w:rsid w:val="00ED3D26"/>
    <w:rsid w:val="00ED5218"/>
    <w:rsid w:val="00EE1D9D"/>
    <w:rsid w:val="00EF0BCB"/>
    <w:rsid w:val="00EF0E74"/>
    <w:rsid w:val="00EF2549"/>
    <w:rsid w:val="00F00E8A"/>
    <w:rsid w:val="00F02ADE"/>
    <w:rsid w:val="00F16242"/>
    <w:rsid w:val="00F17FCB"/>
    <w:rsid w:val="00F226CC"/>
    <w:rsid w:val="00F2691E"/>
    <w:rsid w:val="00F279DD"/>
    <w:rsid w:val="00F3242E"/>
    <w:rsid w:val="00F33650"/>
    <w:rsid w:val="00F348F9"/>
    <w:rsid w:val="00F37E4B"/>
    <w:rsid w:val="00F4144E"/>
    <w:rsid w:val="00F41B00"/>
    <w:rsid w:val="00F473CB"/>
    <w:rsid w:val="00F50245"/>
    <w:rsid w:val="00F512F9"/>
    <w:rsid w:val="00F5373C"/>
    <w:rsid w:val="00F54F77"/>
    <w:rsid w:val="00F55582"/>
    <w:rsid w:val="00F57468"/>
    <w:rsid w:val="00F63DDA"/>
    <w:rsid w:val="00F67029"/>
    <w:rsid w:val="00F70858"/>
    <w:rsid w:val="00F71BBC"/>
    <w:rsid w:val="00F7397F"/>
    <w:rsid w:val="00F75949"/>
    <w:rsid w:val="00F75CF4"/>
    <w:rsid w:val="00F808F3"/>
    <w:rsid w:val="00F908E9"/>
    <w:rsid w:val="00F941F0"/>
    <w:rsid w:val="00F96075"/>
    <w:rsid w:val="00F97FF5"/>
    <w:rsid w:val="00FA0167"/>
    <w:rsid w:val="00FA0924"/>
    <w:rsid w:val="00FA7CE6"/>
    <w:rsid w:val="00FB1313"/>
    <w:rsid w:val="00FB6FCF"/>
    <w:rsid w:val="00FB7E0F"/>
    <w:rsid w:val="00FC0632"/>
    <w:rsid w:val="00FC2238"/>
    <w:rsid w:val="00FC2459"/>
    <w:rsid w:val="00FC268E"/>
    <w:rsid w:val="00FC2BFD"/>
    <w:rsid w:val="00FC309D"/>
    <w:rsid w:val="00FC47E0"/>
    <w:rsid w:val="00FD1C42"/>
    <w:rsid w:val="00FD1E96"/>
    <w:rsid w:val="00FD1FE7"/>
    <w:rsid w:val="00FD6442"/>
    <w:rsid w:val="00FD6B03"/>
    <w:rsid w:val="00FE15F6"/>
    <w:rsid w:val="00FE1F8A"/>
    <w:rsid w:val="00FE77D1"/>
    <w:rsid w:val="00FF14AA"/>
    <w:rsid w:val="00FF26CC"/>
    <w:rsid w:val="00FF2B1D"/>
    <w:rsid w:val="00FF3524"/>
    <w:rsid w:val="00FF5E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737070"/>
  <w15:docId w15:val="{9B647ED0-082F-ED4D-9B49-784D8C18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character" w:customStyle="1" w:styleId="UnresolvedMention20">
    <w:name w:val="Unresolved Mention2"/>
    <w:basedOn w:val="DefaultParagraphFont"/>
    <w:uiPriority w:val="99"/>
    <w:semiHidden/>
    <w:unhideWhenUsed/>
    <w:rsid w:val="00ED1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787770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86E3D-D06B-4FF8-AAD1-BF124232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template_20190423.dotx</Template>
  <TotalTime>1</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Joseph, George</cp:lastModifiedBy>
  <cp:revision>2</cp:revision>
  <dcterms:created xsi:type="dcterms:W3CDTF">2022-04-06T09:41:00Z</dcterms:created>
  <dcterms:modified xsi:type="dcterms:W3CDTF">2022-04-06T09:41:00Z</dcterms:modified>
</cp:coreProperties>
</file>