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1E26" w14:textId="77777777" w:rsidR="000A0709" w:rsidRPr="00BD4C7C" w:rsidRDefault="003B31BE" w:rsidP="00886B71">
      <w:pPr>
        <w:pageBreakBefore/>
        <w:jc w:val="center"/>
        <w:rPr>
          <w:rFonts w:ascii="Arial" w:hAnsi="Arial" w:cs="Arial"/>
          <w:b/>
          <w:bCs/>
          <w:sz w:val="24"/>
          <w:szCs w:val="28"/>
        </w:rPr>
      </w:pPr>
      <w:r w:rsidRPr="00BD4C7C">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BD4C7C" w14:paraId="69AD8493" w14:textId="77777777" w:rsidTr="00DD1B92">
        <w:trPr>
          <w:cantSplit/>
        </w:trPr>
        <w:tc>
          <w:tcPr>
            <w:tcW w:w="786" w:type="pct"/>
            <w:shd w:val="clear" w:color="auto" w:fill="auto"/>
          </w:tcPr>
          <w:p w14:paraId="2FAF861A" w14:textId="77777777" w:rsidR="005473CF" w:rsidRPr="00BD4C7C" w:rsidRDefault="005B0FE5" w:rsidP="00DA2ECC">
            <w:pPr>
              <w:spacing w:before="120"/>
              <w:rPr>
                <w:rFonts w:ascii="Arial" w:hAnsi="Arial" w:cs="Arial"/>
                <w:b/>
                <w:szCs w:val="22"/>
              </w:rPr>
            </w:pPr>
            <w:r w:rsidRPr="00BD4C7C">
              <w:rPr>
                <w:rFonts w:ascii="Arial" w:hAnsi="Arial" w:cs="Arial"/>
                <w:b/>
                <w:szCs w:val="22"/>
              </w:rPr>
              <w:t>Indicator</w:t>
            </w:r>
          </w:p>
        </w:tc>
        <w:tc>
          <w:tcPr>
            <w:tcW w:w="4214" w:type="pct"/>
            <w:gridSpan w:val="2"/>
            <w:shd w:val="clear" w:color="auto" w:fill="auto"/>
          </w:tcPr>
          <w:p w14:paraId="7BB8554E" w14:textId="77777777" w:rsidR="005473CF" w:rsidRPr="00BD4C7C" w:rsidRDefault="009F715C" w:rsidP="009F715C">
            <w:pPr>
              <w:pStyle w:val="ListParagraph"/>
              <w:keepLines/>
              <w:numPr>
                <w:ilvl w:val="0"/>
                <w:numId w:val="74"/>
              </w:numPr>
              <w:spacing w:before="120"/>
              <w:rPr>
                <w:rFonts w:ascii="Arial" w:hAnsi="Arial" w:cs="Arial"/>
                <w:b/>
                <w:lang w:val="en-GB"/>
              </w:rPr>
            </w:pPr>
            <w:r w:rsidRPr="00BD4C7C">
              <w:rPr>
                <w:rFonts w:ascii="Arial" w:hAnsi="Arial" w:cs="Arial"/>
                <w:b/>
                <w:lang w:val="en-GB"/>
              </w:rPr>
              <w:t>Extent to which competent bodies and institutions and consultative mechanisms support the continued practice and transmission of ICH</w:t>
            </w:r>
          </w:p>
        </w:tc>
      </w:tr>
      <w:tr w:rsidR="005B0FE5" w:rsidRPr="00BD4C7C" w14:paraId="0EFD8400" w14:textId="77777777" w:rsidTr="00DD1B92">
        <w:trPr>
          <w:cantSplit/>
        </w:trPr>
        <w:tc>
          <w:tcPr>
            <w:tcW w:w="786" w:type="pct"/>
            <w:vMerge w:val="restart"/>
            <w:shd w:val="clear" w:color="auto" w:fill="auto"/>
          </w:tcPr>
          <w:p w14:paraId="40C3E354" w14:textId="77777777" w:rsidR="005B0FE5" w:rsidRPr="00BD4C7C" w:rsidRDefault="005B0FE5" w:rsidP="00DA2ECC">
            <w:pPr>
              <w:spacing w:before="120"/>
              <w:rPr>
                <w:rFonts w:ascii="Arial" w:hAnsi="Arial" w:cs="Arial"/>
                <w:b/>
                <w:szCs w:val="22"/>
              </w:rPr>
            </w:pPr>
            <w:r w:rsidRPr="00BD4C7C">
              <w:rPr>
                <w:rFonts w:ascii="Arial" w:hAnsi="Arial" w:cs="Arial"/>
                <w:b/>
                <w:szCs w:val="22"/>
              </w:rPr>
              <w:t>Assessment factors</w:t>
            </w:r>
          </w:p>
        </w:tc>
        <w:tc>
          <w:tcPr>
            <w:tcW w:w="4214" w:type="pct"/>
            <w:gridSpan w:val="2"/>
            <w:shd w:val="clear" w:color="auto" w:fill="auto"/>
          </w:tcPr>
          <w:p w14:paraId="35F4E4E2" w14:textId="77777777" w:rsidR="005B0FE5" w:rsidRPr="00BD4C7C" w:rsidRDefault="005B0FE5" w:rsidP="00946D71">
            <w:pPr>
              <w:keepLines/>
              <w:spacing w:before="120"/>
              <w:jc w:val="both"/>
              <w:rPr>
                <w:rFonts w:ascii="Arial" w:hAnsi="Arial" w:cs="Arial"/>
                <w:b/>
                <w:szCs w:val="22"/>
              </w:rPr>
            </w:pPr>
            <w:r w:rsidRPr="00BD4C7C">
              <w:rPr>
                <w:rFonts w:ascii="Arial" w:hAnsi="Arial" w:cs="Arial"/>
                <w:szCs w:val="22"/>
              </w:rPr>
              <w:t xml:space="preserve">This indicator is assessed on the basis of </w:t>
            </w:r>
            <w:r w:rsidR="009F715C" w:rsidRPr="00BD4C7C">
              <w:rPr>
                <w:rFonts w:ascii="Arial" w:hAnsi="Arial" w:cs="Arial"/>
                <w:szCs w:val="22"/>
              </w:rPr>
              <w:t>five</w:t>
            </w:r>
            <w:r w:rsidRPr="00BD4C7C">
              <w:rPr>
                <w:rFonts w:ascii="Arial" w:hAnsi="Arial" w:cs="Arial"/>
                <w:szCs w:val="22"/>
              </w:rPr>
              <w:t xml:space="preserve"> country-level factors monitored and reported by each State Party:</w:t>
            </w:r>
          </w:p>
        </w:tc>
      </w:tr>
      <w:tr w:rsidR="007710E1" w:rsidRPr="00BD4C7C" w14:paraId="4551CB1C" w14:textId="77777777" w:rsidTr="00DD1B92">
        <w:trPr>
          <w:cantSplit/>
        </w:trPr>
        <w:tc>
          <w:tcPr>
            <w:tcW w:w="786" w:type="pct"/>
            <w:vMerge/>
            <w:shd w:val="clear" w:color="auto" w:fill="auto"/>
          </w:tcPr>
          <w:p w14:paraId="2EBDBBEF"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3FDF81B0" w14:textId="77777777" w:rsidR="007710E1" w:rsidRPr="00BD4C7C" w:rsidRDefault="007710E1"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vanish/>
                <w:sz w:val="20"/>
                <w:szCs w:val="20"/>
                <w:lang w:val="en-GB"/>
              </w:rPr>
            </w:pPr>
            <w:r w:rsidRPr="00BD4C7C">
              <w:rPr>
                <w:rFonts w:ascii="Arial" w:hAnsi="Arial" w:cs="Arial"/>
                <w:sz w:val="20"/>
                <w:szCs w:val="20"/>
                <w:lang w:val="en-GB"/>
              </w:rPr>
              <w:t>One or more competent bodies for ICH safeguarding have been designated or established.</w:t>
            </w:r>
          </w:p>
        </w:tc>
        <w:tc>
          <w:tcPr>
            <w:tcW w:w="796" w:type="pct"/>
            <w:shd w:val="clear" w:color="auto" w:fill="auto"/>
            <w:vAlign w:val="center"/>
          </w:tcPr>
          <w:p w14:paraId="7C7F09D0" w14:textId="77777777" w:rsidR="007710E1" w:rsidRPr="00BD4C7C" w:rsidRDefault="007710E1" w:rsidP="007710E1">
            <w:pPr>
              <w:spacing w:before="60" w:after="60"/>
              <w:rPr>
                <w:rFonts w:ascii="Arial" w:hAnsi="Arial" w:cs="Arial"/>
                <w:sz w:val="20"/>
                <w:szCs w:val="20"/>
              </w:rPr>
            </w:pPr>
            <w:r w:rsidRPr="00BD4C7C">
              <w:rPr>
                <w:rFonts w:ascii="Arial" w:hAnsi="Arial" w:cs="Arial"/>
                <w:sz w:val="20"/>
                <w:szCs w:val="20"/>
              </w:rPr>
              <w:t>Article 13(b)</w:t>
            </w:r>
          </w:p>
          <w:p w14:paraId="30A85857" w14:textId="77777777" w:rsidR="007710E1" w:rsidRPr="00BD4C7C" w:rsidRDefault="007710E1" w:rsidP="007710E1">
            <w:pPr>
              <w:spacing w:before="60" w:after="60"/>
              <w:rPr>
                <w:rFonts w:ascii="Arial" w:hAnsi="Arial" w:cs="Arial"/>
                <w:sz w:val="20"/>
                <w:szCs w:val="20"/>
              </w:rPr>
            </w:pPr>
            <w:r w:rsidRPr="00BD4C7C">
              <w:rPr>
                <w:rFonts w:ascii="Arial" w:hAnsi="Arial" w:cs="Arial"/>
                <w:sz w:val="20"/>
                <w:szCs w:val="20"/>
              </w:rPr>
              <w:t>OD 154(a)</w:t>
            </w:r>
          </w:p>
        </w:tc>
      </w:tr>
      <w:tr w:rsidR="007710E1" w:rsidRPr="00BD4C7C" w14:paraId="07F945D6" w14:textId="77777777" w:rsidTr="00DD1B92">
        <w:trPr>
          <w:cantSplit/>
        </w:trPr>
        <w:tc>
          <w:tcPr>
            <w:tcW w:w="786" w:type="pct"/>
            <w:vMerge/>
            <w:shd w:val="clear" w:color="auto" w:fill="auto"/>
          </w:tcPr>
          <w:p w14:paraId="6DE9D247"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3E34D738" w14:textId="77777777" w:rsidR="007710E1" w:rsidRPr="00BD4C7C" w:rsidRDefault="007710E1"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sz w:val="20"/>
                <w:szCs w:val="20"/>
                <w:lang w:val="en-GB"/>
              </w:rPr>
            </w:pPr>
            <w:r w:rsidRPr="00BD4C7C">
              <w:rPr>
                <w:rFonts w:ascii="Arial" w:hAnsi="Arial" w:cs="Arial"/>
                <w:sz w:val="20"/>
                <w:szCs w:val="20"/>
                <w:lang w:val="en-GB"/>
              </w:rPr>
              <w:t>Competent bodies exist for safeguarding specific elements of ICH, whether or not inscribed.</w:t>
            </w:r>
          </w:p>
        </w:tc>
        <w:tc>
          <w:tcPr>
            <w:tcW w:w="796" w:type="pct"/>
            <w:shd w:val="clear" w:color="auto" w:fill="auto"/>
            <w:vAlign w:val="center"/>
          </w:tcPr>
          <w:p w14:paraId="0C3148B4" w14:textId="77777777" w:rsidR="007710E1" w:rsidRPr="00BD4C7C" w:rsidRDefault="007710E1" w:rsidP="007710E1">
            <w:pPr>
              <w:spacing w:before="60" w:after="60"/>
              <w:rPr>
                <w:rFonts w:ascii="Arial" w:hAnsi="Arial" w:cs="Arial"/>
                <w:sz w:val="20"/>
                <w:szCs w:val="20"/>
              </w:rPr>
            </w:pPr>
            <w:r w:rsidRPr="00BD4C7C">
              <w:rPr>
                <w:rFonts w:ascii="Arial" w:hAnsi="Arial" w:cs="Arial"/>
                <w:sz w:val="20"/>
                <w:szCs w:val="20"/>
              </w:rPr>
              <w:t>Article 13(b)</w:t>
            </w:r>
          </w:p>
          <w:p w14:paraId="59BECE32" w14:textId="77777777" w:rsidR="007710E1" w:rsidRPr="00BD4C7C" w:rsidRDefault="007710E1" w:rsidP="007710E1">
            <w:pPr>
              <w:spacing w:before="60" w:after="60"/>
              <w:rPr>
                <w:rFonts w:ascii="Arial" w:hAnsi="Arial" w:cs="Arial"/>
                <w:sz w:val="20"/>
                <w:szCs w:val="20"/>
              </w:rPr>
            </w:pPr>
            <w:r w:rsidRPr="00BD4C7C">
              <w:rPr>
                <w:rFonts w:ascii="Arial" w:hAnsi="Arial" w:cs="Arial"/>
                <w:sz w:val="20"/>
                <w:szCs w:val="20"/>
              </w:rPr>
              <w:t xml:space="preserve">OD 158(a), </w:t>
            </w:r>
            <w:r w:rsidRPr="00BD4C7C">
              <w:rPr>
                <w:rFonts w:ascii="Arial" w:hAnsi="Arial" w:cs="Arial"/>
                <w:sz w:val="20"/>
                <w:szCs w:val="20"/>
              </w:rPr>
              <w:br/>
              <w:t>OD 162(d)</w:t>
            </w:r>
          </w:p>
        </w:tc>
      </w:tr>
      <w:tr w:rsidR="007710E1" w:rsidRPr="00BD4C7C" w14:paraId="78B0D751" w14:textId="77777777" w:rsidTr="00DD1B92">
        <w:trPr>
          <w:cantSplit/>
        </w:trPr>
        <w:tc>
          <w:tcPr>
            <w:tcW w:w="786" w:type="pct"/>
            <w:vMerge/>
            <w:shd w:val="clear" w:color="auto" w:fill="auto"/>
          </w:tcPr>
          <w:p w14:paraId="00F8C4EA"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62A6F1E3" w14:textId="77777777" w:rsidR="007710E1" w:rsidRPr="00BD4C7C" w:rsidRDefault="007710E1"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sz w:val="20"/>
                <w:szCs w:val="20"/>
                <w:lang w:val="en-GB"/>
              </w:rPr>
            </w:pPr>
            <w:r w:rsidRPr="00BD4C7C">
              <w:rPr>
                <w:rFonts w:ascii="Arial" w:hAnsi="Arial" w:cs="Arial"/>
                <w:sz w:val="20"/>
                <w:szCs w:val="20"/>
                <w:lang w:val="en-GB"/>
              </w:rPr>
              <w:t xml:space="preserve">Broad and inclusive involvement in ICH safeguarding and management, particularly by the communities, groups and individuals concerned, is fostered through consultative bodies or other coordination mechanisms. </w:t>
            </w:r>
          </w:p>
        </w:tc>
        <w:tc>
          <w:tcPr>
            <w:tcW w:w="796" w:type="pct"/>
            <w:shd w:val="clear" w:color="auto" w:fill="auto"/>
            <w:vAlign w:val="center"/>
          </w:tcPr>
          <w:p w14:paraId="399A8A1A" w14:textId="77777777" w:rsidR="007710E1" w:rsidRPr="00BD4C7C" w:rsidRDefault="007710E1" w:rsidP="007710E1">
            <w:pPr>
              <w:spacing w:before="60" w:after="60"/>
              <w:rPr>
                <w:rFonts w:ascii="Arial" w:hAnsi="Arial" w:cs="Arial"/>
                <w:sz w:val="20"/>
                <w:szCs w:val="20"/>
              </w:rPr>
            </w:pPr>
            <w:r w:rsidRPr="00BD4C7C">
              <w:rPr>
                <w:rFonts w:ascii="Arial" w:hAnsi="Arial" w:cs="Arial"/>
                <w:sz w:val="20"/>
                <w:szCs w:val="20"/>
              </w:rPr>
              <w:t>OD 80</w:t>
            </w:r>
          </w:p>
        </w:tc>
      </w:tr>
      <w:tr w:rsidR="007710E1" w:rsidRPr="00BD4C7C" w14:paraId="75B7201B" w14:textId="77777777" w:rsidTr="00DD1B92">
        <w:trPr>
          <w:cantSplit/>
        </w:trPr>
        <w:tc>
          <w:tcPr>
            <w:tcW w:w="786" w:type="pct"/>
            <w:vMerge/>
            <w:shd w:val="clear" w:color="auto" w:fill="auto"/>
          </w:tcPr>
          <w:p w14:paraId="33413065" w14:textId="77777777" w:rsidR="007710E1" w:rsidRPr="00BD4C7C" w:rsidRDefault="007710E1" w:rsidP="007710E1">
            <w:pPr>
              <w:spacing w:before="120"/>
              <w:rPr>
                <w:rFonts w:ascii="Arial" w:hAnsi="Arial" w:cs="Arial"/>
                <w:b/>
                <w:szCs w:val="22"/>
              </w:rPr>
            </w:pPr>
          </w:p>
        </w:tc>
        <w:tc>
          <w:tcPr>
            <w:tcW w:w="3418" w:type="pct"/>
            <w:shd w:val="clear" w:color="auto" w:fill="auto"/>
            <w:vAlign w:val="center"/>
          </w:tcPr>
          <w:p w14:paraId="66EA50CE" w14:textId="77777777" w:rsidR="007710E1" w:rsidRPr="00BD4C7C" w:rsidRDefault="007710E1"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sz w:val="20"/>
                <w:szCs w:val="20"/>
                <w:lang w:val="en-GB"/>
              </w:rPr>
            </w:pPr>
            <w:r w:rsidRPr="00BD4C7C">
              <w:rPr>
                <w:rFonts w:ascii="Arial" w:hAnsi="Arial" w:cs="Arial"/>
                <w:sz w:val="20"/>
                <w:szCs w:val="20"/>
                <w:lang w:val="en-GB"/>
              </w:rPr>
              <w:t>Institutions, organizations and/or initiatives for ICH documentation are fostered, and their materials are utilized to support continued practice and transmission of ICH.</w:t>
            </w:r>
          </w:p>
        </w:tc>
        <w:tc>
          <w:tcPr>
            <w:tcW w:w="796" w:type="pct"/>
            <w:shd w:val="clear" w:color="auto" w:fill="auto"/>
            <w:vAlign w:val="center"/>
          </w:tcPr>
          <w:p w14:paraId="462ADEEE" w14:textId="77777777" w:rsidR="007710E1" w:rsidRPr="00BD4C7C" w:rsidRDefault="007710E1" w:rsidP="007710E1">
            <w:pPr>
              <w:spacing w:before="60" w:after="60"/>
              <w:rPr>
                <w:rFonts w:ascii="Arial" w:hAnsi="Arial" w:cs="Arial"/>
                <w:sz w:val="20"/>
                <w:szCs w:val="20"/>
              </w:rPr>
            </w:pPr>
            <w:r w:rsidRPr="00BD4C7C">
              <w:rPr>
                <w:rFonts w:ascii="Arial" w:hAnsi="Arial" w:cs="Arial"/>
                <w:sz w:val="20"/>
                <w:szCs w:val="20"/>
              </w:rPr>
              <w:t>Article 13(d)(iii)</w:t>
            </w:r>
          </w:p>
        </w:tc>
      </w:tr>
      <w:tr w:rsidR="009F715C" w:rsidRPr="00BD4C7C" w14:paraId="6C1D3C4E" w14:textId="77777777" w:rsidTr="00DD1B92">
        <w:trPr>
          <w:cantSplit/>
        </w:trPr>
        <w:tc>
          <w:tcPr>
            <w:tcW w:w="786" w:type="pct"/>
            <w:vMerge/>
            <w:shd w:val="clear" w:color="auto" w:fill="auto"/>
          </w:tcPr>
          <w:p w14:paraId="0D57AF3C" w14:textId="77777777" w:rsidR="009F715C" w:rsidRPr="00BD4C7C" w:rsidRDefault="009F715C" w:rsidP="009F715C">
            <w:pPr>
              <w:spacing w:before="120"/>
              <w:rPr>
                <w:rFonts w:ascii="Arial" w:hAnsi="Arial" w:cs="Arial"/>
                <w:b/>
                <w:szCs w:val="22"/>
              </w:rPr>
            </w:pPr>
          </w:p>
        </w:tc>
        <w:tc>
          <w:tcPr>
            <w:tcW w:w="3418" w:type="pct"/>
            <w:shd w:val="clear" w:color="auto" w:fill="auto"/>
            <w:vAlign w:val="center"/>
          </w:tcPr>
          <w:p w14:paraId="77EA5B59" w14:textId="77777777" w:rsidR="009F715C" w:rsidRPr="00BD4C7C" w:rsidRDefault="009F715C" w:rsidP="007B357A">
            <w:pPr>
              <w:pStyle w:val="ListParagraph"/>
              <w:numPr>
                <w:ilvl w:val="1"/>
                <w:numId w:val="74"/>
              </w:numPr>
              <w:tabs>
                <w:tab w:val="left" w:pos="567"/>
                <w:tab w:val="left" w:pos="1134"/>
                <w:tab w:val="left" w:pos="1701"/>
              </w:tabs>
              <w:spacing w:before="60" w:after="60" w:line="240" w:lineRule="auto"/>
              <w:ind w:left="567" w:hanging="567"/>
              <w:rPr>
                <w:rFonts w:ascii="Arial" w:hAnsi="Arial" w:cs="Arial"/>
                <w:sz w:val="20"/>
                <w:szCs w:val="20"/>
                <w:lang w:val="en-GB"/>
              </w:rPr>
            </w:pPr>
            <w:r w:rsidRPr="00BD4C7C">
              <w:rPr>
                <w:rFonts w:ascii="Arial" w:hAnsi="Arial" w:cs="Arial"/>
                <w:sz w:val="20"/>
                <w:szCs w:val="20"/>
                <w:lang w:val="en-GB"/>
              </w:rPr>
              <w:t>Cultural centres, centres of expertise, research institutions, museums, archives, libraries, etc., contribute to ICH safeguarding and management.</w:t>
            </w:r>
          </w:p>
        </w:tc>
        <w:tc>
          <w:tcPr>
            <w:tcW w:w="796" w:type="pct"/>
            <w:shd w:val="clear" w:color="auto" w:fill="auto"/>
            <w:vAlign w:val="center"/>
          </w:tcPr>
          <w:p w14:paraId="74BF5B44" w14:textId="2A12E47E" w:rsidR="009F715C" w:rsidRPr="00BD4C7C" w:rsidRDefault="00731CE6" w:rsidP="009F715C">
            <w:pPr>
              <w:spacing w:before="60" w:after="60"/>
              <w:rPr>
                <w:rFonts w:ascii="Arial" w:hAnsi="Arial" w:cs="Arial"/>
                <w:b/>
                <w:sz w:val="20"/>
                <w:szCs w:val="20"/>
              </w:rPr>
            </w:pPr>
            <w:r>
              <w:rPr>
                <w:rFonts w:ascii="Arial" w:hAnsi="Arial" w:cs="Arial"/>
                <w:sz w:val="20"/>
                <w:szCs w:val="20"/>
              </w:rPr>
              <w:t>OD 79,</w:t>
            </w:r>
            <w:r>
              <w:rPr>
                <w:rFonts w:ascii="Arial" w:hAnsi="Arial" w:cs="Arial"/>
                <w:sz w:val="20"/>
                <w:szCs w:val="20"/>
              </w:rPr>
              <w:br/>
            </w:r>
            <w:r w:rsidR="007710E1" w:rsidRPr="00BD4C7C">
              <w:rPr>
                <w:rFonts w:ascii="Arial" w:hAnsi="Arial" w:cs="Arial"/>
                <w:sz w:val="20"/>
                <w:szCs w:val="20"/>
              </w:rPr>
              <w:t>OD 109</w:t>
            </w:r>
          </w:p>
        </w:tc>
      </w:tr>
      <w:tr w:rsidR="005473CF" w:rsidRPr="00BD4C7C" w14:paraId="0D562B7D" w14:textId="77777777" w:rsidTr="00DD1B92">
        <w:trPr>
          <w:cantSplit/>
        </w:trPr>
        <w:tc>
          <w:tcPr>
            <w:tcW w:w="786" w:type="pct"/>
            <w:shd w:val="clear" w:color="auto" w:fill="auto"/>
          </w:tcPr>
          <w:p w14:paraId="389F7F3D" w14:textId="77777777" w:rsidR="005473CF" w:rsidRPr="00BD4C7C" w:rsidRDefault="005473CF" w:rsidP="005473CF">
            <w:pPr>
              <w:spacing w:before="120"/>
              <w:rPr>
                <w:rFonts w:ascii="Arial" w:hAnsi="Arial" w:cs="Arial"/>
                <w:b/>
                <w:szCs w:val="22"/>
              </w:rPr>
            </w:pPr>
            <w:r w:rsidRPr="00BD4C7C">
              <w:rPr>
                <w:rFonts w:ascii="Arial" w:hAnsi="Arial" w:cs="Arial"/>
                <w:b/>
                <w:szCs w:val="22"/>
              </w:rPr>
              <w:t>Relation with SDGs and other indicators</w:t>
            </w:r>
          </w:p>
        </w:tc>
        <w:tc>
          <w:tcPr>
            <w:tcW w:w="4214" w:type="pct"/>
            <w:gridSpan w:val="2"/>
            <w:shd w:val="clear" w:color="auto" w:fill="auto"/>
          </w:tcPr>
          <w:p w14:paraId="59E10739" w14:textId="77777777" w:rsidR="005473CF" w:rsidRPr="00C463A4" w:rsidRDefault="005473CF" w:rsidP="004E2854">
            <w:pPr>
              <w:autoSpaceDE w:val="0"/>
              <w:autoSpaceDN w:val="0"/>
              <w:adjustRightInd w:val="0"/>
              <w:spacing w:after="0"/>
              <w:jc w:val="both"/>
              <w:rPr>
                <w:rFonts w:ascii="Arial" w:hAnsi="Arial" w:cs="Arial"/>
                <w:szCs w:val="22"/>
              </w:rPr>
            </w:pPr>
            <w:r w:rsidRPr="00BD4C7C">
              <w:rPr>
                <w:rFonts w:ascii="Arial" w:hAnsi="Arial" w:cs="Arial"/>
                <w:b/>
                <w:bCs/>
                <w:szCs w:val="22"/>
              </w:rPr>
              <w:t xml:space="preserve">Sustainable Development Goals: </w:t>
            </w:r>
            <w:r w:rsidR="00C463A4">
              <w:rPr>
                <w:rFonts w:ascii="Arial" w:hAnsi="Arial" w:cs="Arial"/>
                <w:szCs w:val="22"/>
              </w:rPr>
              <w:t>This indicator responds as a whole to SDG Target 11.4, ‘</w:t>
            </w:r>
            <w:r w:rsidR="005C738D">
              <w:rPr>
                <w:rFonts w:ascii="Arial" w:hAnsi="Arial" w:cs="Arial"/>
                <w:szCs w:val="22"/>
              </w:rPr>
              <w:t>s</w:t>
            </w:r>
            <w:r w:rsidR="00C463A4">
              <w:rPr>
                <w:rFonts w:ascii="Arial" w:hAnsi="Arial" w:cs="Arial"/>
                <w:szCs w:val="22"/>
              </w:rPr>
              <w:t xml:space="preserve">trengthen efforts to protect and safeguard the world’s cultural and natural heritage.’ </w:t>
            </w:r>
            <w:r w:rsidR="00056F67">
              <w:rPr>
                <w:rFonts w:ascii="Arial" w:hAnsi="Arial" w:cs="Arial"/>
                <w:szCs w:val="22"/>
              </w:rPr>
              <w:t xml:space="preserve">By </w:t>
            </w:r>
            <w:r w:rsidR="007955C5">
              <w:rPr>
                <w:rFonts w:ascii="Arial" w:hAnsi="Arial" w:cs="Arial"/>
                <w:szCs w:val="22"/>
              </w:rPr>
              <w:t xml:space="preserve">encouraging formal bodies or mechanisms to coordinate broad public participation in safeguarding, </w:t>
            </w:r>
            <w:r w:rsidR="00056F67">
              <w:rPr>
                <w:rFonts w:ascii="Arial" w:hAnsi="Arial" w:cs="Arial"/>
                <w:szCs w:val="22"/>
              </w:rPr>
              <w:t xml:space="preserve">Assessment Factor 1.3 also </w:t>
            </w:r>
            <w:r w:rsidR="00C463A4">
              <w:rPr>
                <w:rFonts w:ascii="Arial" w:hAnsi="Arial" w:cs="Arial"/>
                <w:szCs w:val="22"/>
              </w:rPr>
              <w:t xml:space="preserve">complements SDG Target </w:t>
            </w:r>
            <w:r w:rsidR="004E2854">
              <w:rPr>
                <w:rFonts w:ascii="Arial" w:hAnsi="Arial" w:cs="Arial"/>
                <w:szCs w:val="22"/>
              </w:rPr>
              <w:t>16.6, which aims to ‘</w:t>
            </w:r>
            <w:r w:rsidR="004E2854" w:rsidRPr="004E2854">
              <w:rPr>
                <w:rFonts w:ascii="Arial" w:hAnsi="Arial" w:cs="Arial"/>
                <w:szCs w:val="22"/>
              </w:rPr>
              <w:t>Develop effective, accountable and transparent</w:t>
            </w:r>
            <w:r w:rsidR="004E2854">
              <w:rPr>
                <w:rFonts w:ascii="Arial" w:hAnsi="Arial" w:cs="Arial"/>
                <w:szCs w:val="22"/>
              </w:rPr>
              <w:t xml:space="preserve"> </w:t>
            </w:r>
            <w:r w:rsidR="004E2854" w:rsidRPr="004E2854">
              <w:rPr>
                <w:rFonts w:ascii="Arial" w:hAnsi="Arial" w:cs="Arial"/>
                <w:szCs w:val="22"/>
              </w:rPr>
              <w:t>institutions at all levels</w:t>
            </w:r>
            <w:r w:rsidR="004E2854">
              <w:rPr>
                <w:rFonts w:ascii="Arial" w:hAnsi="Arial" w:cs="Arial"/>
                <w:szCs w:val="22"/>
              </w:rPr>
              <w:t>,</w:t>
            </w:r>
            <w:r w:rsidR="004E2854" w:rsidRPr="004E2854">
              <w:rPr>
                <w:rFonts w:ascii="Arial" w:hAnsi="Arial" w:cs="Arial"/>
                <w:szCs w:val="22"/>
              </w:rPr>
              <w:t xml:space="preserve">’ as well as Target </w:t>
            </w:r>
            <w:r w:rsidR="00C463A4">
              <w:rPr>
                <w:rFonts w:ascii="Arial" w:hAnsi="Arial" w:cs="Arial"/>
                <w:szCs w:val="22"/>
              </w:rPr>
              <w:t>16.7, which aims to ‘</w:t>
            </w:r>
            <w:r w:rsidR="005C738D">
              <w:rPr>
                <w:rFonts w:ascii="Arial" w:hAnsi="Arial" w:cs="Arial"/>
                <w:szCs w:val="22"/>
              </w:rPr>
              <w:t>e</w:t>
            </w:r>
            <w:r w:rsidR="00C463A4">
              <w:rPr>
                <w:rFonts w:ascii="Arial" w:hAnsi="Arial" w:cs="Arial"/>
                <w:szCs w:val="22"/>
              </w:rPr>
              <w:t>nsure responsive, inclusive, participatory and representative decision-making at all levels</w:t>
            </w:r>
            <w:r w:rsidR="007955C5">
              <w:rPr>
                <w:rFonts w:ascii="Arial" w:hAnsi="Arial" w:cs="Arial"/>
                <w:szCs w:val="22"/>
              </w:rPr>
              <w:t>.’</w:t>
            </w:r>
          </w:p>
          <w:p w14:paraId="28DEFB29" w14:textId="37D359F3" w:rsidR="005473CF" w:rsidRPr="00C463A4" w:rsidRDefault="005473CF" w:rsidP="009D7105">
            <w:pPr>
              <w:keepLines/>
              <w:spacing w:before="120"/>
              <w:jc w:val="both"/>
              <w:rPr>
                <w:rFonts w:ascii="Arial" w:hAnsi="Arial" w:cs="Arial"/>
                <w:bCs/>
                <w:szCs w:val="22"/>
              </w:rPr>
            </w:pPr>
            <w:r w:rsidRPr="00BD4C7C">
              <w:rPr>
                <w:rFonts w:ascii="Arial" w:hAnsi="Arial" w:cs="Arial"/>
                <w:b/>
                <w:szCs w:val="22"/>
              </w:rPr>
              <w:t>Relation to other indicators:</w:t>
            </w:r>
            <w:r w:rsidRPr="00BD4C7C">
              <w:rPr>
                <w:rFonts w:ascii="Arial" w:hAnsi="Arial" w:cs="Arial"/>
                <w:bCs/>
                <w:szCs w:val="22"/>
              </w:rPr>
              <w:t xml:space="preserve"> </w:t>
            </w:r>
            <w:r w:rsidR="00C463A4">
              <w:rPr>
                <w:rFonts w:ascii="Arial" w:hAnsi="Arial" w:cs="Arial"/>
                <w:bCs/>
                <w:szCs w:val="22"/>
              </w:rPr>
              <w:t>This indicator focu</w:t>
            </w:r>
            <w:r w:rsidR="00F02ADE">
              <w:rPr>
                <w:rFonts w:ascii="Arial" w:hAnsi="Arial" w:cs="Arial"/>
                <w:bCs/>
                <w:szCs w:val="22"/>
              </w:rPr>
              <w:t>s</w:t>
            </w:r>
            <w:r w:rsidR="00C463A4">
              <w:rPr>
                <w:rFonts w:ascii="Arial" w:hAnsi="Arial" w:cs="Arial"/>
                <w:bCs/>
                <w:szCs w:val="22"/>
              </w:rPr>
              <w:t>es on institutional capacities, while Indicator 2 focu</w:t>
            </w:r>
            <w:r w:rsidR="00F02ADE">
              <w:rPr>
                <w:rFonts w:ascii="Arial" w:hAnsi="Arial" w:cs="Arial"/>
                <w:bCs/>
                <w:szCs w:val="22"/>
              </w:rPr>
              <w:t>s</w:t>
            </w:r>
            <w:r w:rsidR="00C463A4">
              <w:rPr>
                <w:rFonts w:ascii="Arial" w:hAnsi="Arial" w:cs="Arial"/>
                <w:bCs/>
                <w:szCs w:val="22"/>
              </w:rPr>
              <w:t xml:space="preserve">es on human capacities. </w:t>
            </w:r>
            <w:r w:rsidR="007955C5">
              <w:rPr>
                <w:rFonts w:ascii="Arial" w:hAnsi="Arial" w:cs="Arial"/>
                <w:bCs/>
                <w:szCs w:val="22"/>
              </w:rPr>
              <w:t xml:space="preserve">The bodies and institutions </w:t>
            </w:r>
            <w:r w:rsidR="00F02ADE">
              <w:rPr>
                <w:rFonts w:ascii="Arial" w:hAnsi="Arial" w:cs="Arial"/>
                <w:bCs/>
                <w:szCs w:val="22"/>
              </w:rPr>
              <w:t xml:space="preserve">covered here </w:t>
            </w:r>
            <w:r w:rsidR="007955C5">
              <w:rPr>
                <w:rFonts w:ascii="Arial" w:hAnsi="Arial" w:cs="Arial"/>
                <w:bCs/>
                <w:szCs w:val="22"/>
              </w:rPr>
              <w:t>are typically governmental entities or established with government support, while the complementary activities of NGOs, community associations, and private sector entities are addressed in Indicator 21.</w:t>
            </w:r>
            <w:r w:rsidR="000A0671">
              <w:rPr>
                <w:rFonts w:ascii="Arial" w:hAnsi="Arial" w:cs="Arial"/>
                <w:bCs/>
                <w:szCs w:val="22"/>
              </w:rPr>
              <w:t xml:space="preserve"> Activities and findings of research and documentation are discussed under Indicators 9 and 10, while here the focus is on the institutions as such. The involvement of research institutions and centres of expertise in monitoring figures into Indicator 22, while international networking among such institutions and centres is addressed by Indicator 25. </w:t>
            </w:r>
          </w:p>
        </w:tc>
      </w:tr>
      <w:tr w:rsidR="00896177" w:rsidRPr="00BD4C7C" w14:paraId="0B999A31" w14:textId="77777777" w:rsidTr="00DD1B92">
        <w:trPr>
          <w:cantSplit/>
        </w:trPr>
        <w:tc>
          <w:tcPr>
            <w:tcW w:w="786" w:type="pct"/>
            <w:shd w:val="clear" w:color="auto" w:fill="auto"/>
          </w:tcPr>
          <w:p w14:paraId="3DCF1AD9" w14:textId="77777777" w:rsidR="00896177" w:rsidRPr="00BD4C7C" w:rsidRDefault="002C28BA" w:rsidP="00A7283F">
            <w:pPr>
              <w:spacing w:before="120"/>
              <w:rPr>
                <w:rFonts w:ascii="Arial" w:hAnsi="Arial" w:cs="Arial"/>
                <w:b/>
                <w:szCs w:val="22"/>
              </w:rPr>
            </w:pPr>
            <w:r w:rsidRPr="00BD4C7C">
              <w:rPr>
                <w:rFonts w:ascii="Arial" w:hAnsi="Arial" w:cs="Arial"/>
                <w:b/>
                <w:szCs w:val="22"/>
              </w:rPr>
              <w:t>Rationale for action</w:t>
            </w:r>
          </w:p>
        </w:tc>
        <w:tc>
          <w:tcPr>
            <w:tcW w:w="4214" w:type="pct"/>
            <w:gridSpan w:val="2"/>
            <w:shd w:val="clear" w:color="auto" w:fill="auto"/>
          </w:tcPr>
          <w:p w14:paraId="4D45D8C3" w14:textId="1694BBC8" w:rsidR="00704766" w:rsidRPr="00BD4C7C" w:rsidRDefault="002D2A92" w:rsidP="00832DA4">
            <w:pPr>
              <w:keepLines/>
              <w:spacing w:before="120"/>
              <w:jc w:val="both"/>
              <w:rPr>
                <w:rFonts w:asciiTheme="minorBidi" w:hAnsiTheme="minorBidi" w:cstheme="minorBidi"/>
                <w:szCs w:val="22"/>
              </w:rPr>
            </w:pPr>
            <w:r>
              <w:rPr>
                <w:rFonts w:asciiTheme="minorBidi" w:hAnsiTheme="minorBidi" w:cstheme="minorBidi"/>
                <w:szCs w:val="22"/>
              </w:rPr>
              <w:t xml:space="preserve">Article 13(b) </w:t>
            </w:r>
            <w:r w:rsidR="00F02ADE">
              <w:rPr>
                <w:rFonts w:asciiTheme="minorBidi" w:hAnsiTheme="minorBidi" w:cstheme="minorBidi"/>
                <w:szCs w:val="22"/>
              </w:rPr>
              <w:t>outlines</w:t>
            </w:r>
            <w:r>
              <w:rPr>
                <w:rFonts w:asciiTheme="minorBidi" w:hAnsiTheme="minorBidi" w:cstheme="minorBidi"/>
                <w:szCs w:val="22"/>
              </w:rPr>
              <w:t xml:space="preserve"> the State Party’s responsibility to establish or designate one or more competent bodies that can safeguard ICH. </w:t>
            </w:r>
            <w:r w:rsidR="003B45C5">
              <w:rPr>
                <w:rFonts w:asciiTheme="minorBidi" w:hAnsiTheme="minorBidi" w:cstheme="minorBidi"/>
                <w:szCs w:val="22"/>
              </w:rPr>
              <w:t xml:space="preserve">In the Convention, such an institutional infrastructure is </w:t>
            </w:r>
            <w:r w:rsidR="00832DA4">
              <w:rPr>
                <w:rFonts w:asciiTheme="minorBidi" w:hAnsiTheme="minorBidi" w:cstheme="minorBidi"/>
                <w:szCs w:val="22"/>
              </w:rPr>
              <w:t xml:space="preserve">understood </w:t>
            </w:r>
            <w:r w:rsidR="003B45C5">
              <w:rPr>
                <w:rFonts w:asciiTheme="minorBidi" w:hAnsiTheme="minorBidi" w:cstheme="minorBidi"/>
                <w:szCs w:val="22"/>
              </w:rPr>
              <w:t>as a precondition for effective safeguarding</w:t>
            </w:r>
            <w:r w:rsidR="00627BDC">
              <w:rPr>
                <w:rFonts w:asciiTheme="minorBidi" w:hAnsiTheme="minorBidi" w:cstheme="minorBidi"/>
                <w:szCs w:val="22"/>
              </w:rPr>
              <w:t>, and in many countries such bodies are assigned specific responsibilities for implementing the Convention at the national level</w:t>
            </w:r>
            <w:r w:rsidR="003B45C5">
              <w:rPr>
                <w:rFonts w:asciiTheme="minorBidi" w:hAnsiTheme="minorBidi" w:cstheme="minorBidi"/>
                <w:szCs w:val="22"/>
              </w:rPr>
              <w:t xml:space="preserve">. </w:t>
            </w:r>
            <w:r w:rsidR="00627BDC">
              <w:rPr>
                <w:rFonts w:asciiTheme="minorBidi" w:hAnsiTheme="minorBidi" w:cstheme="minorBidi"/>
                <w:szCs w:val="22"/>
              </w:rPr>
              <w:t xml:space="preserve">Because the Convention puts communities, groups and individuals at the centre of safeguarding and foresees the participation of many other actors, States often find it useful to establish </w:t>
            </w:r>
            <w:r w:rsidR="0021035C" w:rsidRPr="003E41C2">
              <w:rPr>
                <w:rFonts w:asciiTheme="minorBidi" w:hAnsiTheme="minorBidi" w:cstheme="minorBidi"/>
                <w:szCs w:val="22"/>
              </w:rPr>
              <w:t>additional</w:t>
            </w:r>
            <w:r w:rsidR="00001769">
              <w:rPr>
                <w:rFonts w:asciiTheme="minorBidi" w:hAnsiTheme="minorBidi" w:cstheme="minorBidi"/>
                <w:szCs w:val="22"/>
              </w:rPr>
              <w:t xml:space="preserve"> </w:t>
            </w:r>
            <w:r w:rsidR="00627BDC">
              <w:rPr>
                <w:rFonts w:asciiTheme="minorBidi" w:hAnsiTheme="minorBidi" w:cstheme="minorBidi"/>
                <w:szCs w:val="22"/>
              </w:rPr>
              <w:t xml:space="preserve">bodies or mechanisms to coordinate such involvement. </w:t>
            </w:r>
            <w:r w:rsidR="00832DA4">
              <w:rPr>
                <w:rFonts w:asciiTheme="minorBidi" w:hAnsiTheme="minorBidi" w:cstheme="minorBidi"/>
                <w:szCs w:val="22"/>
              </w:rPr>
              <w:t xml:space="preserve">Safeguarding bodies or institutions also include cultural centres, centres of expertise, </w:t>
            </w:r>
            <w:r w:rsidR="003B45C5">
              <w:rPr>
                <w:rFonts w:asciiTheme="minorBidi" w:hAnsiTheme="minorBidi" w:cstheme="minorBidi"/>
                <w:szCs w:val="22"/>
              </w:rPr>
              <w:t xml:space="preserve">museums, archives, libraries and other research institutions that may have a </w:t>
            </w:r>
            <w:r w:rsidR="00832DA4">
              <w:rPr>
                <w:rFonts w:asciiTheme="minorBidi" w:hAnsiTheme="minorBidi" w:cstheme="minorBidi"/>
                <w:szCs w:val="22"/>
              </w:rPr>
              <w:t xml:space="preserve">role in documenting ICH </w:t>
            </w:r>
            <w:r w:rsidR="002D7391">
              <w:rPr>
                <w:rFonts w:asciiTheme="minorBidi" w:hAnsiTheme="minorBidi" w:cstheme="minorBidi"/>
                <w:szCs w:val="22"/>
              </w:rPr>
              <w:t>(</w:t>
            </w:r>
            <w:r w:rsidR="00832DA4">
              <w:rPr>
                <w:rFonts w:asciiTheme="minorBidi" w:hAnsiTheme="minorBidi" w:cstheme="minorBidi"/>
                <w:szCs w:val="22"/>
              </w:rPr>
              <w:t>Article 13(d) (iii)</w:t>
            </w:r>
            <w:r w:rsidR="002D7391">
              <w:rPr>
                <w:rFonts w:asciiTheme="minorBidi" w:hAnsiTheme="minorBidi" w:cstheme="minorBidi"/>
                <w:szCs w:val="22"/>
              </w:rPr>
              <w:t>)</w:t>
            </w:r>
            <w:r w:rsidR="00832DA4">
              <w:rPr>
                <w:rFonts w:asciiTheme="minorBidi" w:hAnsiTheme="minorBidi" w:cstheme="minorBidi"/>
                <w:szCs w:val="22"/>
              </w:rPr>
              <w:t xml:space="preserve"> as well as a </w:t>
            </w:r>
            <w:r w:rsidR="003B45C5">
              <w:rPr>
                <w:rFonts w:asciiTheme="minorBidi" w:hAnsiTheme="minorBidi" w:cstheme="minorBidi"/>
                <w:szCs w:val="22"/>
              </w:rPr>
              <w:t>wider role in safeguarding and managing ICH.</w:t>
            </w:r>
          </w:p>
        </w:tc>
      </w:tr>
      <w:tr w:rsidR="00704766" w:rsidRPr="00BD4C7C" w14:paraId="2D6BF3D9" w14:textId="77777777" w:rsidTr="00DD1B92">
        <w:trPr>
          <w:cantSplit/>
        </w:trPr>
        <w:tc>
          <w:tcPr>
            <w:tcW w:w="786" w:type="pct"/>
            <w:shd w:val="clear" w:color="auto" w:fill="auto"/>
          </w:tcPr>
          <w:p w14:paraId="3848AE23" w14:textId="77777777" w:rsidR="00056F67" w:rsidRPr="00056F67" w:rsidRDefault="00704766" w:rsidP="00056F67">
            <w:pPr>
              <w:spacing w:before="120" w:after="60"/>
              <w:jc w:val="both"/>
              <w:rPr>
                <w:rFonts w:asciiTheme="minorBidi" w:hAnsiTheme="minorBidi" w:cstheme="minorBidi"/>
                <w:b/>
                <w:szCs w:val="22"/>
              </w:rPr>
            </w:pPr>
            <w:r w:rsidRPr="00BD4C7C">
              <w:rPr>
                <w:rFonts w:asciiTheme="minorBidi" w:hAnsiTheme="minorBidi" w:cstheme="minorBidi"/>
                <w:b/>
                <w:szCs w:val="22"/>
              </w:rPr>
              <w:lastRenderedPageBreak/>
              <w:t>Key terms</w:t>
            </w:r>
          </w:p>
        </w:tc>
        <w:tc>
          <w:tcPr>
            <w:tcW w:w="4214" w:type="pct"/>
            <w:gridSpan w:val="2"/>
            <w:shd w:val="clear" w:color="auto" w:fill="auto"/>
          </w:tcPr>
          <w:p w14:paraId="574D39B9" w14:textId="77777777" w:rsidR="00704766" w:rsidRPr="00BD4C7C" w:rsidRDefault="007710E1" w:rsidP="00704766">
            <w:pPr>
              <w:pStyle w:val="ListParagraph"/>
              <w:numPr>
                <w:ilvl w:val="0"/>
                <w:numId w:val="71"/>
              </w:numPr>
              <w:spacing w:before="120" w:after="120"/>
              <w:ind w:left="714" w:hanging="357"/>
              <w:jc w:val="both"/>
              <w:rPr>
                <w:rFonts w:asciiTheme="minorBidi" w:hAnsiTheme="minorBidi" w:cstheme="minorBidi"/>
                <w:lang w:val="en-GB"/>
              </w:rPr>
            </w:pPr>
            <w:r w:rsidRPr="00BD4C7C">
              <w:rPr>
                <w:rFonts w:asciiTheme="minorBidi" w:hAnsiTheme="minorBidi" w:cstheme="minorBidi"/>
                <w:lang w:val="en-GB"/>
              </w:rPr>
              <w:t>Competent bodies</w:t>
            </w:r>
          </w:p>
          <w:p w14:paraId="48AC5336" w14:textId="77777777" w:rsidR="007710E1" w:rsidRDefault="007710E1" w:rsidP="00704766">
            <w:pPr>
              <w:pStyle w:val="ListParagraph"/>
              <w:numPr>
                <w:ilvl w:val="0"/>
                <w:numId w:val="71"/>
              </w:numPr>
              <w:spacing w:before="120" w:after="120"/>
              <w:ind w:left="714" w:hanging="357"/>
              <w:jc w:val="both"/>
              <w:rPr>
                <w:rFonts w:asciiTheme="minorBidi" w:hAnsiTheme="minorBidi" w:cstheme="minorBidi"/>
                <w:lang w:val="en-GB"/>
              </w:rPr>
            </w:pPr>
            <w:r w:rsidRPr="00BD4C7C">
              <w:rPr>
                <w:rFonts w:asciiTheme="minorBidi" w:hAnsiTheme="minorBidi" w:cstheme="minorBidi"/>
                <w:lang w:val="en-GB"/>
              </w:rPr>
              <w:t>Elements of ICH</w:t>
            </w:r>
          </w:p>
          <w:p w14:paraId="160112C4" w14:textId="77777777" w:rsidR="00FA0924" w:rsidRPr="00BD4C7C" w:rsidRDefault="00FA0924"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Inscribed (whether or not inscribed)</w:t>
            </w:r>
          </w:p>
          <w:p w14:paraId="42399C01" w14:textId="77777777" w:rsidR="007710E1" w:rsidRPr="00BD4C7C" w:rsidRDefault="007710E1" w:rsidP="00704766">
            <w:pPr>
              <w:pStyle w:val="ListParagraph"/>
              <w:numPr>
                <w:ilvl w:val="0"/>
                <w:numId w:val="71"/>
              </w:numPr>
              <w:spacing w:before="120" w:after="120"/>
              <w:ind w:left="714" w:hanging="357"/>
              <w:jc w:val="both"/>
              <w:rPr>
                <w:rFonts w:asciiTheme="minorBidi" w:hAnsiTheme="minorBidi" w:cstheme="minorBidi"/>
                <w:lang w:val="en-GB"/>
              </w:rPr>
            </w:pPr>
            <w:r w:rsidRPr="00BD4C7C">
              <w:rPr>
                <w:rFonts w:asciiTheme="minorBidi" w:hAnsiTheme="minorBidi" w:cstheme="minorBidi"/>
                <w:lang w:val="en-GB"/>
              </w:rPr>
              <w:t>Inclusive/inclusively</w:t>
            </w:r>
          </w:p>
          <w:p w14:paraId="3722B20C" w14:textId="77777777" w:rsidR="007710E1" w:rsidRDefault="007710E1" w:rsidP="00704766">
            <w:pPr>
              <w:pStyle w:val="ListParagraph"/>
              <w:numPr>
                <w:ilvl w:val="0"/>
                <w:numId w:val="71"/>
              </w:numPr>
              <w:spacing w:before="120" w:after="120"/>
              <w:ind w:left="714" w:hanging="357"/>
              <w:jc w:val="both"/>
              <w:rPr>
                <w:rFonts w:asciiTheme="minorBidi" w:hAnsiTheme="minorBidi" w:cstheme="minorBidi"/>
                <w:lang w:val="en-GB"/>
              </w:rPr>
            </w:pPr>
            <w:r w:rsidRPr="00BD4C7C">
              <w:rPr>
                <w:rFonts w:asciiTheme="minorBidi" w:hAnsiTheme="minorBidi" w:cstheme="minorBidi"/>
                <w:lang w:val="en-GB"/>
              </w:rPr>
              <w:t>Participation or involvement</w:t>
            </w:r>
          </w:p>
          <w:p w14:paraId="49154E7A" w14:textId="77777777" w:rsidR="000C454D" w:rsidRPr="00BD4C7C" w:rsidRDefault="000C454D"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5170692C" w14:textId="77777777" w:rsidR="007710E1" w:rsidRPr="00BD4C7C" w:rsidRDefault="007710E1" w:rsidP="00704766">
            <w:pPr>
              <w:pStyle w:val="ListParagraph"/>
              <w:numPr>
                <w:ilvl w:val="0"/>
                <w:numId w:val="71"/>
              </w:numPr>
              <w:spacing w:before="120" w:after="120"/>
              <w:ind w:left="714" w:hanging="357"/>
              <w:jc w:val="both"/>
              <w:rPr>
                <w:rFonts w:asciiTheme="minorBidi" w:hAnsiTheme="minorBidi" w:cstheme="minorBidi"/>
                <w:lang w:val="en-GB"/>
              </w:rPr>
            </w:pPr>
            <w:r w:rsidRPr="00BD4C7C">
              <w:rPr>
                <w:rFonts w:asciiTheme="minorBidi" w:hAnsiTheme="minorBidi" w:cstheme="minorBidi"/>
                <w:lang w:val="en-GB"/>
              </w:rPr>
              <w:t>Consultative body or coordination mechanism</w:t>
            </w:r>
          </w:p>
          <w:p w14:paraId="607FA86E" w14:textId="77777777" w:rsidR="007710E1" w:rsidRPr="00BD4C7C" w:rsidRDefault="007710E1" w:rsidP="00704766">
            <w:pPr>
              <w:pStyle w:val="ListParagraph"/>
              <w:numPr>
                <w:ilvl w:val="0"/>
                <w:numId w:val="71"/>
              </w:numPr>
              <w:spacing w:before="120" w:after="120"/>
              <w:ind w:left="714" w:hanging="357"/>
              <w:jc w:val="both"/>
              <w:rPr>
                <w:rFonts w:asciiTheme="minorBidi" w:hAnsiTheme="minorBidi" w:cstheme="minorBidi"/>
                <w:lang w:val="en-GB"/>
              </w:rPr>
            </w:pPr>
            <w:r w:rsidRPr="00BD4C7C">
              <w:rPr>
                <w:rFonts w:asciiTheme="minorBidi" w:hAnsiTheme="minorBidi" w:cstheme="minorBidi"/>
                <w:lang w:val="en-GB"/>
              </w:rPr>
              <w:t>Centres of expertise</w:t>
            </w:r>
          </w:p>
          <w:p w14:paraId="1C6D6FEF" w14:textId="77777777" w:rsidR="007710E1" w:rsidRPr="00BD4C7C" w:rsidRDefault="007710E1" w:rsidP="00372946">
            <w:pPr>
              <w:pStyle w:val="ListParagraph"/>
              <w:numPr>
                <w:ilvl w:val="0"/>
                <w:numId w:val="71"/>
              </w:numPr>
              <w:spacing w:before="120" w:after="120"/>
              <w:ind w:left="714" w:hanging="357"/>
              <w:jc w:val="both"/>
              <w:rPr>
                <w:rFonts w:asciiTheme="minorBidi" w:hAnsiTheme="minorBidi" w:cstheme="minorBidi"/>
                <w:lang w:val="en-GB"/>
              </w:rPr>
            </w:pPr>
            <w:r w:rsidRPr="00BD4C7C">
              <w:rPr>
                <w:rFonts w:asciiTheme="minorBidi" w:hAnsiTheme="minorBidi" w:cstheme="minorBidi"/>
                <w:lang w:val="en-GB"/>
              </w:rPr>
              <w:t>Research institution</w:t>
            </w:r>
            <w:r w:rsidR="008B45FA">
              <w:rPr>
                <w:rFonts w:asciiTheme="minorBidi" w:hAnsiTheme="minorBidi" w:cstheme="minorBidi"/>
                <w:lang w:val="en-GB"/>
              </w:rPr>
              <w:t>s</w:t>
            </w:r>
          </w:p>
        </w:tc>
      </w:tr>
    </w:tbl>
    <w:p w14:paraId="2176A560" w14:textId="77777777" w:rsidR="0054175C" w:rsidRPr="00BD4C7C" w:rsidRDefault="0054175C" w:rsidP="0054175C">
      <w:pPr>
        <w:jc w:val="center"/>
        <w:rPr>
          <w:rFonts w:ascii="Arial" w:hAnsi="Arial" w:cs="Arial"/>
          <w:b/>
          <w:sz w:val="24"/>
        </w:rPr>
        <w:sectPr w:rsidR="0054175C" w:rsidRPr="00BD4C7C" w:rsidSect="000F25BA">
          <w:headerReference w:type="default" r:id="rId8"/>
          <w:footerReference w:type="default" r:id="rId9"/>
          <w:pgSz w:w="11906" w:h="16838" w:code="9"/>
          <w:pgMar w:top="1418" w:right="1134" w:bottom="1134" w:left="1134" w:header="397" w:footer="284" w:gutter="0"/>
          <w:cols w:space="708"/>
          <w:docGrid w:linePitch="360"/>
        </w:sectPr>
      </w:pPr>
    </w:p>
    <w:p w14:paraId="5FB309AC" w14:textId="77777777" w:rsidR="0054175C" w:rsidRPr="00BD4C7C" w:rsidRDefault="0054175C" w:rsidP="00704766">
      <w:pPr>
        <w:jc w:val="center"/>
        <w:rPr>
          <w:rFonts w:ascii="Arial" w:hAnsi="Arial" w:cs="Arial"/>
          <w:b/>
          <w:sz w:val="24"/>
        </w:rPr>
      </w:pPr>
      <w:r w:rsidRPr="00BD4C7C">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BD4C7C" w14:paraId="3FD666A5" w14:textId="77777777" w:rsidTr="00DD1B92">
        <w:tc>
          <w:tcPr>
            <w:tcW w:w="730" w:type="pct"/>
            <w:shd w:val="clear" w:color="auto" w:fill="auto"/>
          </w:tcPr>
          <w:p w14:paraId="7286F55B" w14:textId="77777777" w:rsidR="002C28BA" w:rsidRPr="00BD4C7C" w:rsidRDefault="002C28BA" w:rsidP="006B0DB6">
            <w:pPr>
              <w:spacing w:before="120"/>
              <w:rPr>
                <w:rFonts w:ascii="Arial" w:hAnsi="Arial" w:cs="Arial"/>
                <w:b/>
                <w:szCs w:val="22"/>
              </w:rPr>
            </w:pPr>
            <w:r w:rsidRPr="00BD4C7C">
              <w:rPr>
                <w:rFonts w:ascii="Arial" w:hAnsi="Arial" w:cs="Arial"/>
                <w:b/>
                <w:szCs w:val="22"/>
              </w:rPr>
              <w:t>Benefits of monitoring</w:t>
            </w:r>
          </w:p>
        </w:tc>
        <w:tc>
          <w:tcPr>
            <w:tcW w:w="4270" w:type="pct"/>
            <w:shd w:val="clear" w:color="auto" w:fill="auto"/>
          </w:tcPr>
          <w:p w14:paraId="3E7F9726" w14:textId="45CAA573" w:rsidR="002C28BA" w:rsidRPr="008130EB" w:rsidRDefault="002906F5">
            <w:pPr>
              <w:keepLines/>
              <w:spacing w:before="120"/>
              <w:jc w:val="both"/>
              <w:rPr>
                <w:rFonts w:ascii="Arial" w:hAnsi="Arial" w:cs="Arial"/>
                <w:bCs/>
                <w:szCs w:val="22"/>
              </w:rPr>
            </w:pPr>
            <w:r>
              <w:rPr>
                <w:rFonts w:ascii="Arial" w:hAnsi="Arial" w:cs="Arial"/>
                <w:bCs/>
                <w:szCs w:val="22"/>
              </w:rPr>
              <w:t>Monitoring this indicator can provide a State</w:t>
            </w:r>
            <w:r w:rsidR="00EC2BED">
              <w:rPr>
                <w:rFonts w:ascii="Arial" w:hAnsi="Arial" w:cs="Arial"/>
                <w:bCs/>
                <w:szCs w:val="22"/>
              </w:rPr>
              <w:t xml:space="preserve"> Party</w:t>
            </w:r>
            <w:r>
              <w:rPr>
                <w:rFonts w:ascii="Arial" w:hAnsi="Arial" w:cs="Arial"/>
                <w:bCs/>
                <w:szCs w:val="22"/>
              </w:rPr>
              <w:t xml:space="preserve"> with a map of the institutions active</w:t>
            </w:r>
            <w:r w:rsidR="002D4C86">
              <w:rPr>
                <w:rFonts w:ascii="Arial" w:hAnsi="Arial" w:cs="Arial"/>
                <w:bCs/>
                <w:szCs w:val="22"/>
              </w:rPr>
              <w:t xml:space="preserve"> in the field of ICH and help</w:t>
            </w:r>
            <w:r>
              <w:rPr>
                <w:rFonts w:ascii="Arial" w:hAnsi="Arial" w:cs="Arial"/>
                <w:bCs/>
                <w:szCs w:val="22"/>
              </w:rPr>
              <w:t xml:space="preserve"> identify and address institutional gaps </w:t>
            </w:r>
            <w:r w:rsidRPr="00DD1B92">
              <w:rPr>
                <w:rFonts w:ascii="Arial" w:hAnsi="Arial" w:cs="Arial"/>
                <w:bCs/>
                <w:szCs w:val="22"/>
              </w:rPr>
              <w:t>or weaknesses</w:t>
            </w:r>
            <w:r>
              <w:rPr>
                <w:rFonts w:ascii="Arial" w:hAnsi="Arial" w:cs="Arial"/>
                <w:bCs/>
                <w:szCs w:val="22"/>
              </w:rPr>
              <w:t xml:space="preserve">. It can also help to </w:t>
            </w:r>
            <w:r w:rsidR="002D4C86">
              <w:rPr>
                <w:rFonts w:ascii="Arial" w:hAnsi="Arial" w:cs="Arial"/>
                <w:bCs/>
                <w:szCs w:val="22"/>
              </w:rPr>
              <w:t xml:space="preserve">assess </w:t>
            </w:r>
            <w:r w:rsidR="008130EB">
              <w:rPr>
                <w:rFonts w:ascii="Arial" w:hAnsi="Arial" w:cs="Arial"/>
                <w:bCs/>
                <w:szCs w:val="22"/>
              </w:rPr>
              <w:t>whether</w:t>
            </w:r>
            <w:r w:rsidR="002D4C86">
              <w:rPr>
                <w:rFonts w:ascii="Arial" w:hAnsi="Arial" w:cs="Arial"/>
                <w:bCs/>
                <w:szCs w:val="22"/>
              </w:rPr>
              <w:t xml:space="preserve"> </w:t>
            </w:r>
            <w:r w:rsidR="002D7391">
              <w:rPr>
                <w:rFonts w:ascii="Arial" w:hAnsi="Arial" w:cs="Arial"/>
                <w:bCs/>
                <w:szCs w:val="22"/>
              </w:rPr>
              <w:t>existing</w:t>
            </w:r>
            <w:r w:rsidR="002D4C86">
              <w:rPr>
                <w:rFonts w:ascii="Arial" w:hAnsi="Arial" w:cs="Arial"/>
                <w:bCs/>
                <w:szCs w:val="22"/>
              </w:rPr>
              <w:t xml:space="preserve"> competent bodies for ICH safeguarding </w:t>
            </w:r>
            <w:r w:rsidR="008130EB">
              <w:rPr>
                <w:rFonts w:ascii="Arial" w:hAnsi="Arial" w:cs="Arial"/>
                <w:bCs/>
                <w:szCs w:val="22"/>
              </w:rPr>
              <w:t xml:space="preserve">are effectively mobilizing </w:t>
            </w:r>
            <w:r w:rsidR="00056F67">
              <w:rPr>
                <w:rFonts w:ascii="Arial" w:hAnsi="Arial" w:cs="Arial"/>
                <w:bCs/>
                <w:szCs w:val="22"/>
              </w:rPr>
              <w:t xml:space="preserve">and synchronizing </w:t>
            </w:r>
            <w:r w:rsidR="008130EB">
              <w:rPr>
                <w:rFonts w:ascii="Arial" w:hAnsi="Arial" w:cs="Arial"/>
                <w:bCs/>
                <w:szCs w:val="22"/>
              </w:rPr>
              <w:t xml:space="preserve">the </w:t>
            </w:r>
            <w:r w:rsidR="00E4647E">
              <w:rPr>
                <w:rFonts w:ascii="Arial" w:hAnsi="Arial" w:cs="Arial"/>
                <w:bCs/>
                <w:szCs w:val="22"/>
              </w:rPr>
              <w:t xml:space="preserve">safeguarding </w:t>
            </w:r>
            <w:r w:rsidR="008130EB">
              <w:rPr>
                <w:rFonts w:ascii="Arial" w:hAnsi="Arial" w:cs="Arial"/>
                <w:bCs/>
                <w:szCs w:val="22"/>
              </w:rPr>
              <w:t xml:space="preserve">efforts of other actors. At the global level, monitoring can </w:t>
            </w:r>
            <w:r w:rsidR="002D4C86">
              <w:rPr>
                <w:rFonts w:ascii="Arial" w:hAnsi="Arial" w:cs="Arial"/>
                <w:bCs/>
                <w:szCs w:val="22"/>
              </w:rPr>
              <w:t xml:space="preserve">give </w:t>
            </w:r>
            <w:r w:rsidR="008130EB">
              <w:rPr>
                <w:rFonts w:ascii="Arial" w:hAnsi="Arial" w:cs="Arial"/>
                <w:bCs/>
                <w:szCs w:val="22"/>
              </w:rPr>
              <w:t>an overview of the institutional infrastructure for ICH safeguarding and can offer examples of coordination mechanisms that have proven their effectiveness.</w:t>
            </w:r>
          </w:p>
        </w:tc>
      </w:tr>
      <w:tr w:rsidR="0054175C" w:rsidRPr="00BD4C7C" w14:paraId="4F3B228E" w14:textId="77777777" w:rsidTr="00DD1B92">
        <w:tc>
          <w:tcPr>
            <w:tcW w:w="730" w:type="pct"/>
            <w:shd w:val="clear" w:color="auto" w:fill="auto"/>
          </w:tcPr>
          <w:p w14:paraId="1F2C999E" w14:textId="77777777" w:rsidR="0054175C" w:rsidRPr="00BD4C7C" w:rsidRDefault="0054175C" w:rsidP="0054175C">
            <w:pPr>
              <w:spacing w:before="120"/>
              <w:rPr>
                <w:rFonts w:ascii="Arial" w:hAnsi="Arial" w:cs="Arial"/>
                <w:b/>
                <w:szCs w:val="22"/>
              </w:rPr>
            </w:pPr>
            <w:r w:rsidRPr="00BD4C7C">
              <w:rPr>
                <w:rFonts w:ascii="Arial" w:hAnsi="Arial" w:cs="Arial"/>
                <w:b/>
                <w:szCs w:val="22"/>
              </w:rPr>
              <w:t>Data sources and collection</w:t>
            </w:r>
          </w:p>
        </w:tc>
        <w:tc>
          <w:tcPr>
            <w:tcW w:w="4270" w:type="pct"/>
            <w:shd w:val="clear" w:color="auto" w:fill="auto"/>
          </w:tcPr>
          <w:p w14:paraId="0D0DF56E" w14:textId="0DD9B489" w:rsidR="0054175C" w:rsidRPr="00BD4C7C" w:rsidRDefault="00926427" w:rsidP="0054175C">
            <w:pPr>
              <w:spacing w:before="120"/>
              <w:jc w:val="both"/>
              <w:rPr>
                <w:rFonts w:ascii="Arial" w:hAnsi="Arial" w:cs="Arial"/>
                <w:szCs w:val="22"/>
              </w:rPr>
            </w:pPr>
            <w:r>
              <w:rPr>
                <w:rFonts w:ascii="Arial" w:hAnsi="Arial" w:cs="Arial"/>
                <w:szCs w:val="22"/>
              </w:rPr>
              <w:t xml:space="preserve">In many cases, </w:t>
            </w:r>
            <w:r w:rsidR="00FB7E0F">
              <w:rPr>
                <w:rFonts w:ascii="Arial" w:hAnsi="Arial" w:cs="Arial"/>
                <w:szCs w:val="22"/>
              </w:rPr>
              <w:t xml:space="preserve">the office responsible for </w:t>
            </w:r>
            <w:r w:rsidR="008A0E51">
              <w:rPr>
                <w:rFonts w:ascii="Arial" w:hAnsi="Arial" w:cs="Arial"/>
                <w:szCs w:val="22"/>
              </w:rPr>
              <w:t xml:space="preserve">monitoring and </w:t>
            </w:r>
            <w:r w:rsidR="00FB7E0F">
              <w:rPr>
                <w:rFonts w:ascii="Arial" w:hAnsi="Arial" w:cs="Arial"/>
                <w:szCs w:val="22"/>
              </w:rPr>
              <w:t>reporting is designated at the national level as the competent body for safeguarding ICH and coordinating implementation of the 2003 Convention</w:t>
            </w:r>
            <w:r>
              <w:rPr>
                <w:rFonts w:ascii="Arial" w:hAnsi="Arial" w:cs="Arial"/>
                <w:szCs w:val="22"/>
              </w:rPr>
              <w:t xml:space="preserve"> and</w:t>
            </w:r>
            <w:r w:rsidR="009D7105">
              <w:rPr>
                <w:rFonts w:ascii="Arial" w:hAnsi="Arial" w:cs="Arial"/>
                <w:szCs w:val="22"/>
              </w:rPr>
              <w:t>,</w:t>
            </w:r>
            <w:r>
              <w:rPr>
                <w:rFonts w:ascii="Arial" w:hAnsi="Arial" w:cs="Arial"/>
                <w:szCs w:val="22"/>
              </w:rPr>
              <w:t xml:space="preserve"> as such</w:t>
            </w:r>
            <w:r w:rsidR="009D7105">
              <w:rPr>
                <w:rFonts w:ascii="Arial" w:hAnsi="Arial" w:cs="Arial"/>
                <w:szCs w:val="22"/>
              </w:rPr>
              <w:t>,</w:t>
            </w:r>
            <w:r>
              <w:rPr>
                <w:rFonts w:ascii="Arial" w:hAnsi="Arial" w:cs="Arial"/>
                <w:szCs w:val="22"/>
              </w:rPr>
              <w:t xml:space="preserve"> it is likely that </w:t>
            </w:r>
            <w:r w:rsidR="002D7391">
              <w:rPr>
                <w:rFonts w:ascii="Arial" w:hAnsi="Arial" w:cs="Arial"/>
                <w:szCs w:val="22"/>
              </w:rPr>
              <w:t>it has</w:t>
            </w:r>
            <w:r>
              <w:rPr>
                <w:rFonts w:ascii="Arial" w:hAnsi="Arial" w:cs="Arial"/>
                <w:szCs w:val="22"/>
              </w:rPr>
              <w:t xml:space="preserve"> access to existing information on the primary bodies, institutions and mechanisms referred to here.</w:t>
            </w:r>
            <w:r w:rsidR="00FB7E0F">
              <w:rPr>
                <w:rFonts w:ascii="Arial" w:hAnsi="Arial" w:cs="Arial"/>
                <w:szCs w:val="22"/>
              </w:rPr>
              <w:t xml:space="preserve"> </w:t>
            </w:r>
            <w:r w:rsidR="00E4647E">
              <w:rPr>
                <w:rFonts w:ascii="Arial" w:hAnsi="Arial" w:cs="Arial"/>
                <w:szCs w:val="22"/>
              </w:rPr>
              <w:t xml:space="preserve">Other </w:t>
            </w:r>
            <w:r w:rsidR="00FB7E0F">
              <w:rPr>
                <w:rFonts w:ascii="Arial" w:hAnsi="Arial" w:cs="Arial"/>
                <w:szCs w:val="22"/>
              </w:rPr>
              <w:t>State bodies and national organizations will likely be among its frequent collaborators and partners</w:t>
            </w:r>
            <w:r w:rsidR="002D7391">
              <w:rPr>
                <w:rFonts w:ascii="Arial" w:hAnsi="Arial" w:cs="Arial"/>
                <w:szCs w:val="22"/>
              </w:rPr>
              <w:t>,</w:t>
            </w:r>
            <w:r w:rsidR="00527190">
              <w:rPr>
                <w:rFonts w:ascii="Arial" w:hAnsi="Arial" w:cs="Arial"/>
                <w:szCs w:val="22"/>
              </w:rPr>
              <w:t xml:space="preserve"> including </w:t>
            </w:r>
            <w:r w:rsidR="002D7391">
              <w:rPr>
                <w:rFonts w:ascii="Arial" w:hAnsi="Arial" w:cs="Arial"/>
                <w:szCs w:val="22"/>
              </w:rPr>
              <w:t xml:space="preserve">those </w:t>
            </w:r>
            <w:r w:rsidR="00527190">
              <w:rPr>
                <w:rFonts w:ascii="Arial" w:hAnsi="Arial" w:cs="Arial"/>
                <w:szCs w:val="22"/>
              </w:rPr>
              <w:t>in sectors other than culture</w:t>
            </w:r>
            <w:r w:rsidR="00FB7E0F">
              <w:rPr>
                <w:rFonts w:ascii="Arial" w:hAnsi="Arial" w:cs="Arial"/>
                <w:szCs w:val="22"/>
              </w:rPr>
              <w:t xml:space="preserve">. </w:t>
            </w:r>
            <w:r w:rsidR="00CC09AB">
              <w:rPr>
                <w:rFonts w:ascii="Arial" w:hAnsi="Arial" w:cs="Arial"/>
                <w:szCs w:val="22"/>
              </w:rPr>
              <w:t xml:space="preserve">It will </w:t>
            </w:r>
            <w:r w:rsidR="00E4647E">
              <w:rPr>
                <w:rFonts w:ascii="Arial" w:hAnsi="Arial" w:cs="Arial"/>
                <w:szCs w:val="22"/>
              </w:rPr>
              <w:t xml:space="preserve">also </w:t>
            </w:r>
            <w:r w:rsidR="00CC09AB">
              <w:rPr>
                <w:rFonts w:ascii="Arial" w:hAnsi="Arial" w:cs="Arial"/>
                <w:szCs w:val="22"/>
              </w:rPr>
              <w:t>be important to take account of provincial and local bodies and institutions, and this may require ongoing networking. Particularly in the case of Assessment Factor 1.2 and co</w:t>
            </w:r>
            <w:r w:rsidR="00CC09AB" w:rsidRPr="00CC09AB">
              <w:rPr>
                <w:rFonts w:ascii="Arial" w:hAnsi="Arial" w:cs="Arial"/>
                <w:szCs w:val="22"/>
              </w:rPr>
              <w:t>mpetent bodies for safeguarding specific elements of ICH,</w:t>
            </w:r>
            <w:r w:rsidR="00CC09AB">
              <w:rPr>
                <w:rFonts w:ascii="Arial" w:hAnsi="Arial" w:cs="Arial"/>
                <w:szCs w:val="22"/>
              </w:rPr>
              <w:t xml:space="preserve"> the State Party</w:t>
            </w:r>
            <w:r w:rsidR="00A84822">
              <w:rPr>
                <w:rFonts w:ascii="Arial" w:hAnsi="Arial" w:cs="Arial"/>
                <w:szCs w:val="22"/>
              </w:rPr>
              <w:t xml:space="preserve"> may need to conduct regular surveys to monitor what is happening </w:t>
            </w:r>
            <w:r w:rsidR="00E4647E">
              <w:rPr>
                <w:rFonts w:ascii="Arial" w:hAnsi="Arial" w:cs="Arial"/>
                <w:szCs w:val="22"/>
              </w:rPr>
              <w:t>at local levels</w:t>
            </w:r>
            <w:r w:rsidR="00A84822">
              <w:rPr>
                <w:rFonts w:ascii="Arial" w:hAnsi="Arial" w:cs="Arial"/>
                <w:szCs w:val="22"/>
              </w:rPr>
              <w:t xml:space="preserve">. If </w:t>
            </w:r>
            <w:r w:rsidR="00E4647E">
              <w:rPr>
                <w:rFonts w:ascii="Arial" w:hAnsi="Arial" w:cs="Arial"/>
                <w:szCs w:val="22"/>
              </w:rPr>
              <w:t>there is</w:t>
            </w:r>
            <w:r w:rsidR="00A84822">
              <w:rPr>
                <w:rFonts w:ascii="Arial" w:hAnsi="Arial" w:cs="Arial"/>
                <w:szCs w:val="22"/>
              </w:rPr>
              <w:t xml:space="preserve"> an effective consultative body or coordination mechanism, such multi-level monitoring will be more efficient.</w:t>
            </w:r>
          </w:p>
          <w:p w14:paraId="6B8D24D2" w14:textId="77777777" w:rsidR="0054175C" w:rsidRPr="00BD4C7C" w:rsidRDefault="00BE5B3F" w:rsidP="00704766">
            <w:pPr>
              <w:keepNext/>
              <w:spacing w:before="120" w:after="60"/>
              <w:jc w:val="both"/>
              <w:rPr>
                <w:rFonts w:ascii="Arial" w:hAnsi="Arial" w:cs="Arial"/>
                <w:b/>
                <w:szCs w:val="22"/>
              </w:rPr>
            </w:pPr>
            <w:r w:rsidRPr="00BD4C7C">
              <w:rPr>
                <w:rFonts w:ascii="Arial" w:hAnsi="Arial" w:cs="Arial"/>
                <w:b/>
                <w:szCs w:val="22"/>
              </w:rPr>
              <w:t>P</w:t>
            </w:r>
            <w:r w:rsidR="0054175C" w:rsidRPr="00BD4C7C">
              <w:rPr>
                <w:rFonts w:ascii="Arial" w:hAnsi="Arial" w:cs="Arial"/>
                <w:b/>
                <w:szCs w:val="22"/>
              </w:rPr>
              <w:t>ossible data sources</w:t>
            </w:r>
          </w:p>
          <w:p w14:paraId="20CA7E68" w14:textId="4C044696" w:rsidR="00887B0D" w:rsidRDefault="00887B0D" w:rsidP="00BE5B3F">
            <w:pPr>
              <w:pStyle w:val="ListParagraph"/>
              <w:numPr>
                <w:ilvl w:val="0"/>
                <w:numId w:val="73"/>
              </w:numPr>
              <w:spacing w:before="120"/>
              <w:jc w:val="both"/>
              <w:rPr>
                <w:rFonts w:ascii="Arial" w:hAnsi="Arial" w:cs="Arial"/>
                <w:lang w:val="en-GB"/>
              </w:rPr>
            </w:pPr>
            <w:r>
              <w:rPr>
                <w:rFonts w:ascii="Arial" w:hAnsi="Arial" w:cs="Arial"/>
                <w:lang w:val="en-GB"/>
              </w:rPr>
              <w:t xml:space="preserve">Official </w:t>
            </w:r>
            <w:r w:rsidR="00AB76FF">
              <w:rPr>
                <w:rFonts w:ascii="Arial" w:hAnsi="Arial" w:cs="Arial"/>
                <w:lang w:val="en-GB"/>
              </w:rPr>
              <w:t>g</w:t>
            </w:r>
            <w:r>
              <w:rPr>
                <w:rFonts w:ascii="Arial" w:hAnsi="Arial" w:cs="Arial"/>
                <w:lang w:val="en-GB"/>
              </w:rPr>
              <w:t>azettes/</w:t>
            </w:r>
            <w:r w:rsidR="00AB76FF">
              <w:rPr>
                <w:rFonts w:ascii="Arial" w:hAnsi="Arial" w:cs="Arial"/>
                <w:lang w:val="en-GB"/>
              </w:rPr>
              <w:t>j</w:t>
            </w:r>
            <w:r>
              <w:rPr>
                <w:rFonts w:ascii="Arial" w:hAnsi="Arial" w:cs="Arial"/>
                <w:lang w:val="en-GB"/>
              </w:rPr>
              <w:t>ournals</w:t>
            </w:r>
            <w:r w:rsidR="00AB76FF">
              <w:rPr>
                <w:rFonts w:ascii="Arial" w:hAnsi="Arial" w:cs="Arial"/>
                <w:lang w:val="en-GB"/>
              </w:rPr>
              <w:t xml:space="preserve"> or compendia of laws and legal regulations</w:t>
            </w:r>
          </w:p>
          <w:p w14:paraId="136027D6" w14:textId="77777777" w:rsidR="0054175C" w:rsidRDefault="00A84822" w:rsidP="00BE5B3F">
            <w:pPr>
              <w:pStyle w:val="ListParagraph"/>
              <w:numPr>
                <w:ilvl w:val="0"/>
                <w:numId w:val="73"/>
              </w:numPr>
              <w:spacing w:before="120"/>
              <w:jc w:val="both"/>
              <w:rPr>
                <w:rFonts w:ascii="Arial" w:hAnsi="Arial" w:cs="Arial"/>
                <w:lang w:val="en-GB"/>
              </w:rPr>
            </w:pPr>
            <w:r>
              <w:rPr>
                <w:rFonts w:ascii="Arial" w:hAnsi="Arial" w:cs="Arial"/>
                <w:lang w:val="en-GB"/>
              </w:rPr>
              <w:t>Annual budgets, work plans, and reports of government cultural offices and heritage institutions</w:t>
            </w:r>
          </w:p>
          <w:p w14:paraId="6AE4FE3A" w14:textId="77777777" w:rsidR="00A84822" w:rsidRDefault="00A84822" w:rsidP="00BE5B3F">
            <w:pPr>
              <w:pStyle w:val="ListParagraph"/>
              <w:numPr>
                <w:ilvl w:val="0"/>
                <w:numId w:val="73"/>
              </w:numPr>
              <w:spacing w:before="120"/>
              <w:jc w:val="both"/>
              <w:rPr>
                <w:rFonts w:ascii="Arial" w:hAnsi="Arial" w:cs="Arial"/>
                <w:lang w:val="en-GB"/>
              </w:rPr>
            </w:pPr>
            <w:r>
              <w:rPr>
                <w:rFonts w:ascii="Arial" w:hAnsi="Arial" w:cs="Arial"/>
                <w:lang w:val="en-GB"/>
              </w:rPr>
              <w:t>Annual reports</w:t>
            </w:r>
            <w:r w:rsidR="009B1D39">
              <w:rPr>
                <w:rFonts w:ascii="Arial" w:hAnsi="Arial" w:cs="Arial"/>
                <w:lang w:val="en-GB"/>
              </w:rPr>
              <w:t xml:space="preserve"> or minutes </w:t>
            </w:r>
            <w:r>
              <w:rPr>
                <w:rFonts w:ascii="Arial" w:hAnsi="Arial" w:cs="Arial"/>
                <w:lang w:val="en-GB"/>
              </w:rPr>
              <w:t>of national-level consultative bodies</w:t>
            </w:r>
          </w:p>
          <w:p w14:paraId="6DF9EDD4" w14:textId="77777777" w:rsidR="00A84822" w:rsidRDefault="00A84822" w:rsidP="00BE5B3F">
            <w:pPr>
              <w:pStyle w:val="ListParagraph"/>
              <w:numPr>
                <w:ilvl w:val="0"/>
                <w:numId w:val="73"/>
              </w:numPr>
              <w:spacing w:before="120"/>
              <w:jc w:val="both"/>
              <w:rPr>
                <w:rFonts w:ascii="Arial" w:hAnsi="Arial" w:cs="Arial"/>
                <w:lang w:val="en-GB"/>
              </w:rPr>
            </w:pPr>
            <w:r>
              <w:rPr>
                <w:rFonts w:ascii="Arial" w:hAnsi="Arial" w:cs="Arial"/>
                <w:lang w:val="en-GB"/>
              </w:rPr>
              <w:t>Periodic reporting to the State concerning elements inscribed on a national list or on either of the UNESCO lists</w:t>
            </w:r>
          </w:p>
          <w:p w14:paraId="2825DA79" w14:textId="77777777" w:rsidR="00A84822" w:rsidRPr="00BD4C7C" w:rsidRDefault="00A84822" w:rsidP="00BE5B3F">
            <w:pPr>
              <w:pStyle w:val="ListParagraph"/>
              <w:numPr>
                <w:ilvl w:val="0"/>
                <w:numId w:val="73"/>
              </w:numPr>
              <w:spacing w:before="120"/>
              <w:jc w:val="both"/>
              <w:rPr>
                <w:rFonts w:ascii="Arial" w:hAnsi="Arial" w:cs="Arial"/>
                <w:lang w:val="en-GB"/>
              </w:rPr>
            </w:pPr>
            <w:r>
              <w:rPr>
                <w:rFonts w:ascii="Arial" w:hAnsi="Arial" w:cs="Arial"/>
                <w:lang w:val="en-GB"/>
              </w:rPr>
              <w:t xml:space="preserve">Websites and directories of </w:t>
            </w:r>
            <w:r w:rsidR="00422868">
              <w:rPr>
                <w:rFonts w:ascii="Arial" w:hAnsi="Arial" w:cs="Arial"/>
                <w:lang w:val="en-GB"/>
              </w:rPr>
              <w:t xml:space="preserve">cultural offices and </w:t>
            </w:r>
            <w:r>
              <w:rPr>
                <w:rFonts w:ascii="Arial" w:hAnsi="Arial" w:cs="Arial"/>
                <w:lang w:val="en-GB"/>
              </w:rPr>
              <w:t>heritage institutions</w:t>
            </w:r>
          </w:p>
        </w:tc>
      </w:tr>
    </w:tbl>
    <w:p w14:paraId="7C5394E4" w14:textId="77777777" w:rsidR="00320242" w:rsidRPr="00BD4C7C" w:rsidRDefault="00320242" w:rsidP="00A5709F">
      <w:pPr>
        <w:rPr>
          <w:rFonts w:ascii="Arial" w:hAnsi="Arial" w:cs="Arial"/>
        </w:rPr>
      </w:pPr>
      <w:bookmarkStart w:id="0" w:name="_GoBack"/>
      <w:bookmarkEnd w:id="0"/>
    </w:p>
    <w:sectPr w:rsidR="00320242" w:rsidRPr="00BD4C7C"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32B58" w14:textId="77777777" w:rsidR="00622C85" w:rsidRDefault="00622C85" w:rsidP="002938F2">
      <w:r>
        <w:separator/>
      </w:r>
    </w:p>
    <w:p w14:paraId="57F2C282" w14:textId="77777777" w:rsidR="00622C85" w:rsidRDefault="00622C85"/>
  </w:endnote>
  <w:endnote w:type="continuationSeparator" w:id="0">
    <w:p w14:paraId="47CA8AA4" w14:textId="77777777" w:rsidR="00622C85" w:rsidRDefault="00622C85" w:rsidP="002938F2">
      <w:r>
        <w:continuationSeparator/>
      </w:r>
    </w:p>
    <w:p w14:paraId="403588F9" w14:textId="77777777" w:rsidR="00622C85" w:rsidRDefault="00622C85"/>
  </w:endnote>
  <w:endnote w:type="continuationNotice" w:id="1">
    <w:p w14:paraId="56F1944A" w14:textId="77777777" w:rsidR="00622C85" w:rsidRDefault="00622C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054F" w14:textId="29CB0AC6" w:rsidR="00C04344" w:rsidRPr="000A0709" w:rsidRDefault="0021035C"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731CE6">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28E5B" w14:textId="77777777" w:rsidR="00622C85" w:rsidRDefault="00622C85" w:rsidP="002938F2">
      <w:r>
        <w:separator/>
      </w:r>
    </w:p>
  </w:footnote>
  <w:footnote w:type="continuationSeparator" w:id="0">
    <w:p w14:paraId="280CEB06" w14:textId="77777777" w:rsidR="00622C85" w:rsidRDefault="00622C85" w:rsidP="002938F2">
      <w:r>
        <w:continuationSeparator/>
      </w:r>
    </w:p>
    <w:p w14:paraId="12A11595" w14:textId="77777777" w:rsidR="00622C85" w:rsidRDefault="00622C85"/>
  </w:footnote>
  <w:footnote w:type="continuationNotice" w:id="1">
    <w:p w14:paraId="6308B6B9" w14:textId="77777777" w:rsidR="00622C85" w:rsidRDefault="00622C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3934" w14:textId="77777777" w:rsidR="00ED17C9" w:rsidRDefault="00ED1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BD32AC72"/>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78C66BF"/>
    <w:multiLevelType w:val="multilevel"/>
    <w:tmpl w:val="222683FE"/>
    <w:lvl w:ilvl="0">
      <w:start w:val="1"/>
      <w:numFmt w:val="decimal"/>
      <w:lvlText w:val="%1."/>
      <w:lvlJc w:val="left"/>
      <w:pPr>
        <w:ind w:left="360" w:hanging="360"/>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405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605" w:hanging="1440"/>
      </w:pPr>
      <w:rPr>
        <w:rFonts w:hint="default"/>
      </w:rPr>
    </w:lvl>
    <w:lvl w:ilvl="8">
      <w:start w:val="1"/>
      <w:numFmt w:val="decimal"/>
      <w:isLgl/>
      <w:lvlText w:val="%1.%2.%3.%4.%5.%6.%7.%8.%9"/>
      <w:lvlJc w:val="left"/>
      <w:pPr>
        <w:ind w:left="656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4"/>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3"/>
  </w:num>
  <w:num w:numId="42">
    <w:abstractNumId w:val="50"/>
  </w:num>
  <w:num w:numId="43">
    <w:abstractNumId w:val="28"/>
  </w:num>
  <w:num w:numId="44">
    <w:abstractNumId w:val="12"/>
  </w:num>
  <w:num w:numId="45">
    <w:abstractNumId w:val="51"/>
  </w:num>
  <w:num w:numId="46">
    <w:abstractNumId w:val="5"/>
  </w:num>
  <w:num w:numId="47">
    <w:abstractNumId w:val="34"/>
  </w:num>
  <w:num w:numId="48">
    <w:abstractNumId w:val="55"/>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5"/>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92"/>
    <w:rsid w:val="000016A4"/>
    <w:rsid w:val="00001769"/>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56F67"/>
    <w:rsid w:val="00060E1E"/>
    <w:rsid w:val="000632E2"/>
    <w:rsid w:val="0007203D"/>
    <w:rsid w:val="000729D2"/>
    <w:rsid w:val="00073D20"/>
    <w:rsid w:val="00074E7D"/>
    <w:rsid w:val="000755E1"/>
    <w:rsid w:val="0007681B"/>
    <w:rsid w:val="000769F1"/>
    <w:rsid w:val="00083694"/>
    <w:rsid w:val="00085541"/>
    <w:rsid w:val="00092AE6"/>
    <w:rsid w:val="00093063"/>
    <w:rsid w:val="000A0671"/>
    <w:rsid w:val="000A0709"/>
    <w:rsid w:val="000A0F0D"/>
    <w:rsid w:val="000A112A"/>
    <w:rsid w:val="000A21DA"/>
    <w:rsid w:val="000A34CE"/>
    <w:rsid w:val="000C03BF"/>
    <w:rsid w:val="000C15BD"/>
    <w:rsid w:val="000C454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379E2"/>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35C"/>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2A9D"/>
    <w:rsid w:val="00286C0C"/>
    <w:rsid w:val="00287687"/>
    <w:rsid w:val="002906F5"/>
    <w:rsid w:val="00290D5F"/>
    <w:rsid w:val="002938F2"/>
    <w:rsid w:val="00293CCC"/>
    <w:rsid w:val="002A195D"/>
    <w:rsid w:val="002B43D6"/>
    <w:rsid w:val="002B6B98"/>
    <w:rsid w:val="002C28BA"/>
    <w:rsid w:val="002C3B8F"/>
    <w:rsid w:val="002C444C"/>
    <w:rsid w:val="002C5021"/>
    <w:rsid w:val="002C5280"/>
    <w:rsid w:val="002C5C29"/>
    <w:rsid w:val="002D2A92"/>
    <w:rsid w:val="002D396D"/>
    <w:rsid w:val="002D4C86"/>
    <w:rsid w:val="002D71D4"/>
    <w:rsid w:val="002D7391"/>
    <w:rsid w:val="002E113D"/>
    <w:rsid w:val="002E7846"/>
    <w:rsid w:val="002F17E1"/>
    <w:rsid w:val="003043A9"/>
    <w:rsid w:val="0030454E"/>
    <w:rsid w:val="00320242"/>
    <w:rsid w:val="00324A32"/>
    <w:rsid w:val="00325D6E"/>
    <w:rsid w:val="00333EE7"/>
    <w:rsid w:val="00334977"/>
    <w:rsid w:val="00337194"/>
    <w:rsid w:val="00342EE8"/>
    <w:rsid w:val="00344D78"/>
    <w:rsid w:val="00346517"/>
    <w:rsid w:val="00351CCB"/>
    <w:rsid w:val="003530A2"/>
    <w:rsid w:val="0035648A"/>
    <w:rsid w:val="00362B41"/>
    <w:rsid w:val="00363995"/>
    <w:rsid w:val="00364E5E"/>
    <w:rsid w:val="00370E9B"/>
    <w:rsid w:val="00372946"/>
    <w:rsid w:val="00377E4B"/>
    <w:rsid w:val="00383BA9"/>
    <w:rsid w:val="003845B0"/>
    <w:rsid w:val="00385B34"/>
    <w:rsid w:val="00386C08"/>
    <w:rsid w:val="00387D88"/>
    <w:rsid w:val="0039446E"/>
    <w:rsid w:val="003A260A"/>
    <w:rsid w:val="003A2BC4"/>
    <w:rsid w:val="003B31BE"/>
    <w:rsid w:val="003B45C5"/>
    <w:rsid w:val="003B504D"/>
    <w:rsid w:val="003C7065"/>
    <w:rsid w:val="003D2E0D"/>
    <w:rsid w:val="003D5113"/>
    <w:rsid w:val="003D5BFC"/>
    <w:rsid w:val="003D6E10"/>
    <w:rsid w:val="003E0C0F"/>
    <w:rsid w:val="003E0E28"/>
    <w:rsid w:val="003E19D5"/>
    <w:rsid w:val="003E41C2"/>
    <w:rsid w:val="003E76A8"/>
    <w:rsid w:val="003F5B90"/>
    <w:rsid w:val="00404856"/>
    <w:rsid w:val="0040653C"/>
    <w:rsid w:val="00406ED7"/>
    <w:rsid w:val="004108B6"/>
    <w:rsid w:val="0041110F"/>
    <w:rsid w:val="0041300C"/>
    <w:rsid w:val="00414B68"/>
    <w:rsid w:val="004228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C20E2"/>
    <w:rsid w:val="004D4685"/>
    <w:rsid w:val="004E056C"/>
    <w:rsid w:val="004E2817"/>
    <w:rsid w:val="004E2854"/>
    <w:rsid w:val="004E2AE8"/>
    <w:rsid w:val="004E418A"/>
    <w:rsid w:val="005016FB"/>
    <w:rsid w:val="00504256"/>
    <w:rsid w:val="00511D17"/>
    <w:rsid w:val="005157E2"/>
    <w:rsid w:val="0051699F"/>
    <w:rsid w:val="00516DE3"/>
    <w:rsid w:val="00527190"/>
    <w:rsid w:val="005300BF"/>
    <w:rsid w:val="00532631"/>
    <w:rsid w:val="005414A1"/>
    <w:rsid w:val="0054175C"/>
    <w:rsid w:val="005473CF"/>
    <w:rsid w:val="0055026D"/>
    <w:rsid w:val="00570355"/>
    <w:rsid w:val="00574530"/>
    <w:rsid w:val="00581423"/>
    <w:rsid w:val="00581CD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38D"/>
    <w:rsid w:val="005C7D6A"/>
    <w:rsid w:val="005D2DDA"/>
    <w:rsid w:val="005E3A3E"/>
    <w:rsid w:val="005E6A2B"/>
    <w:rsid w:val="005E7C7C"/>
    <w:rsid w:val="00601DD6"/>
    <w:rsid w:val="006032AE"/>
    <w:rsid w:val="00603F71"/>
    <w:rsid w:val="00605202"/>
    <w:rsid w:val="00621092"/>
    <w:rsid w:val="00622C85"/>
    <w:rsid w:val="00627BDC"/>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5AAE"/>
    <w:rsid w:val="006C737A"/>
    <w:rsid w:val="006D46FB"/>
    <w:rsid w:val="006D622E"/>
    <w:rsid w:val="006E29C0"/>
    <w:rsid w:val="006E752A"/>
    <w:rsid w:val="006E7CF0"/>
    <w:rsid w:val="006F1DDB"/>
    <w:rsid w:val="006F3E83"/>
    <w:rsid w:val="006F4B83"/>
    <w:rsid w:val="006F7F47"/>
    <w:rsid w:val="00701458"/>
    <w:rsid w:val="00701D7E"/>
    <w:rsid w:val="00704766"/>
    <w:rsid w:val="007119B8"/>
    <w:rsid w:val="0072226D"/>
    <w:rsid w:val="0072415E"/>
    <w:rsid w:val="007247D7"/>
    <w:rsid w:val="007250E3"/>
    <w:rsid w:val="007277C8"/>
    <w:rsid w:val="00731CE6"/>
    <w:rsid w:val="00732057"/>
    <w:rsid w:val="007368A2"/>
    <w:rsid w:val="007418AE"/>
    <w:rsid w:val="00742DD1"/>
    <w:rsid w:val="00746204"/>
    <w:rsid w:val="00747715"/>
    <w:rsid w:val="00747F86"/>
    <w:rsid w:val="00750138"/>
    <w:rsid w:val="00753DA3"/>
    <w:rsid w:val="007610D3"/>
    <w:rsid w:val="007629DB"/>
    <w:rsid w:val="00764F50"/>
    <w:rsid w:val="00767871"/>
    <w:rsid w:val="00770A92"/>
    <w:rsid w:val="007710E1"/>
    <w:rsid w:val="00774D9C"/>
    <w:rsid w:val="00776A63"/>
    <w:rsid w:val="00790C65"/>
    <w:rsid w:val="0079316B"/>
    <w:rsid w:val="007955C5"/>
    <w:rsid w:val="007A0565"/>
    <w:rsid w:val="007A0EAA"/>
    <w:rsid w:val="007A1247"/>
    <w:rsid w:val="007A1E0A"/>
    <w:rsid w:val="007A6F91"/>
    <w:rsid w:val="007A7D45"/>
    <w:rsid w:val="007B357A"/>
    <w:rsid w:val="007B4ADA"/>
    <w:rsid w:val="007C105C"/>
    <w:rsid w:val="007C1B00"/>
    <w:rsid w:val="007D0F1D"/>
    <w:rsid w:val="007D2881"/>
    <w:rsid w:val="007D31CE"/>
    <w:rsid w:val="007D3AD8"/>
    <w:rsid w:val="007D5BB7"/>
    <w:rsid w:val="007D6A69"/>
    <w:rsid w:val="007E0621"/>
    <w:rsid w:val="007E4E37"/>
    <w:rsid w:val="007F2AD8"/>
    <w:rsid w:val="007F4B07"/>
    <w:rsid w:val="008029A6"/>
    <w:rsid w:val="008130EB"/>
    <w:rsid w:val="008147BA"/>
    <w:rsid w:val="0082457D"/>
    <w:rsid w:val="008269B0"/>
    <w:rsid w:val="008301DA"/>
    <w:rsid w:val="0083067E"/>
    <w:rsid w:val="00832357"/>
    <w:rsid w:val="00832DA4"/>
    <w:rsid w:val="0083488D"/>
    <w:rsid w:val="008466C3"/>
    <w:rsid w:val="00846809"/>
    <w:rsid w:val="00851458"/>
    <w:rsid w:val="00861A47"/>
    <w:rsid w:val="008707FF"/>
    <w:rsid w:val="008724E5"/>
    <w:rsid w:val="00875BBA"/>
    <w:rsid w:val="00877AC5"/>
    <w:rsid w:val="00877F27"/>
    <w:rsid w:val="0088173A"/>
    <w:rsid w:val="00881EB9"/>
    <w:rsid w:val="008848E9"/>
    <w:rsid w:val="00884C09"/>
    <w:rsid w:val="00885596"/>
    <w:rsid w:val="00885B33"/>
    <w:rsid w:val="00886B71"/>
    <w:rsid w:val="00887B0D"/>
    <w:rsid w:val="0089499E"/>
    <w:rsid w:val="00896177"/>
    <w:rsid w:val="008A0BE3"/>
    <w:rsid w:val="008A0E51"/>
    <w:rsid w:val="008A2566"/>
    <w:rsid w:val="008A6663"/>
    <w:rsid w:val="008B45FA"/>
    <w:rsid w:val="008B6B4C"/>
    <w:rsid w:val="008B7346"/>
    <w:rsid w:val="008C7F60"/>
    <w:rsid w:val="008D3BF7"/>
    <w:rsid w:val="008E0DAA"/>
    <w:rsid w:val="008E194D"/>
    <w:rsid w:val="008F16C6"/>
    <w:rsid w:val="008F2A76"/>
    <w:rsid w:val="008F34A1"/>
    <w:rsid w:val="008F4F13"/>
    <w:rsid w:val="008F5052"/>
    <w:rsid w:val="008F5193"/>
    <w:rsid w:val="008F7225"/>
    <w:rsid w:val="0090187D"/>
    <w:rsid w:val="00903C3D"/>
    <w:rsid w:val="0090710F"/>
    <w:rsid w:val="00910B12"/>
    <w:rsid w:val="00911179"/>
    <w:rsid w:val="009121CE"/>
    <w:rsid w:val="009127D8"/>
    <w:rsid w:val="00916F7B"/>
    <w:rsid w:val="00917A4D"/>
    <w:rsid w:val="00921F65"/>
    <w:rsid w:val="0092574C"/>
    <w:rsid w:val="00926427"/>
    <w:rsid w:val="009342E8"/>
    <w:rsid w:val="009357B4"/>
    <w:rsid w:val="00946D71"/>
    <w:rsid w:val="00952549"/>
    <w:rsid w:val="009577E1"/>
    <w:rsid w:val="00971CA1"/>
    <w:rsid w:val="0097349C"/>
    <w:rsid w:val="009814C2"/>
    <w:rsid w:val="00982FFD"/>
    <w:rsid w:val="00985265"/>
    <w:rsid w:val="00985856"/>
    <w:rsid w:val="00992785"/>
    <w:rsid w:val="009A4969"/>
    <w:rsid w:val="009B1466"/>
    <w:rsid w:val="009B1D39"/>
    <w:rsid w:val="009B3125"/>
    <w:rsid w:val="009B6973"/>
    <w:rsid w:val="009C0510"/>
    <w:rsid w:val="009C3663"/>
    <w:rsid w:val="009D098F"/>
    <w:rsid w:val="009D4547"/>
    <w:rsid w:val="009D5A49"/>
    <w:rsid w:val="009D5E38"/>
    <w:rsid w:val="009D602F"/>
    <w:rsid w:val="009D68D0"/>
    <w:rsid w:val="009D7105"/>
    <w:rsid w:val="009E17AF"/>
    <w:rsid w:val="009F0D42"/>
    <w:rsid w:val="009F1B82"/>
    <w:rsid w:val="009F34A4"/>
    <w:rsid w:val="009F3988"/>
    <w:rsid w:val="009F714A"/>
    <w:rsid w:val="009F715C"/>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3B92"/>
    <w:rsid w:val="00A84822"/>
    <w:rsid w:val="00A85C7A"/>
    <w:rsid w:val="00A86042"/>
    <w:rsid w:val="00AA36F9"/>
    <w:rsid w:val="00AA444A"/>
    <w:rsid w:val="00AB1528"/>
    <w:rsid w:val="00AB76FF"/>
    <w:rsid w:val="00AD6BD4"/>
    <w:rsid w:val="00AE085E"/>
    <w:rsid w:val="00AE1B18"/>
    <w:rsid w:val="00AE1D83"/>
    <w:rsid w:val="00AE2DFB"/>
    <w:rsid w:val="00AE3061"/>
    <w:rsid w:val="00AF15BA"/>
    <w:rsid w:val="00AF1C32"/>
    <w:rsid w:val="00AF65C6"/>
    <w:rsid w:val="00B11AE3"/>
    <w:rsid w:val="00B121A6"/>
    <w:rsid w:val="00B2030D"/>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B1062"/>
    <w:rsid w:val="00BB28EF"/>
    <w:rsid w:val="00BB5DEE"/>
    <w:rsid w:val="00BC002E"/>
    <w:rsid w:val="00BC393F"/>
    <w:rsid w:val="00BC75FC"/>
    <w:rsid w:val="00BD1727"/>
    <w:rsid w:val="00BD4C7C"/>
    <w:rsid w:val="00BD59BD"/>
    <w:rsid w:val="00BE5B3F"/>
    <w:rsid w:val="00BF351F"/>
    <w:rsid w:val="00BF3F50"/>
    <w:rsid w:val="00BF6F37"/>
    <w:rsid w:val="00C02924"/>
    <w:rsid w:val="00C04344"/>
    <w:rsid w:val="00C17FE4"/>
    <w:rsid w:val="00C21897"/>
    <w:rsid w:val="00C276EE"/>
    <w:rsid w:val="00C43757"/>
    <w:rsid w:val="00C43BCE"/>
    <w:rsid w:val="00C463A4"/>
    <w:rsid w:val="00C47743"/>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09AB"/>
    <w:rsid w:val="00CC2BC6"/>
    <w:rsid w:val="00CC3AAB"/>
    <w:rsid w:val="00CD324E"/>
    <w:rsid w:val="00CD4A28"/>
    <w:rsid w:val="00CD54BD"/>
    <w:rsid w:val="00CD6C36"/>
    <w:rsid w:val="00CD6CB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1B92"/>
    <w:rsid w:val="00DD52A0"/>
    <w:rsid w:val="00DE5590"/>
    <w:rsid w:val="00DE6364"/>
    <w:rsid w:val="00DF1D9E"/>
    <w:rsid w:val="00DF3DA3"/>
    <w:rsid w:val="00DF4890"/>
    <w:rsid w:val="00DF5DA4"/>
    <w:rsid w:val="00E06492"/>
    <w:rsid w:val="00E065CE"/>
    <w:rsid w:val="00E06A00"/>
    <w:rsid w:val="00E13E03"/>
    <w:rsid w:val="00E22B99"/>
    <w:rsid w:val="00E24A9D"/>
    <w:rsid w:val="00E258D9"/>
    <w:rsid w:val="00E35B8C"/>
    <w:rsid w:val="00E439CA"/>
    <w:rsid w:val="00E4647E"/>
    <w:rsid w:val="00E46DDB"/>
    <w:rsid w:val="00E5219B"/>
    <w:rsid w:val="00E56905"/>
    <w:rsid w:val="00E64BE4"/>
    <w:rsid w:val="00E85565"/>
    <w:rsid w:val="00E87F91"/>
    <w:rsid w:val="00E94BC6"/>
    <w:rsid w:val="00EA0563"/>
    <w:rsid w:val="00EA198F"/>
    <w:rsid w:val="00EA2EA1"/>
    <w:rsid w:val="00EA3CB9"/>
    <w:rsid w:val="00EA59EB"/>
    <w:rsid w:val="00EA67F3"/>
    <w:rsid w:val="00EB48F8"/>
    <w:rsid w:val="00EB59AB"/>
    <w:rsid w:val="00EC2BED"/>
    <w:rsid w:val="00ED0C60"/>
    <w:rsid w:val="00ED17C9"/>
    <w:rsid w:val="00ED3D26"/>
    <w:rsid w:val="00ED5218"/>
    <w:rsid w:val="00EE1D9D"/>
    <w:rsid w:val="00EF0BCB"/>
    <w:rsid w:val="00EF0E74"/>
    <w:rsid w:val="00EF2549"/>
    <w:rsid w:val="00F00E8A"/>
    <w:rsid w:val="00F02ADE"/>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08F3"/>
    <w:rsid w:val="00F941F0"/>
    <w:rsid w:val="00F96075"/>
    <w:rsid w:val="00F97FF5"/>
    <w:rsid w:val="00FA0167"/>
    <w:rsid w:val="00FA0924"/>
    <w:rsid w:val="00FA7CE6"/>
    <w:rsid w:val="00FB1313"/>
    <w:rsid w:val="00FB26B6"/>
    <w:rsid w:val="00FB7E0F"/>
    <w:rsid w:val="00FC0632"/>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37070"/>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
    <w:basedOn w:val="DefaultParagraphFont"/>
    <w:uiPriority w:val="99"/>
    <w:semiHidden/>
    <w:unhideWhenUsed/>
    <w:rsid w:val="00ED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787770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B3F6-5481-44F8-9F1B-3C2A3A4F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26</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8</cp:revision>
  <dcterms:created xsi:type="dcterms:W3CDTF">2019-07-19T19:33:00Z</dcterms:created>
  <dcterms:modified xsi:type="dcterms:W3CDTF">2019-12-06T17:04:00Z</dcterms:modified>
</cp:coreProperties>
</file>