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1B790"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5836364B" w14:textId="77777777" w:rsidTr="00CE716A">
        <w:trPr>
          <w:cantSplit/>
        </w:trPr>
        <w:tc>
          <w:tcPr>
            <w:tcW w:w="786" w:type="pct"/>
            <w:shd w:val="clear" w:color="auto" w:fill="auto"/>
          </w:tcPr>
          <w:p w14:paraId="4F7BFE5B"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62D9CA63" w14:textId="77777777" w:rsidR="005473CF" w:rsidRPr="00F866CD" w:rsidRDefault="00D666A3" w:rsidP="007541B9">
            <w:pPr>
              <w:keepLines/>
              <w:spacing w:before="120"/>
              <w:ind w:left="567" w:hanging="567"/>
              <w:rPr>
                <w:rFonts w:ascii="Arial" w:hAnsi="Arial" w:cs="Arial"/>
                <w:b/>
                <w:szCs w:val="22"/>
              </w:rPr>
            </w:pPr>
            <w:r w:rsidRPr="00D666A3">
              <w:rPr>
                <w:rFonts w:ascii="Arial" w:hAnsi="Arial" w:cs="Arial"/>
                <w:b/>
                <w:szCs w:val="22"/>
              </w:rPr>
              <w:t>10.</w:t>
            </w:r>
            <w:r w:rsidRPr="00D666A3">
              <w:rPr>
                <w:rFonts w:ascii="Arial" w:hAnsi="Arial" w:cs="Arial"/>
                <w:b/>
                <w:szCs w:val="22"/>
              </w:rPr>
              <w:tab/>
              <w:t>Extent to which research findings and documentation are accessible and are utilized to strengthen policy-making and improve safeguarding</w:t>
            </w:r>
          </w:p>
        </w:tc>
      </w:tr>
      <w:tr w:rsidR="005B0FE5" w:rsidRPr="00F866CD" w14:paraId="681B175E" w14:textId="77777777" w:rsidTr="00CE716A">
        <w:trPr>
          <w:cantSplit/>
        </w:trPr>
        <w:tc>
          <w:tcPr>
            <w:tcW w:w="786" w:type="pct"/>
            <w:vMerge w:val="restart"/>
            <w:shd w:val="clear" w:color="auto" w:fill="auto"/>
          </w:tcPr>
          <w:p w14:paraId="32CDBE87"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1A130E5F"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D666A3">
              <w:rPr>
                <w:rFonts w:ascii="Arial" w:hAnsi="Arial" w:cs="Arial"/>
                <w:szCs w:val="22"/>
              </w:rPr>
              <w:t>three</w:t>
            </w:r>
            <w:r w:rsidRPr="00F866CD">
              <w:rPr>
                <w:rFonts w:ascii="Arial" w:hAnsi="Arial" w:cs="Arial"/>
                <w:szCs w:val="22"/>
              </w:rPr>
              <w:t xml:space="preserve"> country-level factors monitored and reported by each State Party:</w:t>
            </w:r>
          </w:p>
        </w:tc>
      </w:tr>
      <w:tr w:rsidR="00EB6B7A" w:rsidRPr="00F866CD" w14:paraId="0AF88CB1" w14:textId="77777777" w:rsidTr="00CE716A">
        <w:trPr>
          <w:cantSplit/>
        </w:trPr>
        <w:tc>
          <w:tcPr>
            <w:tcW w:w="786" w:type="pct"/>
            <w:vMerge/>
            <w:shd w:val="clear" w:color="auto" w:fill="auto"/>
          </w:tcPr>
          <w:p w14:paraId="725C6E93" w14:textId="77777777" w:rsidR="00EB6B7A" w:rsidRPr="00F866CD" w:rsidRDefault="00EB6B7A" w:rsidP="00EB6B7A">
            <w:pPr>
              <w:spacing w:before="120"/>
              <w:rPr>
                <w:rFonts w:ascii="Arial" w:hAnsi="Arial" w:cs="Arial"/>
                <w:b/>
                <w:szCs w:val="22"/>
              </w:rPr>
            </w:pPr>
          </w:p>
        </w:tc>
        <w:tc>
          <w:tcPr>
            <w:tcW w:w="3418" w:type="pct"/>
            <w:shd w:val="clear" w:color="auto" w:fill="auto"/>
            <w:vAlign w:val="center"/>
          </w:tcPr>
          <w:p w14:paraId="4410123B" w14:textId="506598BA" w:rsidR="00EB6B7A" w:rsidRPr="00322A3A" w:rsidRDefault="00EB6B7A" w:rsidP="00DA4D93">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cs="Arial"/>
                <w:sz w:val="20"/>
                <w:szCs w:val="20"/>
                <w:lang w:val="en-GB"/>
              </w:rPr>
              <w:t>Documentation and research findings are accessible to communities, groups and individuals, while respecting customary practices governing access to specific aspects of ICH.</w:t>
            </w:r>
          </w:p>
        </w:tc>
        <w:tc>
          <w:tcPr>
            <w:tcW w:w="796" w:type="pct"/>
            <w:shd w:val="clear" w:color="auto" w:fill="auto"/>
            <w:vAlign w:val="center"/>
          </w:tcPr>
          <w:p w14:paraId="37983E7F" w14:textId="77777777" w:rsidR="00EB6B7A" w:rsidRPr="00A8072E" w:rsidRDefault="00EB6B7A" w:rsidP="00EB6B7A">
            <w:pPr>
              <w:spacing w:before="60" w:after="60"/>
              <w:rPr>
                <w:rFonts w:ascii="Arial" w:hAnsi="Arial" w:cs="Arial"/>
                <w:sz w:val="20"/>
                <w:szCs w:val="20"/>
              </w:rPr>
            </w:pPr>
            <w:r w:rsidRPr="00A8072E">
              <w:rPr>
                <w:rFonts w:ascii="Arial" w:hAnsi="Arial" w:cs="Arial"/>
                <w:sz w:val="20"/>
                <w:szCs w:val="20"/>
              </w:rPr>
              <w:t>Article 13(d)(ii)</w:t>
            </w:r>
          </w:p>
          <w:p w14:paraId="66A2588A" w14:textId="77777777" w:rsidR="00EB6B7A" w:rsidRPr="00A8072E" w:rsidRDefault="00EB6B7A" w:rsidP="00EB6B7A">
            <w:pPr>
              <w:spacing w:before="60" w:after="60"/>
              <w:rPr>
                <w:rFonts w:ascii="Arial" w:hAnsi="Arial" w:cs="Arial"/>
                <w:sz w:val="20"/>
                <w:szCs w:val="20"/>
              </w:rPr>
            </w:pPr>
            <w:r w:rsidRPr="00A8072E">
              <w:rPr>
                <w:rFonts w:ascii="Arial" w:hAnsi="Arial" w:cs="Arial"/>
                <w:sz w:val="20"/>
                <w:szCs w:val="20"/>
              </w:rPr>
              <w:t>OD 85</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101(c)</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153(b)(iii)</w:t>
            </w:r>
          </w:p>
          <w:p w14:paraId="7D2B8E21" w14:textId="77777777" w:rsidR="00EB6B7A" w:rsidRPr="0074360F" w:rsidRDefault="00EB6B7A" w:rsidP="00EB6B7A">
            <w:pPr>
              <w:keepLines/>
              <w:spacing w:before="120"/>
              <w:rPr>
                <w:rFonts w:ascii="Arial" w:hAnsi="Arial" w:cs="Arial"/>
                <w:sz w:val="20"/>
                <w:szCs w:val="20"/>
              </w:rPr>
            </w:pPr>
            <w:r w:rsidRPr="00A8072E">
              <w:rPr>
                <w:rFonts w:ascii="Arial" w:hAnsi="Arial" w:cs="Arial"/>
                <w:sz w:val="20"/>
                <w:szCs w:val="20"/>
              </w:rPr>
              <w:t>EP 5</w:t>
            </w:r>
          </w:p>
        </w:tc>
      </w:tr>
      <w:tr w:rsidR="00EB6B7A" w:rsidRPr="00F866CD" w14:paraId="5BABBFC9" w14:textId="77777777" w:rsidTr="00CE716A">
        <w:trPr>
          <w:cantSplit/>
        </w:trPr>
        <w:tc>
          <w:tcPr>
            <w:tcW w:w="786" w:type="pct"/>
            <w:vMerge/>
            <w:shd w:val="clear" w:color="auto" w:fill="auto"/>
          </w:tcPr>
          <w:p w14:paraId="7C3A09C9" w14:textId="77777777" w:rsidR="00EB6B7A" w:rsidRPr="00F866CD" w:rsidRDefault="00EB6B7A" w:rsidP="00EB6B7A">
            <w:pPr>
              <w:spacing w:before="120"/>
              <w:rPr>
                <w:rFonts w:ascii="Arial" w:hAnsi="Arial" w:cs="Arial"/>
                <w:b/>
                <w:szCs w:val="22"/>
              </w:rPr>
            </w:pPr>
          </w:p>
        </w:tc>
        <w:tc>
          <w:tcPr>
            <w:tcW w:w="3418" w:type="pct"/>
            <w:shd w:val="clear" w:color="auto" w:fill="auto"/>
            <w:vAlign w:val="center"/>
          </w:tcPr>
          <w:p w14:paraId="599659A8" w14:textId="77777777" w:rsidR="00EB6B7A" w:rsidRPr="00322A3A" w:rsidRDefault="00EB6B7A" w:rsidP="00DA4D93">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cs="Arial"/>
                <w:sz w:val="20"/>
                <w:szCs w:val="20"/>
                <w:lang w:val="en-GB"/>
              </w:rPr>
              <w:t>The results of research, documentation, and scientific, technical and artistic studies on ICH are utilized to strengthen policy-making across sectors.</w:t>
            </w:r>
          </w:p>
        </w:tc>
        <w:tc>
          <w:tcPr>
            <w:tcW w:w="796" w:type="pct"/>
            <w:shd w:val="clear" w:color="auto" w:fill="auto"/>
            <w:vAlign w:val="center"/>
          </w:tcPr>
          <w:p w14:paraId="77FA62C3" w14:textId="77777777" w:rsidR="00EB6B7A" w:rsidRPr="0074360F" w:rsidRDefault="00EB6B7A" w:rsidP="00EB6B7A">
            <w:pPr>
              <w:spacing w:before="60" w:after="60"/>
              <w:rPr>
                <w:rFonts w:ascii="Arial" w:hAnsi="Arial" w:cs="Arial"/>
                <w:sz w:val="20"/>
                <w:szCs w:val="20"/>
              </w:rPr>
            </w:pPr>
            <w:r w:rsidRPr="00A8072E">
              <w:rPr>
                <w:rFonts w:ascii="Arial" w:hAnsi="Arial" w:cs="Arial"/>
                <w:sz w:val="20"/>
                <w:szCs w:val="20"/>
              </w:rPr>
              <w:t>OD 153(b)(ii)</w:t>
            </w:r>
          </w:p>
        </w:tc>
      </w:tr>
      <w:tr w:rsidR="00D666A3" w:rsidRPr="00F866CD" w14:paraId="67857240" w14:textId="77777777" w:rsidTr="00CE716A">
        <w:trPr>
          <w:cantSplit/>
        </w:trPr>
        <w:tc>
          <w:tcPr>
            <w:tcW w:w="786" w:type="pct"/>
            <w:vMerge/>
            <w:shd w:val="clear" w:color="auto" w:fill="auto"/>
          </w:tcPr>
          <w:p w14:paraId="66E9600D" w14:textId="77777777" w:rsidR="00D666A3" w:rsidRPr="00F866CD" w:rsidRDefault="00D666A3" w:rsidP="00D666A3">
            <w:pPr>
              <w:spacing w:before="120"/>
              <w:rPr>
                <w:rFonts w:ascii="Arial" w:hAnsi="Arial" w:cs="Arial"/>
                <w:b/>
                <w:szCs w:val="22"/>
              </w:rPr>
            </w:pPr>
          </w:p>
        </w:tc>
        <w:tc>
          <w:tcPr>
            <w:tcW w:w="3418" w:type="pct"/>
            <w:shd w:val="clear" w:color="auto" w:fill="auto"/>
            <w:vAlign w:val="center"/>
          </w:tcPr>
          <w:p w14:paraId="2216D15B" w14:textId="77777777" w:rsidR="00D666A3" w:rsidRPr="00322A3A" w:rsidRDefault="00D666A3" w:rsidP="00DA4D93">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cs="Arial"/>
                <w:sz w:val="20"/>
                <w:szCs w:val="20"/>
                <w:lang w:val="en-GB"/>
              </w:rPr>
              <w:t>The results of research, documentation, and scientific, technical and artistic studies on ICH are utilized to improve safeguarding.</w:t>
            </w:r>
          </w:p>
        </w:tc>
        <w:tc>
          <w:tcPr>
            <w:tcW w:w="796" w:type="pct"/>
            <w:shd w:val="clear" w:color="auto" w:fill="auto"/>
            <w:vAlign w:val="center"/>
          </w:tcPr>
          <w:p w14:paraId="606A427C" w14:textId="77777777" w:rsidR="00D666A3" w:rsidRPr="0074360F" w:rsidRDefault="00AC769F" w:rsidP="00D666A3">
            <w:pPr>
              <w:keepLines/>
              <w:spacing w:before="120"/>
              <w:rPr>
                <w:rFonts w:ascii="Arial" w:hAnsi="Arial" w:cs="Arial"/>
                <w:sz w:val="20"/>
                <w:szCs w:val="20"/>
              </w:rPr>
            </w:pPr>
            <w:r>
              <w:rPr>
                <w:rFonts w:ascii="Arial" w:hAnsi="Arial" w:cs="Arial"/>
                <w:sz w:val="20"/>
                <w:szCs w:val="20"/>
              </w:rPr>
              <w:t>Article 2.3 and 13(c)</w:t>
            </w:r>
          </w:p>
        </w:tc>
      </w:tr>
      <w:tr w:rsidR="005473CF" w:rsidRPr="00F866CD" w14:paraId="63DB6E25" w14:textId="77777777" w:rsidTr="00CE716A">
        <w:trPr>
          <w:cantSplit/>
        </w:trPr>
        <w:tc>
          <w:tcPr>
            <w:tcW w:w="786" w:type="pct"/>
            <w:shd w:val="clear" w:color="auto" w:fill="auto"/>
          </w:tcPr>
          <w:p w14:paraId="057CEDFA"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24C23270" w14:textId="77777777" w:rsidR="005473CF" w:rsidRPr="00F866CD"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7541B9">
              <w:rPr>
                <w:rFonts w:ascii="Arial" w:hAnsi="Arial" w:cs="Arial"/>
                <w:szCs w:val="22"/>
              </w:rPr>
              <w:t>The present indicator supports SDG Target 16.10 in its attention to public access to information, as well as SDG Target 17.14, which encourages enhanced policy coherence for sustainable development. The</w:t>
            </w:r>
            <w:r w:rsidR="007541B9" w:rsidRPr="00777BAF">
              <w:rPr>
                <w:rFonts w:ascii="Arial" w:hAnsi="Arial" w:cs="Arial"/>
                <w:szCs w:val="22"/>
              </w:rPr>
              <w:t xml:space="preserve"> indicator </w:t>
            </w:r>
            <w:r w:rsidR="007541B9">
              <w:rPr>
                <w:rFonts w:ascii="Arial" w:hAnsi="Arial" w:cs="Arial"/>
                <w:szCs w:val="22"/>
              </w:rPr>
              <w:t xml:space="preserve">also </w:t>
            </w:r>
            <w:r w:rsidR="007541B9" w:rsidRPr="00777BAF">
              <w:rPr>
                <w:rFonts w:ascii="Arial" w:hAnsi="Arial" w:cs="Arial"/>
                <w:szCs w:val="22"/>
              </w:rPr>
              <w:t>responds to SDG Target 11.4, ‘Strengthen efforts to protect and safeguard the world’s cultural and natural heritage.’</w:t>
            </w:r>
          </w:p>
          <w:p w14:paraId="4915C961" w14:textId="146DF4D0" w:rsidR="005473CF" w:rsidRPr="007541B9" w:rsidRDefault="005473CF" w:rsidP="00CB451D">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7541B9">
              <w:rPr>
                <w:rFonts w:ascii="Arial" w:hAnsi="Arial" w:cs="Arial"/>
                <w:bCs/>
                <w:szCs w:val="22"/>
              </w:rPr>
              <w:t>This indicator emphasizes the outcomes and impacts of research and documentation, and particularly how they can be utilized to strengthen safeguarding and policy-making. As such, it complements Indicator 9, which focuses on the processes of research and documentation and how they should best be carried out. Both indicators complement Indicator 1, which concerns fostering institutions for documentation, and Indicator 24, which concerns international cooperation through sharing of documentation.</w:t>
            </w:r>
            <w:r w:rsidR="00E50406">
              <w:rPr>
                <w:rFonts w:ascii="Arial" w:hAnsi="Arial" w:cs="Arial"/>
                <w:bCs/>
                <w:szCs w:val="22"/>
              </w:rPr>
              <w:t xml:space="preserve"> In addition, it is also complementary to Indicators 11, 12 a</w:t>
            </w:r>
            <w:r w:rsidR="007638B1">
              <w:rPr>
                <w:rFonts w:ascii="Arial" w:hAnsi="Arial" w:cs="Arial"/>
                <w:bCs/>
                <w:szCs w:val="22"/>
              </w:rPr>
              <w:t>n</w:t>
            </w:r>
            <w:r w:rsidR="00E50406">
              <w:rPr>
                <w:rFonts w:ascii="Arial" w:hAnsi="Arial" w:cs="Arial"/>
                <w:bCs/>
                <w:szCs w:val="22"/>
              </w:rPr>
              <w:t>d 13</w:t>
            </w:r>
            <w:r w:rsidR="007638B1">
              <w:rPr>
                <w:rFonts w:ascii="Arial" w:hAnsi="Arial" w:cs="Arial"/>
                <w:bCs/>
                <w:szCs w:val="22"/>
              </w:rPr>
              <w:t>,</w:t>
            </w:r>
            <w:r w:rsidR="00E50406">
              <w:rPr>
                <w:rFonts w:ascii="Arial" w:hAnsi="Arial" w:cs="Arial"/>
                <w:bCs/>
                <w:szCs w:val="22"/>
              </w:rPr>
              <w:t xml:space="preserve"> which deal with policy-making across various sectors, including those of culture and education.</w:t>
            </w:r>
          </w:p>
        </w:tc>
      </w:tr>
      <w:tr w:rsidR="00896177" w:rsidRPr="00F866CD" w14:paraId="76674490" w14:textId="77777777" w:rsidTr="00CE716A">
        <w:trPr>
          <w:cantSplit/>
        </w:trPr>
        <w:tc>
          <w:tcPr>
            <w:tcW w:w="786" w:type="pct"/>
            <w:shd w:val="clear" w:color="auto" w:fill="auto"/>
          </w:tcPr>
          <w:p w14:paraId="741D6E76"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282389B9" w14:textId="70D00A23" w:rsidR="00704766" w:rsidRPr="00F866CD" w:rsidRDefault="00AD48F4" w:rsidP="00AC769F">
            <w:pPr>
              <w:keepLines/>
              <w:spacing w:before="120"/>
              <w:jc w:val="both"/>
              <w:rPr>
                <w:rFonts w:asciiTheme="minorBidi" w:hAnsiTheme="minorBidi" w:cstheme="minorBidi"/>
                <w:szCs w:val="22"/>
              </w:rPr>
            </w:pPr>
            <w:r>
              <w:rPr>
                <w:rFonts w:asciiTheme="minorBidi" w:hAnsiTheme="minorBidi" w:cstheme="minorBidi"/>
                <w:szCs w:val="22"/>
              </w:rPr>
              <w:t>The Convention advocate</w:t>
            </w:r>
            <w:r w:rsidR="00AC769F">
              <w:rPr>
                <w:rFonts w:asciiTheme="minorBidi" w:hAnsiTheme="minorBidi" w:cstheme="minorBidi"/>
                <w:szCs w:val="22"/>
              </w:rPr>
              <w:t>s</w:t>
            </w:r>
            <w:r>
              <w:rPr>
                <w:rFonts w:asciiTheme="minorBidi" w:hAnsiTheme="minorBidi" w:cstheme="minorBidi"/>
                <w:szCs w:val="22"/>
              </w:rPr>
              <w:t xml:space="preserve"> research and documentation </w:t>
            </w:r>
            <w:r w:rsidR="00CB451D">
              <w:rPr>
                <w:rFonts w:asciiTheme="minorBidi" w:hAnsiTheme="minorBidi" w:cstheme="minorBidi"/>
                <w:szCs w:val="22"/>
              </w:rPr>
              <w:t xml:space="preserve">specifically </w:t>
            </w:r>
            <w:r>
              <w:rPr>
                <w:rFonts w:asciiTheme="minorBidi" w:hAnsiTheme="minorBidi" w:cstheme="minorBidi"/>
                <w:szCs w:val="22"/>
              </w:rPr>
              <w:t>as measures for safeguarding (Article 2.3) – and like all such measures, they should involve the widest possible participation of communities, groups and individuals (Article 15). Many examples illustrate how such actors have utilized existing research and documentation to strengthen their own practice and transmission. The Convention therefore promotes broad access</w:t>
            </w:r>
            <w:r w:rsidR="00AC769F">
              <w:rPr>
                <w:rFonts w:asciiTheme="minorBidi" w:hAnsiTheme="minorBidi" w:cstheme="minorBidi"/>
                <w:szCs w:val="22"/>
              </w:rPr>
              <w:t xml:space="preserve"> to research</w:t>
            </w:r>
            <w:r>
              <w:rPr>
                <w:rFonts w:asciiTheme="minorBidi" w:hAnsiTheme="minorBidi" w:cstheme="minorBidi"/>
                <w:szCs w:val="22"/>
              </w:rPr>
              <w:t xml:space="preserve">, while </w:t>
            </w:r>
            <w:r w:rsidR="00AC769F">
              <w:rPr>
                <w:rFonts w:asciiTheme="minorBidi" w:hAnsiTheme="minorBidi" w:cstheme="minorBidi"/>
                <w:szCs w:val="22"/>
              </w:rPr>
              <w:t xml:space="preserve">respecting </w:t>
            </w:r>
            <w:r>
              <w:rPr>
                <w:rFonts w:asciiTheme="minorBidi" w:hAnsiTheme="minorBidi" w:cstheme="minorBidi"/>
                <w:szCs w:val="22"/>
              </w:rPr>
              <w:t>a community’s own customary practices that might limit access to specific aspects of their heritage. Research and documentation, as well as scientific, technical and artistic studies, are important resources that can inform policy-making, particularly by tracing the impacts and effectiveness of various safeguarding initiatives.</w:t>
            </w:r>
          </w:p>
        </w:tc>
      </w:tr>
      <w:tr w:rsidR="00704766" w:rsidRPr="00F866CD" w14:paraId="0C5CDEAF" w14:textId="77777777" w:rsidTr="00CE716A">
        <w:trPr>
          <w:cantSplit/>
        </w:trPr>
        <w:tc>
          <w:tcPr>
            <w:tcW w:w="786" w:type="pct"/>
            <w:shd w:val="clear" w:color="auto" w:fill="auto"/>
          </w:tcPr>
          <w:p w14:paraId="27D4FC36"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30DC5EBD" w14:textId="77777777" w:rsidR="00FD2DD2" w:rsidRDefault="00FD2DD2"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Access (to an ICH inventory and/or documentation and research findings)</w:t>
            </w:r>
          </w:p>
          <w:p w14:paraId="112B3834" w14:textId="77777777" w:rsidR="00704766" w:rsidRDefault="001E362A"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p w14:paraId="4217D791" w14:textId="77777777" w:rsidR="001E362A" w:rsidRDefault="001E362A"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Customary practices</w:t>
            </w:r>
          </w:p>
          <w:p w14:paraId="27B5A3C1" w14:textId="77777777" w:rsidR="00272281" w:rsidRDefault="00272281"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Scientific, technical and artistic studies</w:t>
            </w:r>
          </w:p>
          <w:p w14:paraId="7E57E0ED" w14:textId="77777777" w:rsidR="002D55FA" w:rsidRPr="00F866CD" w:rsidRDefault="002D55FA"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Policy-making across different sectors</w:t>
            </w:r>
          </w:p>
        </w:tc>
      </w:tr>
    </w:tbl>
    <w:p w14:paraId="61D79958"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2722A088" w14:textId="77777777" w:rsidR="0054175C" w:rsidRPr="00F866CD" w:rsidRDefault="0054175C" w:rsidP="00704766">
      <w:pPr>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0A64424F" w14:textId="77777777" w:rsidTr="007638B1">
        <w:tc>
          <w:tcPr>
            <w:tcW w:w="730" w:type="pct"/>
            <w:shd w:val="clear" w:color="auto" w:fill="auto"/>
          </w:tcPr>
          <w:p w14:paraId="767559E5" w14:textId="77777777" w:rsidR="002C28BA" w:rsidRPr="00F866CD" w:rsidRDefault="002C28BA" w:rsidP="006B0DB6">
            <w:pPr>
              <w:spacing w:before="120"/>
              <w:rPr>
                <w:rFonts w:ascii="Arial" w:hAnsi="Arial" w:cs="Arial"/>
                <w:b/>
                <w:szCs w:val="22"/>
              </w:rPr>
            </w:pPr>
            <w:r w:rsidRPr="00F866CD">
              <w:rPr>
                <w:rFonts w:ascii="Arial" w:hAnsi="Arial" w:cs="Arial"/>
                <w:b/>
                <w:szCs w:val="22"/>
              </w:rPr>
              <w:t xml:space="preserve">Benefits of </w:t>
            </w:r>
            <w:r w:rsidRPr="00F866CD">
              <w:rPr>
                <w:rFonts w:ascii="Arial" w:hAnsi="Arial" w:cs="Arial"/>
                <w:b/>
                <w:szCs w:val="22"/>
              </w:rPr>
              <w:lastRenderedPageBreak/>
              <w:t>monitoring</w:t>
            </w:r>
          </w:p>
        </w:tc>
        <w:tc>
          <w:tcPr>
            <w:tcW w:w="4270" w:type="pct"/>
            <w:shd w:val="clear" w:color="auto" w:fill="auto"/>
          </w:tcPr>
          <w:p w14:paraId="0F0693E4" w14:textId="5518CD71" w:rsidR="002C28BA" w:rsidRPr="00621208" w:rsidRDefault="00FB37AF" w:rsidP="00DB3A6C">
            <w:pPr>
              <w:keepLines/>
              <w:spacing w:before="120"/>
              <w:jc w:val="both"/>
              <w:rPr>
                <w:rFonts w:ascii="Arial" w:hAnsi="Arial" w:cs="Arial"/>
                <w:bCs/>
                <w:szCs w:val="22"/>
              </w:rPr>
            </w:pPr>
            <w:r>
              <w:rPr>
                <w:rFonts w:ascii="Arial" w:hAnsi="Arial" w:cs="Arial"/>
                <w:bCs/>
                <w:szCs w:val="22"/>
              </w:rPr>
              <w:lastRenderedPageBreak/>
              <w:t xml:space="preserve">Monitoring at the country level can help a State to assess the extent to which </w:t>
            </w:r>
            <w:r>
              <w:rPr>
                <w:rFonts w:ascii="Arial" w:hAnsi="Arial" w:cs="Arial"/>
                <w:bCs/>
                <w:szCs w:val="22"/>
              </w:rPr>
              <w:lastRenderedPageBreak/>
              <w:t xml:space="preserve">communities, groups and individuals are able to benefit from research and documentation to strengthen their own practice and transmission of ICH. Such monitoring can </w:t>
            </w:r>
            <w:r w:rsidR="00DB3A6C">
              <w:rPr>
                <w:rFonts w:ascii="Arial" w:hAnsi="Arial" w:cs="Arial"/>
                <w:bCs/>
                <w:szCs w:val="22"/>
              </w:rPr>
              <w:t xml:space="preserve">detect </w:t>
            </w:r>
            <w:r>
              <w:rPr>
                <w:rFonts w:ascii="Arial" w:hAnsi="Arial" w:cs="Arial"/>
                <w:bCs/>
                <w:szCs w:val="22"/>
              </w:rPr>
              <w:t>whether policy-makers are similarly benefitting from research and documentation when they establish relevant policies</w:t>
            </w:r>
            <w:r w:rsidR="00DB3A6C">
              <w:rPr>
                <w:rFonts w:ascii="Arial" w:hAnsi="Arial" w:cs="Arial"/>
                <w:bCs/>
                <w:szCs w:val="22"/>
              </w:rPr>
              <w:t>.</w:t>
            </w:r>
            <w:r>
              <w:rPr>
                <w:rFonts w:ascii="Arial" w:hAnsi="Arial" w:cs="Arial"/>
                <w:bCs/>
                <w:szCs w:val="22"/>
              </w:rPr>
              <w:t xml:space="preserve"> </w:t>
            </w:r>
            <w:r w:rsidR="00DB3A6C">
              <w:rPr>
                <w:rFonts w:ascii="Arial" w:hAnsi="Arial" w:cs="Arial"/>
                <w:bCs/>
                <w:szCs w:val="22"/>
              </w:rPr>
              <w:t xml:space="preserve">It may also identify </w:t>
            </w:r>
            <w:r>
              <w:rPr>
                <w:rFonts w:ascii="Arial" w:hAnsi="Arial" w:cs="Arial"/>
                <w:bCs/>
                <w:szCs w:val="22"/>
              </w:rPr>
              <w:t xml:space="preserve">whether there are additional opportunities to reinforce safeguarding, </w:t>
            </w:r>
            <w:r w:rsidR="00DB3A6C">
              <w:rPr>
                <w:rFonts w:ascii="Arial" w:hAnsi="Arial" w:cs="Arial"/>
                <w:bCs/>
                <w:szCs w:val="22"/>
              </w:rPr>
              <w:t xml:space="preserve">either </w:t>
            </w:r>
            <w:r>
              <w:rPr>
                <w:rFonts w:ascii="Arial" w:hAnsi="Arial" w:cs="Arial"/>
                <w:bCs/>
                <w:szCs w:val="22"/>
              </w:rPr>
              <w:t xml:space="preserve">through policy or through communities’ </w:t>
            </w:r>
            <w:r w:rsidR="00DB3A6C">
              <w:rPr>
                <w:rFonts w:ascii="Arial" w:hAnsi="Arial" w:cs="Arial"/>
                <w:bCs/>
                <w:szCs w:val="22"/>
              </w:rPr>
              <w:t xml:space="preserve">practice. Furthermore, monitoring </w:t>
            </w:r>
            <w:r w:rsidR="00C86FAE">
              <w:rPr>
                <w:rFonts w:ascii="Arial" w:hAnsi="Arial" w:cs="Arial"/>
                <w:bCs/>
                <w:szCs w:val="22"/>
              </w:rPr>
              <w:t xml:space="preserve">can also inform research funding bodies </w:t>
            </w:r>
            <w:r w:rsidR="007638B1">
              <w:rPr>
                <w:rFonts w:ascii="Arial" w:hAnsi="Arial" w:cs="Arial"/>
                <w:bCs/>
                <w:szCs w:val="22"/>
              </w:rPr>
              <w:t xml:space="preserve">about </w:t>
            </w:r>
            <w:r w:rsidR="00C86FAE">
              <w:rPr>
                <w:rFonts w:ascii="Arial" w:hAnsi="Arial" w:cs="Arial"/>
                <w:bCs/>
                <w:szCs w:val="22"/>
              </w:rPr>
              <w:t xml:space="preserve">areas in which more support would be useful to feed into policy-making. </w:t>
            </w:r>
            <w:r>
              <w:rPr>
                <w:rFonts w:ascii="Arial" w:hAnsi="Arial" w:cs="Arial"/>
                <w:bCs/>
                <w:szCs w:val="22"/>
              </w:rPr>
              <w:t>At the global level, monitoring can identify good practices that might be adapted to the needs of particular States, and can identify opportunities for international collaboration.</w:t>
            </w:r>
          </w:p>
        </w:tc>
      </w:tr>
      <w:tr w:rsidR="0054175C" w:rsidRPr="00F866CD" w14:paraId="02BC88C0" w14:textId="77777777" w:rsidTr="007638B1">
        <w:tc>
          <w:tcPr>
            <w:tcW w:w="730" w:type="pct"/>
            <w:shd w:val="clear" w:color="auto" w:fill="auto"/>
          </w:tcPr>
          <w:p w14:paraId="4350982E" w14:textId="77777777" w:rsidR="0054175C" w:rsidRPr="00F866CD" w:rsidRDefault="0054175C" w:rsidP="0054175C">
            <w:pPr>
              <w:spacing w:before="120"/>
              <w:rPr>
                <w:rFonts w:ascii="Arial" w:hAnsi="Arial" w:cs="Arial"/>
                <w:b/>
                <w:szCs w:val="22"/>
              </w:rPr>
            </w:pPr>
            <w:r w:rsidRPr="00F866CD">
              <w:rPr>
                <w:rFonts w:ascii="Arial" w:hAnsi="Arial" w:cs="Arial"/>
                <w:b/>
                <w:szCs w:val="22"/>
              </w:rPr>
              <w:lastRenderedPageBreak/>
              <w:t>Data sources and collection</w:t>
            </w:r>
          </w:p>
        </w:tc>
        <w:tc>
          <w:tcPr>
            <w:tcW w:w="4270" w:type="pct"/>
            <w:shd w:val="clear" w:color="auto" w:fill="auto"/>
          </w:tcPr>
          <w:p w14:paraId="05EB017E" w14:textId="365B0E22" w:rsidR="0054175C" w:rsidRPr="00F866CD" w:rsidRDefault="00DB3A6C" w:rsidP="00CB451D">
            <w:pPr>
              <w:spacing w:before="120"/>
              <w:jc w:val="both"/>
              <w:rPr>
                <w:rFonts w:ascii="Arial" w:hAnsi="Arial" w:cs="Arial"/>
                <w:szCs w:val="22"/>
              </w:rPr>
            </w:pPr>
            <w:r>
              <w:rPr>
                <w:rFonts w:ascii="Arial" w:hAnsi="Arial" w:cs="Arial"/>
                <w:szCs w:val="22"/>
              </w:rPr>
              <w:t xml:space="preserve">Reports and publications from institutions carrying out </w:t>
            </w:r>
            <w:r w:rsidR="00C8721C">
              <w:rPr>
                <w:rFonts w:ascii="Arial" w:hAnsi="Arial" w:cs="Arial"/>
                <w:szCs w:val="22"/>
              </w:rPr>
              <w:t xml:space="preserve">research and documentation </w:t>
            </w:r>
            <w:r w:rsidR="00CB451D">
              <w:rPr>
                <w:rFonts w:ascii="Arial" w:hAnsi="Arial" w:cs="Arial"/>
                <w:szCs w:val="22"/>
              </w:rPr>
              <w:t>are</w:t>
            </w:r>
            <w:r>
              <w:rPr>
                <w:rFonts w:ascii="Arial" w:hAnsi="Arial" w:cs="Arial"/>
                <w:szCs w:val="22"/>
              </w:rPr>
              <w:t xml:space="preserve"> an important source of information for this </w:t>
            </w:r>
            <w:proofErr w:type="gramStart"/>
            <w:r>
              <w:rPr>
                <w:rFonts w:ascii="Arial" w:hAnsi="Arial" w:cs="Arial"/>
                <w:szCs w:val="22"/>
              </w:rPr>
              <w:t>indicator.</w:t>
            </w:r>
            <w:r w:rsidR="00C8721C">
              <w:rPr>
                <w:rFonts w:ascii="Arial" w:hAnsi="Arial" w:cs="Arial"/>
                <w:szCs w:val="22"/>
              </w:rPr>
              <w:t>.</w:t>
            </w:r>
            <w:proofErr w:type="gramEnd"/>
            <w:r w:rsidR="00C8721C">
              <w:rPr>
                <w:rFonts w:ascii="Arial" w:hAnsi="Arial" w:cs="Arial"/>
                <w:szCs w:val="22"/>
              </w:rPr>
              <w:t xml:space="preserve"> Networks or professional associations of researchers may have newsletters, bulletins or regular meetings </w:t>
            </w:r>
            <w:r w:rsidR="00F64F92">
              <w:rPr>
                <w:rFonts w:ascii="Arial" w:hAnsi="Arial" w:cs="Arial"/>
                <w:szCs w:val="22"/>
              </w:rPr>
              <w:t>through</w:t>
            </w:r>
            <w:r w:rsidR="00C8721C">
              <w:rPr>
                <w:rFonts w:ascii="Arial" w:hAnsi="Arial" w:cs="Arial"/>
                <w:szCs w:val="22"/>
              </w:rPr>
              <w:t xml:space="preserve"> which they report on their activities and promote greater access to their findings. If the State has a consultative body or cooperation mechanism that brings together policy-makers, experts and community members, that would be a forum for monitoring the utilization and impacts of research and documentation as well as scientific, technical and artistic studies.</w:t>
            </w:r>
          </w:p>
          <w:p w14:paraId="23A4FE04"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0BB19E9F" w14:textId="77777777" w:rsidR="0054175C" w:rsidRDefault="00F64F92" w:rsidP="00BE5B3F">
            <w:pPr>
              <w:pStyle w:val="ListParagraph"/>
              <w:numPr>
                <w:ilvl w:val="0"/>
                <w:numId w:val="73"/>
              </w:numPr>
              <w:spacing w:before="120"/>
              <w:jc w:val="both"/>
              <w:rPr>
                <w:rFonts w:ascii="Arial" w:hAnsi="Arial" w:cs="Arial"/>
                <w:lang w:val="en-GB"/>
              </w:rPr>
            </w:pPr>
            <w:r>
              <w:rPr>
                <w:rFonts w:ascii="Arial" w:hAnsi="Arial" w:cs="Arial"/>
                <w:lang w:val="en-GB"/>
              </w:rPr>
              <w:t>Periodic reports of relevant research and documentation institutions</w:t>
            </w:r>
          </w:p>
          <w:p w14:paraId="381EF1F5" w14:textId="77777777" w:rsidR="00C86FAE" w:rsidRDefault="00C86FAE" w:rsidP="00BE5B3F">
            <w:pPr>
              <w:pStyle w:val="ListParagraph"/>
              <w:numPr>
                <w:ilvl w:val="0"/>
                <w:numId w:val="73"/>
              </w:numPr>
              <w:spacing w:before="120"/>
              <w:jc w:val="both"/>
              <w:rPr>
                <w:rFonts w:ascii="Arial" w:hAnsi="Arial" w:cs="Arial"/>
                <w:lang w:val="en-GB"/>
              </w:rPr>
            </w:pPr>
            <w:r>
              <w:rPr>
                <w:rFonts w:ascii="Arial" w:hAnsi="Arial" w:cs="Arial"/>
                <w:lang w:val="en-GB"/>
              </w:rPr>
              <w:t>Annual national research budget and reports of national funding bodies</w:t>
            </w:r>
          </w:p>
          <w:p w14:paraId="163526B0" w14:textId="77777777" w:rsidR="00F64F92" w:rsidRDefault="00F907E5" w:rsidP="00BE5B3F">
            <w:pPr>
              <w:pStyle w:val="ListParagraph"/>
              <w:numPr>
                <w:ilvl w:val="0"/>
                <w:numId w:val="73"/>
              </w:numPr>
              <w:spacing w:before="120"/>
              <w:jc w:val="both"/>
              <w:rPr>
                <w:rFonts w:ascii="Arial" w:hAnsi="Arial" w:cs="Arial"/>
                <w:lang w:val="en-GB"/>
              </w:rPr>
            </w:pPr>
            <w:r>
              <w:rPr>
                <w:rFonts w:ascii="Arial" w:hAnsi="Arial" w:cs="Arial"/>
                <w:lang w:val="en-GB"/>
              </w:rPr>
              <w:t>Newsletters, bulletins or websites of professional associations or networks of researchers</w:t>
            </w:r>
          </w:p>
          <w:p w14:paraId="1019E9E2" w14:textId="77777777" w:rsidR="00F907E5" w:rsidRPr="00F907E5" w:rsidRDefault="00F907E5" w:rsidP="00F907E5">
            <w:pPr>
              <w:pStyle w:val="ListParagraph"/>
              <w:numPr>
                <w:ilvl w:val="0"/>
                <w:numId w:val="73"/>
              </w:numPr>
              <w:rPr>
                <w:rFonts w:ascii="Arial" w:hAnsi="Arial" w:cs="Arial"/>
                <w:lang w:val="en-GB"/>
              </w:rPr>
            </w:pPr>
            <w:r w:rsidRPr="00F907E5">
              <w:rPr>
                <w:rFonts w:ascii="Arial" w:hAnsi="Arial" w:cs="Arial"/>
                <w:lang w:val="en-GB"/>
              </w:rPr>
              <w:t>Exhibition catalogues, conference agendas or proceedings, or documents describing other public presentations and events</w:t>
            </w:r>
          </w:p>
          <w:p w14:paraId="4D2E4291" w14:textId="77777777" w:rsidR="00F907E5" w:rsidRPr="00F866CD" w:rsidRDefault="00F907E5" w:rsidP="00BE5B3F">
            <w:pPr>
              <w:pStyle w:val="ListParagraph"/>
              <w:numPr>
                <w:ilvl w:val="0"/>
                <w:numId w:val="73"/>
              </w:numPr>
              <w:spacing w:before="120"/>
              <w:jc w:val="both"/>
              <w:rPr>
                <w:rFonts w:ascii="Arial" w:hAnsi="Arial" w:cs="Arial"/>
                <w:lang w:val="en-GB"/>
              </w:rPr>
            </w:pPr>
            <w:r>
              <w:rPr>
                <w:rFonts w:ascii="Arial" w:hAnsi="Arial" w:cs="Arial"/>
                <w:lang w:val="en-GB"/>
              </w:rPr>
              <w:t xml:space="preserve">Public access policies and regulations of archival </w:t>
            </w:r>
            <w:r w:rsidR="00C86FAE">
              <w:rPr>
                <w:rFonts w:ascii="Arial" w:hAnsi="Arial" w:cs="Arial"/>
                <w:lang w:val="en-GB"/>
              </w:rPr>
              <w:t xml:space="preserve">and other documentation </w:t>
            </w:r>
            <w:r>
              <w:rPr>
                <w:rFonts w:ascii="Arial" w:hAnsi="Arial" w:cs="Arial"/>
                <w:lang w:val="en-GB"/>
              </w:rPr>
              <w:t>institutions</w:t>
            </w:r>
          </w:p>
        </w:tc>
      </w:tr>
    </w:tbl>
    <w:p w14:paraId="312D7580"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3694D" w14:textId="77777777" w:rsidR="00803410" w:rsidRDefault="00803410" w:rsidP="002938F2">
      <w:r>
        <w:separator/>
      </w:r>
    </w:p>
    <w:p w14:paraId="7ADB7208" w14:textId="77777777" w:rsidR="00803410" w:rsidRDefault="00803410"/>
  </w:endnote>
  <w:endnote w:type="continuationSeparator" w:id="0">
    <w:p w14:paraId="0FC6C994" w14:textId="77777777" w:rsidR="00803410" w:rsidRDefault="00803410" w:rsidP="002938F2">
      <w:r>
        <w:continuationSeparator/>
      </w:r>
    </w:p>
    <w:p w14:paraId="582FE9C3" w14:textId="77777777" w:rsidR="00803410" w:rsidRDefault="00803410"/>
  </w:endnote>
  <w:endnote w:type="continuationNotice" w:id="1">
    <w:p w14:paraId="2D9B8A6B" w14:textId="77777777" w:rsidR="00803410" w:rsidRDefault="00803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DC4D" w14:textId="44ACA44E" w:rsidR="00C04344" w:rsidRPr="000A0709" w:rsidRDefault="003335C7"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DA4D93">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CB394" w14:textId="77777777" w:rsidR="00803410" w:rsidRDefault="00803410" w:rsidP="002938F2">
      <w:r>
        <w:separator/>
      </w:r>
    </w:p>
  </w:footnote>
  <w:footnote w:type="continuationSeparator" w:id="0">
    <w:p w14:paraId="08A8F44B" w14:textId="77777777" w:rsidR="00803410" w:rsidRDefault="00803410" w:rsidP="002938F2">
      <w:r>
        <w:continuationSeparator/>
      </w:r>
    </w:p>
    <w:p w14:paraId="54B08C1B" w14:textId="77777777" w:rsidR="00803410" w:rsidRDefault="00803410"/>
  </w:footnote>
  <w:footnote w:type="continuationNotice" w:id="1">
    <w:p w14:paraId="3BAB55B4" w14:textId="77777777" w:rsidR="00803410" w:rsidRDefault="008034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B2B89" w14:textId="77777777" w:rsidR="007638B1" w:rsidRDefault="00763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4A00F51"/>
    <w:multiLevelType w:val="multilevel"/>
    <w:tmpl w:val="6DCA6142"/>
    <w:lvl w:ilvl="0">
      <w:start w:val="10"/>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666A3"/>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3239"/>
    <w:rsid w:val="00194802"/>
    <w:rsid w:val="00194AEB"/>
    <w:rsid w:val="001A431C"/>
    <w:rsid w:val="001A5519"/>
    <w:rsid w:val="001A7C3A"/>
    <w:rsid w:val="001B5AFF"/>
    <w:rsid w:val="001B5C26"/>
    <w:rsid w:val="001C08BC"/>
    <w:rsid w:val="001C56BA"/>
    <w:rsid w:val="001C6D7D"/>
    <w:rsid w:val="001D00B5"/>
    <w:rsid w:val="001D3B29"/>
    <w:rsid w:val="001D59C8"/>
    <w:rsid w:val="001E362A"/>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2281"/>
    <w:rsid w:val="00273658"/>
    <w:rsid w:val="002744C6"/>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55FA"/>
    <w:rsid w:val="002D71D4"/>
    <w:rsid w:val="002E113D"/>
    <w:rsid w:val="002F17E1"/>
    <w:rsid w:val="003043A9"/>
    <w:rsid w:val="0030454E"/>
    <w:rsid w:val="00320242"/>
    <w:rsid w:val="00322A3A"/>
    <w:rsid w:val="00324A32"/>
    <w:rsid w:val="00325D6E"/>
    <w:rsid w:val="003335C7"/>
    <w:rsid w:val="00334977"/>
    <w:rsid w:val="00337194"/>
    <w:rsid w:val="00342EE8"/>
    <w:rsid w:val="00344D78"/>
    <w:rsid w:val="00346517"/>
    <w:rsid w:val="00351CCB"/>
    <w:rsid w:val="0035648A"/>
    <w:rsid w:val="00361AA2"/>
    <w:rsid w:val="00362B41"/>
    <w:rsid w:val="00363995"/>
    <w:rsid w:val="00364E5E"/>
    <w:rsid w:val="00370E9B"/>
    <w:rsid w:val="00377E4B"/>
    <w:rsid w:val="00383BA9"/>
    <w:rsid w:val="003845B0"/>
    <w:rsid w:val="00384FCF"/>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2219"/>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25F6"/>
    <w:rsid w:val="007368A2"/>
    <w:rsid w:val="007418AE"/>
    <w:rsid w:val="00742DD1"/>
    <w:rsid w:val="0074360F"/>
    <w:rsid w:val="00746204"/>
    <w:rsid w:val="00747715"/>
    <w:rsid w:val="00747F86"/>
    <w:rsid w:val="00750138"/>
    <w:rsid w:val="00753DA3"/>
    <w:rsid w:val="007541B9"/>
    <w:rsid w:val="007610D3"/>
    <w:rsid w:val="007629DB"/>
    <w:rsid w:val="007638B1"/>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03410"/>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32A9"/>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30D"/>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16CBB"/>
    <w:rsid w:val="00A22453"/>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C769F"/>
    <w:rsid w:val="00AD48F4"/>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057B"/>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6FAE"/>
    <w:rsid w:val="00C87194"/>
    <w:rsid w:val="00C8721C"/>
    <w:rsid w:val="00C90629"/>
    <w:rsid w:val="00C90C51"/>
    <w:rsid w:val="00CA3ED6"/>
    <w:rsid w:val="00CA7CF4"/>
    <w:rsid w:val="00CB0F37"/>
    <w:rsid w:val="00CB1135"/>
    <w:rsid w:val="00CB451D"/>
    <w:rsid w:val="00CB590B"/>
    <w:rsid w:val="00CC02C5"/>
    <w:rsid w:val="00CC2BC6"/>
    <w:rsid w:val="00CC3AAB"/>
    <w:rsid w:val="00CD324E"/>
    <w:rsid w:val="00CD4A28"/>
    <w:rsid w:val="00CD54BD"/>
    <w:rsid w:val="00CD6C36"/>
    <w:rsid w:val="00CE2586"/>
    <w:rsid w:val="00CE716A"/>
    <w:rsid w:val="00CF05D7"/>
    <w:rsid w:val="00CF34A6"/>
    <w:rsid w:val="00CF3F93"/>
    <w:rsid w:val="00D020F3"/>
    <w:rsid w:val="00D04515"/>
    <w:rsid w:val="00D065AD"/>
    <w:rsid w:val="00D14A74"/>
    <w:rsid w:val="00D22831"/>
    <w:rsid w:val="00D404B7"/>
    <w:rsid w:val="00D44509"/>
    <w:rsid w:val="00D448CB"/>
    <w:rsid w:val="00D47226"/>
    <w:rsid w:val="00D47ED5"/>
    <w:rsid w:val="00D61779"/>
    <w:rsid w:val="00D666A3"/>
    <w:rsid w:val="00D73DB6"/>
    <w:rsid w:val="00D809E5"/>
    <w:rsid w:val="00D81948"/>
    <w:rsid w:val="00D90819"/>
    <w:rsid w:val="00D93291"/>
    <w:rsid w:val="00D9501F"/>
    <w:rsid w:val="00DA4D93"/>
    <w:rsid w:val="00DB3A6C"/>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0406"/>
    <w:rsid w:val="00E5219B"/>
    <w:rsid w:val="00E56905"/>
    <w:rsid w:val="00E622C8"/>
    <w:rsid w:val="00E64BE4"/>
    <w:rsid w:val="00E85565"/>
    <w:rsid w:val="00E87F91"/>
    <w:rsid w:val="00E94BC6"/>
    <w:rsid w:val="00EA0563"/>
    <w:rsid w:val="00EA198F"/>
    <w:rsid w:val="00EA2EA1"/>
    <w:rsid w:val="00EA3CB9"/>
    <w:rsid w:val="00EA59EB"/>
    <w:rsid w:val="00EA67F3"/>
    <w:rsid w:val="00EB48F8"/>
    <w:rsid w:val="00EB6B7A"/>
    <w:rsid w:val="00ED0C60"/>
    <w:rsid w:val="00ED3D26"/>
    <w:rsid w:val="00ED5218"/>
    <w:rsid w:val="00EE1D9D"/>
    <w:rsid w:val="00EF0BCB"/>
    <w:rsid w:val="00EF0E74"/>
    <w:rsid w:val="00EF2549"/>
    <w:rsid w:val="00F00E8A"/>
    <w:rsid w:val="00F16242"/>
    <w:rsid w:val="00F17FCB"/>
    <w:rsid w:val="00F226CC"/>
    <w:rsid w:val="00F23FC7"/>
    <w:rsid w:val="00F2691E"/>
    <w:rsid w:val="00F279DD"/>
    <w:rsid w:val="00F3242E"/>
    <w:rsid w:val="00F33650"/>
    <w:rsid w:val="00F348F9"/>
    <w:rsid w:val="00F37E4B"/>
    <w:rsid w:val="00F4144E"/>
    <w:rsid w:val="00F41B00"/>
    <w:rsid w:val="00F473CB"/>
    <w:rsid w:val="00F50245"/>
    <w:rsid w:val="00F63DDA"/>
    <w:rsid w:val="00F64F92"/>
    <w:rsid w:val="00F67029"/>
    <w:rsid w:val="00F70858"/>
    <w:rsid w:val="00F71BBC"/>
    <w:rsid w:val="00F7397F"/>
    <w:rsid w:val="00F75949"/>
    <w:rsid w:val="00F75CF4"/>
    <w:rsid w:val="00F81B34"/>
    <w:rsid w:val="00F866CD"/>
    <w:rsid w:val="00F907E5"/>
    <w:rsid w:val="00F941F0"/>
    <w:rsid w:val="00F95311"/>
    <w:rsid w:val="00F97FF5"/>
    <w:rsid w:val="00FA3A4E"/>
    <w:rsid w:val="00FA7CE6"/>
    <w:rsid w:val="00FB1313"/>
    <w:rsid w:val="00FB37AF"/>
    <w:rsid w:val="00FC2238"/>
    <w:rsid w:val="00FC2459"/>
    <w:rsid w:val="00FC268E"/>
    <w:rsid w:val="00FC2BFD"/>
    <w:rsid w:val="00FC309D"/>
    <w:rsid w:val="00FC47E0"/>
    <w:rsid w:val="00FD1C42"/>
    <w:rsid w:val="00FD1E96"/>
    <w:rsid w:val="00FD1FE7"/>
    <w:rsid w:val="00FD2DD2"/>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FF211"/>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763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3F0D-8C93-4E05-A226-972390A9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2019-07-23T00:02:00Z</dcterms:created>
  <dcterms:modified xsi:type="dcterms:W3CDTF">2019-12-06T17:06:00Z</dcterms:modified>
</cp:coreProperties>
</file>