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B790" w14:textId="77777777" w:rsidR="000A0709" w:rsidRPr="00F866CD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s"/>
        </w:rPr>
        <w:t>Descripción general y justificación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730"/>
        <w:gridCol w:w="1563"/>
      </w:tblGrid>
      <w:tr w:rsidR="005473CF" w:rsidRPr="00E2752E" w14:paraId="5836364B" w14:textId="77777777" w:rsidTr="00CE716A">
        <w:trPr>
          <w:cantSplit/>
        </w:trPr>
        <w:tc>
          <w:tcPr>
            <w:tcW w:w="786" w:type="pct"/>
            <w:shd w:val="clear" w:color="auto" w:fill="auto"/>
          </w:tcPr>
          <w:p w14:paraId="4F7BFE5B" w14:textId="77777777" w:rsidR="005473CF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Indicador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2D9CA63" w14:textId="77777777" w:rsidR="005473CF" w:rsidRPr="00E2752E" w:rsidRDefault="00D666A3" w:rsidP="007541B9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10.</w:t>
            </w:r>
            <w:r>
              <w:rPr>
                <w:rFonts w:ascii="Arial" w:hAnsi="Arial" w:cs="Arial"/>
                <w:b/>
                <w:bCs/>
                <w:szCs w:val="22"/>
                <w:lang w:val="es"/>
              </w:rPr>
              <w:tab/>
              <w:t>Grado en el que los resultados de las investigaciones y la documentación son accesibles y se utilizan para reforzar la elaboración de políticas y mejorar la salvaguardia</w:t>
            </w:r>
          </w:p>
        </w:tc>
      </w:tr>
      <w:tr w:rsidR="005B0FE5" w:rsidRPr="00E2752E" w14:paraId="681B175E" w14:textId="77777777" w:rsidTr="00CE716A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32CDBE87" w14:textId="77777777" w:rsidR="005B0FE5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Factores de evaluación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1A130E5F" w14:textId="77777777" w:rsidR="005B0FE5" w:rsidRPr="00E2752E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se evalúa sobre la base de tres factores de ámbito nacional que cada Estado Parte supervisa y notifica:</w:t>
            </w:r>
          </w:p>
        </w:tc>
      </w:tr>
      <w:tr w:rsidR="00EB6B7A" w:rsidRPr="00F866CD" w14:paraId="0AF88CB1" w14:textId="77777777" w:rsidTr="00CE716A">
        <w:trPr>
          <w:cantSplit/>
        </w:trPr>
        <w:tc>
          <w:tcPr>
            <w:tcW w:w="786" w:type="pct"/>
            <w:vMerge/>
            <w:shd w:val="clear" w:color="auto" w:fill="auto"/>
          </w:tcPr>
          <w:p w14:paraId="725C6E93" w14:textId="77777777" w:rsidR="00EB6B7A" w:rsidRPr="00E2752E" w:rsidRDefault="00EB6B7A" w:rsidP="00EB6B7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4410123B" w14:textId="506598BA" w:rsidR="00EB6B7A" w:rsidRPr="00E2752E" w:rsidRDefault="00EB6B7A" w:rsidP="00DA4D93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83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La documentación y los resultados de las investigaciones están disponibles para las comunidades, los grupos y los individuos - respetando las prácticas consuetudinarias por las que se rige el acceso a determinados aspectos del PCI.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7983E7F" w14:textId="77777777" w:rsidR="00EB6B7A" w:rsidRPr="00A8072E" w:rsidRDefault="00EB6B7A" w:rsidP="00EB6B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Artículo 13 d) ii)</w:t>
            </w:r>
          </w:p>
          <w:p w14:paraId="66A2588A" w14:textId="77777777" w:rsidR="00EB6B7A" w:rsidRPr="00A8072E" w:rsidRDefault="00EB6B7A" w:rsidP="00EB6B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DO 85,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 xml:space="preserve">DO 101 c),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>DO 153 b) iii)</w:t>
            </w:r>
          </w:p>
          <w:p w14:paraId="7D2B8E21" w14:textId="77777777" w:rsidR="00EB6B7A" w:rsidRPr="0074360F" w:rsidRDefault="00EB6B7A" w:rsidP="00EB6B7A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PE 5</w:t>
            </w:r>
          </w:p>
        </w:tc>
      </w:tr>
      <w:tr w:rsidR="00EB6B7A" w:rsidRPr="00F866CD" w14:paraId="5BABBFC9" w14:textId="77777777" w:rsidTr="00CE716A">
        <w:trPr>
          <w:cantSplit/>
        </w:trPr>
        <w:tc>
          <w:tcPr>
            <w:tcW w:w="786" w:type="pct"/>
            <w:vMerge/>
            <w:shd w:val="clear" w:color="auto" w:fill="auto"/>
          </w:tcPr>
          <w:p w14:paraId="7C3A09C9" w14:textId="77777777" w:rsidR="00EB6B7A" w:rsidRPr="00F866CD" w:rsidRDefault="00EB6B7A" w:rsidP="00EB6B7A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599659A8" w14:textId="77777777" w:rsidR="00EB6B7A" w:rsidRPr="00E2752E" w:rsidRDefault="00EB6B7A" w:rsidP="00DA4D93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83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Los resultados de las investigaciones, la documentación y los estudios científicos, técnicos y artísticos sobre el PCI se utilizan con el fin de reforzar la elaboración de políticas en todos los sectores.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7FA62C3" w14:textId="77777777" w:rsidR="00EB6B7A" w:rsidRPr="0074360F" w:rsidRDefault="00EB6B7A" w:rsidP="00EB6B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153 b) ii)</w:t>
            </w:r>
          </w:p>
        </w:tc>
      </w:tr>
      <w:tr w:rsidR="00D666A3" w:rsidRPr="00F866CD" w14:paraId="67857240" w14:textId="77777777" w:rsidTr="00CE716A">
        <w:trPr>
          <w:cantSplit/>
        </w:trPr>
        <w:tc>
          <w:tcPr>
            <w:tcW w:w="786" w:type="pct"/>
            <w:vMerge/>
            <w:shd w:val="clear" w:color="auto" w:fill="auto"/>
          </w:tcPr>
          <w:p w14:paraId="66E9600D" w14:textId="77777777" w:rsidR="00D666A3" w:rsidRPr="00F866CD" w:rsidRDefault="00D666A3" w:rsidP="00D666A3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2216D15B" w14:textId="77777777" w:rsidR="00D666A3" w:rsidRPr="00E2752E" w:rsidRDefault="00D666A3" w:rsidP="00DA4D93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83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Los resultados de las investigaciones, la documentación y los estudios científicos, técnicos y artísticos sobre el PCI se utilizan para mejorar la salvaguardia.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06A427C" w14:textId="77777777" w:rsidR="00D666A3" w:rsidRPr="0074360F" w:rsidRDefault="00AC769F" w:rsidP="00D666A3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Artículo 2.3 y 13 c)</w:t>
            </w:r>
          </w:p>
        </w:tc>
      </w:tr>
      <w:tr w:rsidR="005473CF" w:rsidRPr="00E2752E" w14:paraId="63DB6E25" w14:textId="77777777" w:rsidTr="00CE716A">
        <w:trPr>
          <w:cantSplit/>
        </w:trPr>
        <w:tc>
          <w:tcPr>
            <w:tcW w:w="786" w:type="pct"/>
            <w:shd w:val="clear" w:color="auto" w:fill="auto"/>
          </w:tcPr>
          <w:p w14:paraId="057CEDFA" w14:textId="77777777" w:rsidR="005473CF" w:rsidRPr="00E2752E" w:rsidRDefault="005473CF" w:rsidP="005473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los ODS y otros indicadores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24C23270" w14:textId="77777777" w:rsidR="005473CF" w:rsidRPr="00E2752E" w:rsidRDefault="005473CF" w:rsidP="005473CF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 xml:space="preserve">Objetivos de Desarrollo Sostenible: </w:t>
            </w:r>
            <w:r>
              <w:rPr>
                <w:rFonts w:ascii="Arial" w:hAnsi="Arial" w:cs="Arial"/>
                <w:szCs w:val="22"/>
                <w:lang w:val="es"/>
              </w:rPr>
              <w:t>El presente indicador apoya la meta 16.10 de los ODS en su interés por garantizar el acceso público a la información, así como la meta 17.14 de los ODS, que promueve una mayor coherencia de las políticas para el desarrollo sostenible. El indicador también responde a la meta 11.4 de los ODS, que se centra en «redoblar los esfuerzos para proteger y salvaguardar el patrimonio cultural y natural del mundo».</w:t>
            </w:r>
          </w:p>
          <w:p w14:paraId="4915C961" w14:textId="146DF4D0" w:rsidR="005473CF" w:rsidRPr="00E2752E" w:rsidRDefault="005473CF" w:rsidP="00CB451D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otros indicadores:</w:t>
            </w:r>
            <w:r>
              <w:rPr>
                <w:rFonts w:ascii="Arial" w:hAnsi="Arial" w:cs="Arial"/>
                <w:szCs w:val="22"/>
                <w:lang w:val="es"/>
              </w:rPr>
              <w:t xml:space="preserve"> Este indicador hace hincapié en los resultados y las repercusiones de la investigación y la documentación; concretamente, en la manera en que pueden utilizarse para reforzar la salvaguardia y la formulación de políticas. De este modo, complementa el indicador 9, que se centra en los procesos de investigación y documentación, y en la mejor manera de llevarlos a cabo. Ambos indicadores complementan el indicador 1, que hace referecia a la promoción de instituciones para la documentación, y el indicador 24, que hace referencia a la cooperación internacional mediante el intercambio de documentación. Además, complementa los indicadores 11, 12 y 13, que tratan la formulación de políticas en diversos sectores, entre ellos, el sector de la cultura y la educación.</w:t>
            </w:r>
          </w:p>
        </w:tc>
      </w:tr>
      <w:tr w:rsidR="00896177" w:rsidRPr="00E2752E" w14:paraId="76674490" w14:textId="77777777" w:rsidTr="00CE716A">
        <w:trPr>
          <w:cantSplit/>
        </w:trPr>
        <w:tc>
          <w:tcPr>
            <w:tcW w:w="786" w:type="pct"/>
            <w:shd w:val="clear" w:color="auto" w:fill="auto"/>
          </w:tcPr>
          <w:p w14:paraId="741D6E76" w14:textId="77777777" w:rsidR="00896177" w:rsidRPr="00F866CD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Justificación de las medidas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282389B9" w14:textId="70D00A23" w:rsidR="00704766" w:rsidRPr="00E2752E" w:rsidRDefault="00AD48F4" w:rsidP="00AC769F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Cs w:val="22"/>
                <w:lang w:val="es"/>
              </w:rPr>
              <w:t>La Convención aboga específicamente por la investigación y la documentación como medidas de salvaguardia (Artículo 2.3) y, al igual que todas esas medidas, deberían incluir la participación más amplia posible de las comunidades, los grupos y los individuos (Artículo 15). Muchos ejemplos ilustran el modo en que estos actores han utilizado la investigación y la documentación existentes para reforzar su propia práctica y transmisión. Por consiguiente, la Convención promueve un amplio acceso a la investigación, al mismo tiempo que fomenta el respeto de las prácticas consuetudinarias de una comunidad que podrían limitar el acceso a aspectos específicos de su patrimonio. Las investigaciones y la documentación, así como los estudios científicos, técnicos y artísticos, son recursos importantes que pueden servir de base para la elaboración de políticas, en concreto, mediante el seguimiento de las repercusiones y la eficacia de diversas iniciativas de salvaguardia.</w:t>
            </w:r>
          </w:p>
        </w:tc>
      </w:tr>
      <w:tr w:rsidR="00704766" w:rsidRPr="00E2752E" w14:paraId="0C5CDEAF" w14:textId="77777777" w:rsidTr="00CE716A">
        <w:trPr>
          <w:cantSplit/>
        </w:trPr>
        <w:tc>
          <w:tcPr>
            <w:tcW w:w="786" w:type="pct"/>
            <w:shd w:val="clear" w:color="auto" w:fill="auto"/>
          </w:tcPr>
          <w:p w14:paraId="27D4FC36" w14:textId="77777777" w:rsidR="00704766" w:rsidRPr="00F866CD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es"/>
              </w:rPr>
              <w:lastRenderedPageBreak/>
              <w:t>Términos clave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0DC5EBD" w14:textId="77777777" w:rsidR="00FD2DD2" w:rsidRPr="00E2752E" w:rsidRDefault="00FD2DD2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Acceso (a un inventario del PCI y/o a la documentación y los resultados de la investigación)</w:t>
            </w:r>
          </w:p>
          <w:p w14:paraId="112B3834" w14:textId="77777777" w:rsidR="00704766" w:rsidRPr="00E2752E" w:rsidRDefault="001E362A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Comunidades, grupos y, en algunos casos, individuos</w:t>
            </w:r>
          </w:p>
          <w:p w14:paraId="4217D791" w14:textId="77777777" w:rsidR="001E362A" w:rsidRDefault="001E362A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Prácticas consuetudinarias</w:t>
            </w:r>
          </w:p>
          <w:p w14:paraId="27B5A3C1" w14:textId="77777777" w:rsidR="00272281" w:rsidRDefault="0027228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Estudios científicos, técnicos y artísticos</w:t>
            </w:r>
          </w:p>
          <w:p w14:paraId="7E57E0ED" w14:textId="77777777" w:rsidR="002D55FA" w:rsidRPr="00E2752E" w:rsidRDefault="002D55FA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Elaboración de políticas en diferentes sectores</w:t>
            </w:r>
          </w:p>
        </w:tc>
      </w:tr>
    </w:tbl>
    <w:p w14:paraId="61D79958" w14:textId="77777777" w:rsidR="0054175C" w:rsidRPr="00E2752E" w:rsidRDefault="0054175C" w:rsidP="0054175C">
      <w:pPr>
        <w:jc w:val="center"/>
        <w:rPr>
          <w:rFonts w:ascii="Arial" w:hAnsi="Arial" w:cs="Arial"/>
          <w:b/>
          <w:sz w:val="24"/>
          <w:lang w:val="fr-FR"/>
        </w:rPr>
        <w:sectPr w:rsidR="0054175C" w:rsidRPr="00E2752E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2722A088" w14:textId="77777777" w:rsidR="0054175C" w:rsidRPr="00E2752E" w:rsidRDefault="0054175C" w:rsidP="00704766">
      <w:pPr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es"/>
        </w:rPr>
        <w:t>Orientación específica sobre el seguimiento y la presentación de informes periódicos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342"/>
      </w:tblGrid>
      <w:tr w:rsidR="009C0510" w:rsidRPr="00E2752E" w14:paraId="0A64424F" w14:textId="77777777" w:rsidTr="00E2752E">
        <w:tc>
          <w:tcPr>
            <w:tcW w:w="767" w:type="pct"/>
            <w:shd w:val="clear" w:color="auto" w:fill="auto"/>
          </w:tcPr>
          <w:p w14:paraId="767559E5" w14:textId="77777777" w:rsidR="002C28BA" w:rsidRPr="00F866CD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Ventajas del seguimiento</w:t>
            </w:r>
          </w:p>
        </w:tc>
        <w:tc>
          <w:tcPr>
            <w:tcW w:w="4233" w:type="pct"/>
            <w:shd w:val="clear" w:color="auto" w:fill="auto"/>
          </w:tcPr>
          <w:p w14:paraId="0F0693E4" w14:textId="5518CD71" w:rsidR="002C28BA" w:rsidRPr="00E2752E" w:rsidRDefault="00FB37AF" w:rsidP="00DB3A6C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es"/>
              </w:rPr>
            </w:pPr>
            <w:r>
              <w:rPr>
                <w:rFonts w:ascii="Arial" w:hAnsi="Arial" w:cs="Arial"/>
                <w:szCs w:val="22"/>
                <w:lang w:val="es"/>
              </w:rPr>
              <w:t>El seguimiento a nivel nacional puede ayudar a un Estado a evaluar en qué medida las comunidades, los grupos y los individuos pueden beneficiarse de las investigaciones y la documentación para fortalecer su propia practica y transmisión del PCI. Dicho seguimiento puede detectar si los responsables de la elaboración de políticas se están beneficiando de manera similar de la investigación y la documentación cuando establecen las políticas pertinentes. Asimismo, podría determinar si existen oportunidades adicionales para reforzar la salvaguardia, ya sea mediante políticas o mediante la práctica de las comunidades. Además, el seguimiento podría informar a los organismos de financiación de la investigación sobre los ámbitos en los que sería útil aportar más apoyo para influir en la elaboración de políticas. A nivel mundial, el seguimiento puede determinar las buenas prácticas que podrían adaptarse a las necesidades de determinados Estados e identificar oportunidades de colaboración internacional.</w:t>
            </w:r>
          </w:p>
        </w:tc>
      </w:tr>
      <w:tr w:rsidR="0054175C" w:rsidRPr="00E2752E" w14:paraId="02BC88C0" w14:textId="77777777" w:rsidTr="00E2752E">
        <w:tc>
          <w:tcPr>
            <w:tcW w:w="767" w:type="pct"/>
            <w:shd w:val="clear" w:color="auto" w:fill="auto"/>
          </w:tcPr>
          <w:p w14:paraId="4350982E" w14:textId="77777777" w:rsidR="0054175C" w:rsidRPr="00E2752E" w:rsidRDefault="0054175C" w:rsidP="0054175C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Fuentes y recopilación de información</w:t>
            </w:r>
          </w:p>
        </w:tc>
        <w:tc>
          <w:tcPr>
            <w:tcW w:w="4233" w:type="pct"/>
            <w:shd w:val="clear" w:color="auto" w:fill="auto"/>
          </w:tcPr>
          <w:p w14:paraId="05EB017E" w14:textId="365B0E22" w:rsidR="0054175C" w:rsidRPr="00E2752E" w:rsidRDefault="00DB3A6C" w:rsidP="00CB451D">
            <w:pPr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Los informes y publicaciones de las instituciones que llevan a cabo la investigación y la documentación son una fuente importante de información para este indicador. Las redes o asociaciones profesionales de investigadores podrían ofrecer circulares y boletines informativos, así como reuniones regulares, a través de los cuales informen sobre sus actividades y promuevan un mayor acceso a sus resultados. Si el Estado cuenta con un órgano consultivo o un mecanismo de cooperación que reúna a los responsables de la elaboración de políticas, los expertos y los miembros de la comunidad, ese sería un foro para supervisar la utilización y los efectos de la investigación y la documentación, así como de los estudios científicos, técnicos y artísticos.</w:t>
            </w:r>
          </w:p>
          <w:p w14:paraId="23A4FE04" w14:textId="77777777" w:rsidR="0054175C" w:rsidRPr="00F866CD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Posibles fuentes de información</w:t>
            </w:r>
          </w:p>
          <w:p w14:paraId="0BB19E9F" w14:textId="77777777" w:rsidR="0054175C" w:rsidRPr="00E2752E" w:rsidRDefault="00F64F92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Informes periódicos de las instituciones de investigación y documentación pertinentes</w:t>
            </w:r>
          </w:p>
          <w:p w14:paraId="381EF1F5" w14:textId="77777777" w:rsidR="00C86FAE" w:rsidRPr="00E2752E" w:rsidRDefault="00C86FAE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Presupuesto nacional anual de investigación e informes de los organismos nacionales de financiación</w:t>
            </w:r>
          </w:p>
          <w:p w14:paraId="163526B0" w14:textId="77777777" w:rsidR="00F64F92" w:rsidRPr="00E2752E" w:rsidRDefault="00F907E5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Circulares y boletines informativos y sitios web de asociaciones profesionales o de redes de investigadores</w:t>
            </w:r>
          </w:p>
          <w:p w14:paraId="1019E9E2" w14:textId="77777777" w:rsidR="00F907E5" w:rsidRPr="00E2752E" w:rsidRDefault="00F907E5" w:rsidP="00F907E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Catálogos de exposiciones, programas y actas de conferencias, o documentos que describan otras presentaciones y eventos públicos</w:t>
            </w:r>
          </w:p>
          <w:p w14:paraId="4D2E4291" w14:textId="77777777" w:rsidR="00F907E5" w:rsidRPr="00E2752E" w:rsidRDefault="00F907E5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Políticas y reglamentos de acceso público de las instituciones archivísticas y otras instituciones de documentación</w:t>
            </w:r>
          </w:p>
        </w:tc>
      </w:tr>
    </w:tbl>
    <w:p w14:paraId="312D7580" w14:textId="77777777" w:rsidR="00320242" w:rsidRPr="00F866CD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F866CD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694D" w14:textId="77777777" w:rsidR="00803410" w:rsidRDefault="00803410" w:rsidP="002938F2">
      <w:r>
        <w:separator/>
      </w:r>
    </w:p>
    <w:p w14:paraId="7ADB7208" w14:textId="77777777" w:rsidR="00803410" w:rsidRDefault="00803410"/>
  </w:endnote>
  <w:endnote w:type="continuationSeparator" w:id="0">
    <w:p w14:paraId="0FC6C994" w14:textId="77777777" w:rsidR="00803410" w:rsidRDefault="00803410" w:rsidP="002938F2">
      <w:r>
        <w:continuationSeparator/>
      </w:r>
    </w:p>
    <w:p w14:paraId="582FE9C3" w14:textId="77777777" w:rsidR="00803410" w:rsidRDefault="00803410"/>
  </w:endnote>
  <w:endnote w:type="continuationNotice" w:id="1">
    <w:p w14:paraId="2D9B8A6B" w14:textId="77777777" w:rsidR="00803410" w:rsidRDefault="008034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DC4D" w14:textId="44ACA44E" w:rsidR="00C04344" w:rsidRPr="000A0709" w:rsidRDefault="003335C7" w:rsidP="000A0709">
    <w:pPr>
      <w:pStyle w:val="Footer"/>
      <w:jc w:val="center"/>
      <w:rPr>
        <w:rFonts w:ascii="Arial" w:hAnsi="Arial"/>
      </w:rPr>
    </w:pPr>
    <w:r>
      <w:rPr>
        <w:rFonts w:ascii="Arial" w:hAnsi="Arial" w:cs="Arial"/>
        <w:lang w:val="es"/>
      </w:rPr>
      <w:fldChar w:fldCharType="begin"/>
    </w:r>
    <w:r>
      <w:rPr>
        <w:rFonts w:ascii="Arial" w:hAnsi="Arial" w:cs="Arial"/>
        <w:lang w:val="es"/>
      </w:rPr>
      <w:instrText xml:space="preserve"> PAGE   \* MERGEFORMAT </w:instrText>
    </w:r>
    <w:r>
      <w:rPr>
        <w:rFonts w:ascii="Arial" w:hAnsi="Arial" w:cs="Arial"/>
        <w:lang w:val="es"/>
      </w:rPr>
      <w:fldChar w:fldCharType="separate"/>
    </w:r>
    <w:r>
      <w:rPr>
        <w:rFonts w:ascii="Arial" w:hAnsi="Arial" w:cs="Arial"/>
        <w:noProof/>
        <w:lang w:val="es"/>
      </w:rPr>
      <w:t>1</w:t>
    </w:r>
    <w:r>
      <w:rPr>
        <w:rFonts w:ascii="Arial" w:hAnsi="Arial" w:cs="Arial"/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B394" w14:textId="77777777" w:rsidR="00803410" w:rsidRDefault="00803410" w:rsidP="002938F2">
      <w:r>
        <w:separator/>
      </w:r>
    </w:p>
  </w:footnote>
  <w:footnote w:type="continuationSeparator" w:id="0">
    <w:p w14:paraId="08A8F44B" w14:textId="77777777" w:rsidR="00803410" w:rsidRDefault="00803410" w:rsidP="002938F2">
      <w:r>
        <w:continuationSeparator/>
      </w:r>
    </w:p>
    <w:p w14:paraId="54B08C1B" w14:textId="77777777" w:rsidR="00803410" w:rsidRDefault="00803410"/>
  </w:footnote>
  <w:footnote w:type="continuationNotice" w:id="1">
    <w:p w14:paraId="3BAB55B4" w14:textId="77777777" w:rsidR="00803410" w:rsidRDefault="008034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2B89" w14:textId="77777777" w:rsidR="007638B1" w:rsidRDefault="0076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7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2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4" w15:restartNumberingAfterBreak="0">
    <w:nsid w:val="461F5C72"/>
    <w:multiLevelType w:val="multilevel"/>
    <w:tmpl w:val="925091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6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8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4A00F51"/>
    <w:multiLevelType w:val="multilevel"/>
    <w:tmpl w:val="6DCA614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3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2"/>
  </w:num>
  <w:num w:numId="2">
    <w:abstractNumId w:val="25"/>
  </w:num>
  <w:num w:numId="3">
    <w:abstractNumId w:val="11"/>
  </w:num>
  <w:num w:numId="4">
    <w:abstractNumId w:val="55"/>
  </w:num>
  <w:num w:numId="5">
    <w:abstractNumId w:val="46"/>
  </w:num>
  <w:num w:numId="6">
    <w:abstractNumId w:val="4"/>
  </w:num>
  <w:num w:numId="7">
    <w:abstractNumId w:val="15"/>
  </w:num>
  <w:num w:numId="8">
    <w:abstractNumId w:val="24"/>
  </w:num>
  <w:num w:numId="9">
    <w:abstractNumId w:val="49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2"/>
  </w:num>
  <w:num w:numId="17">
    <w:abstractNumId w:val="38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53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0"/>
  </w:num>
  <w:num w:numId="32">
    <w:abstractNumId w:val="8"/>
  </w:num>
  <w:num w:numId="33">
    <w:abstractNumId w:val="16"/>
  </w:num>
  <w:num w:numId="34">
    <w:abstractNumId w:val="47"/>
  </w:num>
  <w:num w:numId="35">
    <w:abstractNumId w:val="20"/>
  </w:num>
  <w:num w:numId="36">
    <w:abstractNumId w:val="40"/>
  </w:num>
  <w:num w:numId="37">
    <w:abstractNumId w:val="17"/>
  </w:num>
  <w:num w:numId="38">
    <w:abstractNumId w:val="9"/>
  </w:num>
  <w:num w:numId="39">
    <w:abstractNumId w:val="6"/>
  </w:num>
  <w:num w:numId="40">
    <w:abstractNumId w:val="19"/>
  </w:num>
  <w:num w:numId="41">
    <w:abstractNumId w:val="54"/>
  </w:num>
  <w:num w:numId="42">
    <w:abstractNumId w:val="51"/>
  </w:num>
  <w:num w:numId="43">
    <w:abstractNumId w:val="28"/>
  </w:num>
  <w:num w:numId="44">
    <w:abstractNumId w:val="12"/>
  </w:num>
  <w:num w:numId="45">
    <w:abstractNumId w:val="52"/>
  </w:num>
  <w:num w:numId="46">
    <w:abstractNumId w:val="5"/>
  </w:num>
  <w:num w:numId="47">
    <w:abstractNumId w:val="35"/>
  </w:num>
  <w:num w:numId="48">
    <w:abstractNumId w:val="56"/>
  </w:num>
  <w:num w:numId="49">
    <w:abstractNumId w:val="31"/>
  </w:num>
  <w:num w:numId="50">
    <w:abstractNumId w:val="29"/>
  </w:num>
  <w:num w:numId="51">
    <w:abstractNumId w:val="26"/>
  </w:num>
  <w:num w:numId="52">
    <w:abstractNumId w:val="37"/>
  </w:num>
  <w:num w:numId="53">
    <w:abstractNumId w:val="14"/>
  </w:num>
  <w:num w:numId="54">
    <w:abstractNumId w:val="1"/>
  </w:num>
  <w:num w:numId="55">
    <w:abstractNumId w:val="33"/>
  </w:num>
  <w:num w:numId="56">
    <w:abstractNumId w:val="39"/>
  </w:num>
  <w:num w:numId="57">
    <w:abstractNumId w:val="0"/>
  </w:num>
  <w:num w:numId="58">
    <w:abstractNumId w:val="3"/>
  </w:num>
  <w:num w:numId="59">
    <w:abstractNumId w:val="43"/>
  </w:num>
  <w:num w:numId="60">
    <w:abstractNumId w:val="2"/>
  </w:num>
  <w:num w:numId="61">
    <w:abstractNumId w:val="30"/>
  </w:num>
  <w:num w:numId="62">
    <w:abstractNumId w:val="21"/>
  </w:num>
  <w:num w:numId="63">
    <w:abstractNumId w:val="48"/>
  </w:num>
  <w:num w:numId="64">
    <w:abstractNumId w:val="18"/>
  </w:num>
  <w:num w:numId="65">
    <w:abstractNumId w:val="23"/>
  </w:num>
  <w:num w:numId="66">
    <w:abstractNumId w:val="45"/>
  </w:num>
  <w:num w:numId="67">
    <w:abstractNumId w:val="36"/>
  </w:num>
  <w:num w:numId="68">
    <w:abstractNumId w:val="13"/>
  </w:num>
  <w:num w:numId="69">
    <w:abstractNumId w:val="41"/>
  </w:num>
  <w:num w:numId="70">
    <w:abstractNumId w:val="32"/>
  </w:num>
  <w:num w:numId="71">
    <w:abstractNumId w:val="27"/>
  </w:num>
  <w:num w:numId="72">
    <w:abstractNumId w:val="50"/>
  </w:num>
  <w:num w:numId="73">
    <w:abstractNumId w:val="7"/>
  </w:num>
  <w:num w:numId="74">
    <w:abstractNumId w:val="34"/>
  </w:num>
  <w:num w:numId="75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4096" w:nlCheck="1" w:checkStyle="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6A3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A37"/>
    <w:rsid w:val="00036843"/>
    <w:rsid w:val="00047E58"/>
    <w:rsid w:val="00054FDC"/>
    <w:rsid w:val="000632E2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2AE6"/>
    <w:rsid w:val="00093063"/>
    <w:rsid w:val="000A0709"/>
    <w:rsid w:val="000A0F0D"/>
    <w:rsid w:val="000A112A"/>
    <w:rsid w:val="000A21DA"/>
    <w:rsid w:val="000A34CE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788"/>
    <w:rsid w:val="001609A1"/>
    <w:rsid w:val="00162554"/>
    <w:rsid w:val="00163F68"/>
    <w:rsid w:val="00173B50"/>
    <w:rsid w:val="00173E0E"/>
    <w:rsid w:val="00174B39"/>
    <w:rsid w:val="00183F6C"/>
    <w:rsid w:val="00193239"/>
    <w:rsid w:val="00194802"/>
    <w:rsid w:val="00194AEB"/>
    <w:rsid w:val="001A431C"/>
    <w:rsid w:val="001A5519"/>
    <w:rsid w:val="001A7C3A"/>
    <w:rsid w:val="001B5AFF"/>
    <w:rsid w:val="001B5C26"/>
    <w:rsid w:val="001C08BC"/>
    <w:rsid w:val="001C56BA"/>
    <w:rsid w:val="001C6D7D"/>
    <w:rsid w:val="001D00B5"/>
    <w:rsid w:val="001D3B29"/>
    <w:rsid w:val="001D59C8"/>
    <w:rsid w:val="001E362A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2281"/>
    <w:rsid w:val="00273658"/>
    <w:rsid w:val="002744C6"/>
    <w:rsid w:val="00281AA4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55FA"/>
    <w:rsid w:val="002D71D4"/>
    <w:rsid w:val="002E113D"/>
    <w:rsid w:val="002F17E1"/>
    <w:rsid w:val="003043A9"/>
    <w:rsid w:val="0030454E"/>
    <w:rsid w:val="00320242"/>
    <w:rsid w:val="00322A3A"/>
    <w:rsid w:val="00324A32"/>
    <w:rsid w:val="00325D6E"/>
    <w:rsid w:val="003335C7"/>
    <w:rsid w:val="00334977"/>
    <w:rsid w:val="00337194"/>
    <w:rsid w:val="00342EE8"/>
    <w:rsid w:val="00344D78"/>
    <w:rsid w:val="00346517"/>
    <w:rsid w:val="00351CCB"/>
    <w:rsid w:val="0035648A"/>
    <w:rsid w:val="00361AA2"/>
    <w:rsid w:val="00362B41"/>
    <w:rsid w:val="00363995"/>
    <w:rsid w:val="00364E5E"/>
    <w:rsid w:val="00370E9B"/>
    <w:rsid w:val="00377E4B"/>
    <w:rsid w:val="00383BA9"/>
    <w:rsid w:val="003845B0"/>
    <w:rsid w:val="00384FCF"/>
    <w:rsid w:val="00385B34"/>
    <w:rsid w:val="00386C08"/>
    <w:rsid w:val="00387D88"/>
    <w:rsid w:val="0039446E"/>
    <w:rsid w:val="003A260A"/>
    <w:rsid w:val="003A2BC4"/>
    <w:rsid w:val="003B31BE"/>
    <w:rsid w:val="003B504D"/>
    <w:rsid w:val="003C7065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62F38"/>
    <w:rsid w:val="00471B34"/>
    <w:rsid w:val="00474AFE"/>
    <w:rsid w:val="00477E66"/>
    <w:rsid w:val="00480809"/>
    <w:rsid w:val="004831C7"/>
    <w:rsid w:val="00486A5E"/>
    <w:rsid w:val="00493F92"/>
    <w:rsid w:val="004A0C2B"/>
    <w:rsid w:val="004A610E"/>
    <w:rsid w:val="004C20E2"/>
    <w:rsid w:val="004E056C"/>
    <w:rsid w:val="004E2817"/>
    <w:rsid w:val="004E2AE8"/>
    <w:rsid w:val="004E418A"/>
    <w:rsid w:val="005016FB"/>
    <w:rsid w:val="00504256"/>
    <w:rsid w:val="00511D17"/>
    <w:rsid w:val="005157E2"/>
    <w:rsid w:val="0051699F"/>
    <w:rsid w:val="00516DE3"/>
    <w:rsid w:val="005300BF"/>
    <w:rsid w:val="00532631"/>
    <w:rsid w:val="005414A1"/>
    <w:rsid w:val="0054175C"/>
    <w:rsid w:val="005473CF"/>
    <w:rsid w:val="00570355"/>
    <w:rsid w:val="00574530"/>
    <w:rsid w:val="00581423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32B30"/>
    <w:rsid w:val="006340A1"/>
    <w:rsid w:val="00636760"/>
    <w:rsid w:val="00644B92"/>
    <w:rsid w:val="00645B77"/>
    <w:rsid w:val="0065099D"/>
    <w:rsid w:val="006515C9"/>
    <w:rsid w:val="00651944"/>
    <w:rsid w:val="00652318"/>
    <w:rsid w:val="00652484"/>
    <w:rsid w:val="00653314"/>
    <w:rsid w:val="0067005F"/>
    <w:rsid w:val="0067015A"/>
    <w:rsid w:val="006736EC"/>
    <w:rsid w:val="00673D90"/>
    <w:rsid w:val="00676C1E"/>
    <w:rsid w:val="00686D60"/>
    <w:rsid w:val="00691869"/>
    <w:rsid w:val="006A0D86"/>
    <w:rsid w:val="006A49AE"/>
    <w:rsid w:val="006A56C0"/>
    <w:rsid w:val="006B2219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25F6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541B9"/>
    <w:rsid w:val="007610D3"/>
    <w:rsid w:val="007629DB"/>
    <w:rsid w:val="007638B1"/>
    <w:rsid w:val="00764F50"/>
    <w:rsid w:val="00767871"/>
    <w:rsid w:val="00770A92"/>
    <w:rsid w:val="00774D9C"/>
    <w:rsid w:val="00776A63"/>
    <w:rsid w:val="00790C65"/>
    <w:rsid w:val="0079316B"/>
    <w:rsid w:val="007A0565"/>
    <w:rsid w:val="007A0EAA"/>
    <w:rsid w:val="007A1247"/>
    <w:rsid w:val="007A1E0A"/>
    <w:rsid w:val="007A6F91"/>
    <w:rsid w:val="007A7D45"/>
    <w:rsid w:val="007B4ADA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4E37"/>
    <w:rsid w:val="007F4B07"/>
    <w:rsid w:val="008029A6"/>
    <w:rsid w:val="00803410"/>
    <w:rsid w:val="008147BA"/>
    <w:rsid w:val="008269B0"/>
    <w:rsid w:val="0083067E"/>
    <w:rsid w:val="00832357"/>
    <w:rsid w:val="0083488D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32A9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42E8"/>
    <w:rsid w:val="009357B4"/>
    <w:rsid w:val="00946D71"/>
    <w:rsid w:val="009577E1"/>
    <w:rsid w:val="00971CA1"/>
    <w:rsid w:val="0097330D"/>
    <w:rsid w:val="0097349C"/>
    <w:rsid w:val="009814C2"/>
    <w:rsid w:val="00982FFD"/>
    <w:rsid w:val="00985265"/>
    <w:rsid w:val="00985856"/>
    <w:rsid w:val="009A4969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150C7"/>
    <w:rsid w:val="00A16CBB"/>
    <w:rsid w:val="00A22453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7AEB"/>
    <w:rsid w:val="00A81F0A"/>
    <w:rsid w:val="00A85C7A"/>
    <w:rsid w:val="00A86042"/>
    <w:rsid w:val="00AA36F9"/>
    <w:rsid w:val="00AA444A"/>
    <w:rsid w:val="00AB1528"/>
    <w:rsid w:val="00AC769F"/>
    <w:rsid w:val="00AD48F4"/>
    <w:rsid w:val="00AD6BD4"/>
    <w:rsid w:val="00AE1B18"/>
    <w:rsid w:val="00AE1D83"/>
    <w:rsid w:val="00AE2DFB"/>
    <w:rsid w:val="00AE3061"/>
    <w:rsid w:val="00AF15BA"/>
    <w:rsid w:val="00AF1C32"/>
    <w:rsid w:val="00AF65C6"/>
    <w:rsid w:val="00B11AE3"/>
    <w:rsid w:val="00B121A6"/>
    <w:rsid w:val="00B300B8"/>
    <w:rsid w:val="00B32A28"/>
    <w:rsid w:val="00B33904"/>
    <w:rsid w:val="00B3751E"/>
    <w:rsid w:val="00B427FE"/>
    <w:rsid w:val="00B51737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5DEE"/>
    <w:rsid w:val="00BC002E"/>
    <w:rsid w:val="00BC393F"/>
    <w:rsid w:val="00BC75FC"/>
    <w:rsid w:val="00BD59BD"/>
    <w:rsid w:val="00BE5B3F"/>
    <w:rsid w:val="00BF351F"/>
    <w:rsid w:val="00BF3F50"/>
    <w:rsid w:val="00BF6F37"/>
    <w:rsid w:val="00C02924"/>
    <w:rsid w:val="00C04344"/>
    <w:rsid w:val="00C1057B"/>
    <w:rsid w:val="00C17FE4"/>
    <w:rsid w:val="00C21897"/>
    <w:rsid w:val="00C276EE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86FAE"/>
    <w:rsid w:val="00C87194"/>
    <w:rsid w:val="00C8721C"/>
    <w:rsid w:val="00C90629"/>
    <w:rsid w:val="00C90C51"/>
    <w:rsid w:val="00CA3ED6"/>
    <w:rsid w:val="00CA7CF4"/>
    <w:rsid w:val="00CB0F37"/>
    <w:rsid w:val="00CB1135"/>
    <w:rsid w:val="00CB451D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E716A"/>
    <w:rsid w:val="00CF05D7"/>
    <w:rsid w:val="00CF34A6"/>
    <w:rsid w:val="00CF3F93"/>
    <w:rsid w:val="00D020F3"/>
    <w:rsid w:val="00D04515"/>
    <w:rsid w:val="00D065AD"/>
    <w:rsid w:val="00D14A74"/>
    <w:rsid w:val="00D22831"/>
    <w:rsid w:val="00D404B7"/>
    <w:rsid w:val="00D44509"/>
    <w:rsid w:val="00D448CB"/>
    <w:rsid w:val="00D47226"/>
    <w:rsid w:val="00D47ED5"/>
    <w:rsid w:val="00D61779"/>
    <w:rsid w:val="00D666A3"/>
    <w:rsid w:val="00D73DB6"/>
    <w:rsid w:val="00D809E5"/>
    <w:rsid w:val="00D81948"/>
    <w:rsid w:val="00D90819"/>
    <w:rsid w:val="00D93291"/>
    <w:rsid w:val="00D9501F"/>
    <w:rsid w:val="00DA4D93"/>
    <w:rsid w:val="00DB3A6C"/>
    <w:rsid w:val="00DB50D5"/>
    <w:rsid w:val="00DC5537"/>
    <w:rsid w:val="00DD11EE"/>
    <w:rsid w:val="00DD52A0"/>
    <w:rsid w:val="00DE5590"/>
    <w:rsid w:val="00DE6364"/>
    <w:rsid w:val="00DF1D9E"/>
    <w:rsid w:val="00DF3DA3"/>
    <w:rsid w:val="00DF5DA4"/>
    <w:rsid w:val="00E06492"/>
    <w:rsid w:val="00E065CE"/>
    <w:rsid w:val="00E06A00"/>
    <w:rsid w:val="00E13E03"/>
    <w:rsid w:val="00E22B99"/>
    <w:rsid w:val="00E24A9D"/>
    <w:rsid w:val="00E258D9"/>
    <w:rsid w:val="00E2752E"/>
    <w:rsid w:val="00E35B8C"/>
    <w:rsid w:val="00E439CA"/>
    <w:rsid w:val="00E46DDB"/>
    <w:rsid w:val="00E473F3"/>
    <w:rsid w:val="00E50406"/>
    <w:rsid w:val="00E5219B"/>
    <w:rsid w:val="00E56905"/>
    <w:rsid w:val="00E622C8"/>
    <w:rsid w:val="00E64BE4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B6B7A"/>
    <w:rsid w:val="00ED0C60"/>
    <w:rsid w:val="00ED3D26"/>
    <w:rsid w:val="00ED5218"/>
    <w:rsid w:val="00EE1D9D"/>
    <w:rsid w:val="00EF0BCB"/>
    <w:rsid w:val="00EF0E74"/>
    <w:rsid w:val="00EF2549"/>
    <w:rsid w:val="00F00E8A"/>
    <w:rsid w:val="00F16242"/>
    <w:rsid w:val="00F17FCB"/>
    <w:rsid w:val="00F226CC"/>
    <w:rsid w:val="00F2691E"/>
    <w:rsid w:val="00F279DD"/>
    <w:rsid w:val="00F3242E"/>
    <w:rsid w:val="00F33650"/>
    <w:rsid w:val="00F348F9"/>
    <w:rsid w:val="00F37E4B"/>
    <w:rsid w:val="00F4144E"/>
    <w:rsid w:val="00F41B00"/>
    <w:rsid w:val="00F473CB"/>
    <w:rsid w:val="00F50245"/>
    <w:rsid w:val="00F63DDA"/>
    <w:rsid w:val="00F64F92"/>
    <w:rsid w:val="00F67029"/>
    <w:rsid w:val="00F70858"/>
    <w:rsid w:val="00F71BBC"/>
    <w:rsid w:val="00F7397F"/>
    <w:rsid w:val="00F75949"/>
    <w:rsid w:val="00F75CF4"/>
    <w:rsid w:val="00F81B34"/>
    <w:rsid w:val="00F866CD"/>
    <w:rsid w:val="00F907E5"/>
    <w:rsid w:val="00F941F0"/>
    <w:rsid w:val="00F95311"/>
    <w:rsid w:val="00F97FF5"/>
    <w:rsid w:val="00FA3A4E"/>
    <w:rsid w:val="00FA7CE6"/>
    <w:rsid w:val="00FB1313"/>
    <w:rsid w:val="00FB37AF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2DD2"/>
    <w:rsid w:val="00FD6442"/>
    <w:rsid w:val="00FE15F6"/>
    <w:rsid w:val="00FE1F8A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FF211"/>
  <w15:docId w15:val="{50464EDB-4301-494B-BB2B-B26340B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76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644B-EA90-4D79-8A3F-CF31BDDF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2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4</cp:revision>
  <dcterms:created xsi:type="dcterms:W3CDTF">2019-07-23T00:02:00Z</dcterms:created>
  <dcterms:modified xsi:type="dcterms:W3CDTF">2019-12-06T17:15:00Z</dcterms:modified>
</cp:coreProperties>
</file>