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C9E3" w14:textId="43680DBB" w:rsidR="000A0709" w:rsidRPr="003578FC" w:rsidRDefault="003578FC" w:rsidP="002F7BA0">
      <w:pPr>
        <w:pageBreakBefore/>
        <w:bidi/>
        <w:jc w:val="center"/>
        <w:rPr>
          <w:rFonts w:asciiTheme="majorBidi" w:hAnsiTheme="majorBidi" w:cstheme="majorBidi"/>
          <w:b/>
          <w:bCs/>
          <w:sz w:val="24"/>
          <w:szCs w:val="28"/>
        </w:rPr>
      </w:pPr>
      <w:r w:rsidRPr="003578FC">
        <w:rPr>
          <w:rFonts w:asciiTheme="majorBidi" w:hAnsiTheme="majorBidi"/>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760072" w14:paraId="0AF449A7" w14:textId="77777777" w:rsidTr="003578FC">
        <w:trPr>
          <w:cantSplit/>
        </w:trPr>
        <w:tc>
          <w:tcPr>
            <w:tcW w:w="786" w:type="pct"/>
            <w:shd w:val="clear" w:color="auto" w:fill="auto"/>
          </w:tcPr>
          <w:p w14:paraId="455AE70D" w14:textId="03407B51" w:rsidR="005473CF" w:rsidRPr="00E0468C" w:rsidRDefault="003578FC" w:rsidP="002F7BA0">
            <w:pPr>
              <w:bidi/>
              <w:spacing w:before="120"/>
              <w:jc w:val="both"/>
              <w:rPr>
                <w:rFonts w:asciiTheme="majorBidi" w:hAnsiTheme="majorBidi" w:cstheme="majorBidi"/>
                <w:b/>
                <w:bCs/>
                <w:sz w:val="24"/>
              </w:rPr>
            </w:pPr>
            <w:r w:rsidRPr="00E0468C">
              <w:rPr>
                <w:rFonts w:asciiTheme="majorBidi" w:hAnsiTheme="majorBidi" w:cstheme="majorBidi"/>
                <w:b/>
                <w:bCs/>
                <w:sz w:val="24"/>
                <w:rtl/>
              </w:rPr>
              <w:t>المؤشر</w:t>
            </w:r>
          </w:p>
        </w:tc>
        <w:tc>
          <w:tcPr>
            <w:tcW w:w="4214" w:type="pct"/>
            <w:gridSpan w:val="2"/>
            <w:shd w:val="clear" w:color="auto" w:fill="auto"/>
          </w:tcPr>
          <w:p w14:paraId="4B5EB28B" w14:textId="4ED39560" w:rsidR="005473CF" w:rsidRPr="00E0468C" w:rsidRDefault="00760072" w:rsidP="002F7BA0">
            <w:pPr>
              <w:pStyle w:val="ListParagraph"/>
              <w:keepLines/>
              <w:numPr>
                <w:ilvl w:val="0"/>
                <w:numId w:val="77"/>
              </w:numPr>
              <w:bidi/>
              <w:spacing w:before="120"/>
              <w:jc w:val="both"/>
              <w:rPr>
                <w:rFonts w:asciiTheme="majorBidi" w:hAnsiTheme="majorBidi" w:cstheme="majorBidi"/>
                <w:bCs/>
                <w:sz w:val="24"/>
                <w:szCs w:val="24"/>
              </w:rPr>
            </w:pPr>
            <w:r w:rsidRPr="00E0468C">
              <w:rPr>
                <w:rFonts w:asciiTheme="majorBidi" w:hAnsiTheme="majorBidi" w:cstheme="majorBidi"/>
                <w:bCs/>
                <w:sz w:val="24"/>
                <w:szCs w:val="24"/>
                <w:rtl/>
              </w:rPr>
              <w:t>مدى عكس السياسات والتدابير القانونية والإدارية في مجال الثقافة لتنوّع التراث الثقافي غير المادي وأهمية صونه ومدى تنفيذها</w:t>
            </w:r>
          </w:p>
        </w:tc>
      </w:tr>
      <w:tr w:rsidR="005B0FE5" w:rsidRPr="00760072" w14:paraId="426ABD8A" w14:textId="77777777" w:rsidTr="003578FC">
        <w:trPr>
          <w:cantSplit/>
        </w:trPr>
        <w:tc>
          <w:tcPr>
            <w:tcW w:w="786" w:type="pct"/>
            <w:vMerge w:val="restart"/>
            <w:shd w:val="clear" w:color="auto" w:fill="auto"/>
          </w:tcPr>
          <w:p w14:paraId="58BA4643" w14:textId="467F6318" w:rsidR="005B0FE5" w:rsidRPr="00E0468C" w:rsidRDefault="003578FC" w:rsidP="002F7BA0">
            <w:pPr>
              <w:bidi/>
              <w:spacing w:before="120"/>
              <w:jc w:val="both"/>
              <w:rPr>
                <w:rFonts w:asciiTheme="majorBidi" w:hAnsiTheme="majorBidi" w:cstheme="majorBidi"/>
                <w:b/>
                <w:bCs/>
                <w:sz w:val="24"/>
              </w:rPr>
            </w:pPr>
            <w:r w:rsidRPr="00E0468C">
              <w:rPr>
                <w:rFonts w:asciiTheme="majorBidi" w:hAnsiTheme="majorBidi" w:cstheme="majorBidi"/>
                <w:b/>
                <w:bCs/>
                <w:sz w:val="24"/>
                <w:rtl/>
              </w:rPr>
              <w:t>عوامل التقييم الشامل</w:t>
            </w:r>
          </w:p>
        </w:tc>
        <w:tc>
          <w:tcPr>
            <w:tcW w:w="4214" w:type="pct"/>
            <w:gridSpan w:val="2"/>
            <w:shd w:val="clear" w:color="auto" w:fill="auto"/>
          </w:tcPr>
          <w:p w14:paraId="7D2653D3" w14:textId="3A5DFA20" w:rsidR="005B0FE5" w:rsidRPr="00E0468C" w:rsidRDefault="00EE45C4" w:rsidP="002F7BA0">
            <w:pPr>
              <w:keepLines/>
              <w:bidi/>
              <w:spacing w:before="120"/>
              <w:jc w:val="both"/>
              <w:rPr>
                <w:rFonts w:asciiTheme="majorBidi" w:hAnsiTheme="majorBidi" w:cstheme="majorBidi"/>
                <w:b/>
                <w:sz w:val="24"/>
              </w:rPr>
            </w:pPr>
            <w:r w:rsidRPr="00E0468C">
              <w:rPr>
                <w:rFonts w:asciiTheme="majorBidi" w:hAnsiTheme="majorBidi" w:cstheme="majorBidi"/>
                <w:sz w:val="24"/>
                <w:rtl/>
              </w:rPr>
              <w:t xml:space="preserve">يتم تقييم هذا المؤشر على أساس </w:t>
            </w:r>
            <w:r w:rsidR="00760072" w:rsidRPr="00E0468C">
              <w:rPr>
                <w:rFonts w:asciiTheme="majorBidi" w:hAnsiTheme="majorBidi" w:cstheme="majorBidi" w:hint="cs"/>
                <w:sz w:val="24"/>
                <w:rtl/>
              </w:rPr>
              <w:t>أربعة</w:t>
            </w:r>
            <w:r w:rsidRPr="00E0468C">
              <w:rPr>
                <w:rFonts w:asciiTheme="majorBidi" w:hAnsiTheme="majorBidi" w:cstheme="majorBidi"/>
                <w:sz w:val="24"/>
                <w:rtl/>
              </w:rPr>
              <w:t xml:space="preserve"> عوامل على ال</w:t>
            </w:r>
            <w:r w:rsidR="00AA08C1" w:rsidRPr="00E0468C">
              <w:rPr>
                <w:rFonts w:asciiTheme="majorBidi" w:hAnsiTheme="majorBidi" w:cstheme="majorBidi"/>
                <w:sz w:val="24"/>
                <w:rtl/>
              </w:rPr>
              <w:t>صعيد</w:t>
            </w:r>
            <w:r w:rsidRPr="00E0468C">
              <w:rPr>
                <w:rFonts w:asciiTheme="majorBidi" w:hAnsiTheme="majorBidi" w:cstheme="majorBidi"/>
                <w:sz w:val="24"/>
                <w:rtl/>
              </w:rPr>
              <w:t xml:space="preserve"> القطري ترصدها كل دولة </w:t>
            </w:r>
            <w:r w:rsidR="00E31F58" w:rsidRPr="00E0468C">
              <w:rPr>
                <w:rFonts w:asciiTheme="majorBidi" w:hAnsiTheme="majorBidi" w:cstheme="majorBidi"/>
                <w:sz w:val="24"/>
                <w:rtl/>
              </w:rPr>
              <w:t xml:space="preserve">طرف </w:t>
            </w:r>
            <w:r w:rsidR="007E5ECB" w:rsidRPr="00E0468C">
              <w:rPr>
                <w:rFonts w:asciiTheme="majorBidi" w:hAnsiTheme="majorBidi" w:cstheme="majorBidi"/>
                <w:sz w:val="24"/>
                <w:rtl/>
                <w:lang w:bidi="ar-EG"/>
              </w:rPr>
              <w:t>و</w:t>
            </w:r>
            <w:r w:rsidR="00244D39" w:rsidRPr="00E0468C">
              <w:rPr>
                <w:rFonts w:asciiTheme="majorBidi" w:hAnsiTheme="majorBidi" w:cstheme="majorBidi"/>
                <w:sz w:val="24"/>
                <w:rtl/>
                <w:lang w:bidi="ar-EG"/>
              </w:rPr>
              <w:t>ت</w:t>
            </w:r>
            <w:r w:rsidR="00AB1282">
              <w:rPr>
                <w:rFonts w:asciiTheme="majorBidi" w:hAnsiTheme="majorBidi" w:cstheme="majorBidi" w:hint="cs"/>
                <w:sz w:val="24"/>
                <w:rtl/>
                <w:lang w:bidi="ar-EG"/>
              </w:rPr>
              <w:t>عد التقرير</w:t>
            </w:r>
            <w:r w:rsidR="00244D39" w:rsidRPr="00E0468C">
              <w:rPr>
                <w:rFonts w:asciiTheme="majorBidi" w:hAnsiTheme="majorBidi" w:cstheme="majorBidi"/>
                <w:sz w:val="24"/>
                <w:rtl/>
                <w:lang w:bidi="ar-EG"/>
              </w:rPr>
              <w:t xml:space="preserve"> عنها</w:t>
            </w:r>
            <w:r w:rsidRPr="00E0468C">
              <w:rPr>
                <w:rFonts w:asciiTheme="majorBidi" w:hAnsiTheme="majorBidi" w:cstheme="majorBidi"/>
                <w:sz w:val="24"/>
                <w:rtl/>
              </w:rPr>
              <w:t>:</w:t>
            </w:r>
          </w:p>
        </w:tc>
      </w:tr>
      <w:tr w:rsidR="00644AB8" w:rsidRPr="00760072" w14:paraId="1DC490A2" w14:textId="77777777" w:rsidTr="003578FC">
        <w:trPr>
          <w:cantSplit/>
        </w:trPr>
        <w:tc>
          <w:tcPr>
            <w:tcW w:w="786" w:type="pct"/>
            <w:vMerge/>
            <w:shd w:val="clear" w:color="auto" w:fill="auto"/>
          </w:tcPr>
          <w:p w14:paraId="13F62297" w14:textId="77777777" w:rsidR="00644AB8" w:rsidRPr="00E0468C" w:rsidRDefault="00644AB8" w:rsidP="002F7BA0">
            <w:pPr>
              <w:bidi/>
              <w:spacing w:before="120"/>
              <w:jc w:val="both"/>
              <w:rPr>
                <w:rFonts w:asciiTheme="majorBidi" w:hAnsiTheme="majorBidi" w:cstheme="majorBidi"/>
                <w:b/>
                <w:bCs/>
                <w:sz w:val="24"/>
              </w:rPr>
            </w:pPr>
          </w:p>
        </w:tc>
        <w:tc>
          <w:tcPr>
            <w:tcW w:w="3418" w:type="pct"/>
            <w:shd w:val="clear" w:color="auto" w:fill="auto"/>
            <w:vAlign w:val="center"/>
          </w:tcPr>
          <w:p w14:paraId="0F0D10C0" w14:textId="43CF1300" w:rsidR="00644AB8" w:rsidRPr="00E0468C" w:rsidRDefault="00385356" w:rsidP="002F7BA0">
            <w:pPr>
              <w:keepLines/>
              <w:bidi/>
              <w:spacing w:before="120"/>
              <w:jc w:val="both"/>
              <w:rPr>
                <w:rFonts w:asciiTheme="majorBidi" w:hAnsiTheme="majorBidi" w:cstheme="majorBidi"/>
                <w:sz w:val="24"/>
              </w:rPr>
            </w:pPr>
            <w:r w:rsidRPr="00E0468C">
              <w:rPr>
                <w:rFonts w:asciiTheme="majorBidi" w:hAnsiTheme="majorBidi" w:cstheme="majorBidi"/>
                <w:sz w:val="24"/>
                <w:rtl/>
              </w:rPr>
              <w:t>11-1 وضع أو تنقيح السياسات الثقافية و/أو التدابير القانونية والإدارية التي تدمج التراث الثقافي غير المادي وصونه وتعكس تنوّعه، وتنفيذها.</w:t>
            </w:r>
          </w:p>
        </w:tc>
        <w:tc>
          <w:tcPr>
            <w:tcW w:w="796" w:type="pct"/>
            <w:shd w:val="clear" w:color="auto" w:fill="auto"/>
            <w:vAlign w:val="center"/>
          </w:tcPr>
          <w:p w14:paraId="1A81B631" w14:textId="448AAA81" w:rsidR="00665D03" w:rsidRPr="00E0468C" w:rsidRDefault="00665D03" w:rsidP="002F7BA0">
            <w:pPr>
              <w:bidi/>
              <w:spacing w:before="60" w:after="60"/>
              <w:jc w:val="both"/>
              <w:rPr>
                <w:rFonts w:asciiTheme="majorBidi" w:hAnsiTheme="majorBidi" w:cstheme="majorBidi"/>
                <w:sz w:val="24"/>
                <w:rtl/>
              </w:rPr>
            </w:pPr>
            <w:r w:rsidRPr="00E0468C">
              <w:rPr>
                <w:rFonts w:asciiTheme="majorBidi" w:hAnsiTheme="majorBidi" w:cstheme="majorBidi"/>
                <w:sz w:val="24"/>
                <w:rtl/>
              </w:rPr>
              <w:t>المادة 13 (أ)</w:t>
            </w:r>
          </w:p>
          <w:p w14:paraId="06705048" w14:textId="5CA30022" w:rsidR="00644AB8" w:rsidRPr="00E0468C" w:rsidRDefault="00665D03" w:rsidP="002F7BA0">
            <w:pPr>
              <w:bidi/>
              <w:spacing w:before="60" w:after="60"/>
              <w:jc w:val="both"/>
              <w:rPr>
                <w:rFonts w:asciiTheme="majorBidi" w:hAnsiTheme="majorBidi" w:cstheme="majorBidi"/>
                <w:sz w:val="24"/>
              </w:rPr>
            </w:pPr>
            <w:r w:rsidRPr="00E0468C">
              <w:rPr>
                <w:rFonts w:asciiTheme="majorBidi" w:hAnsiTheme="majorBidi" w:cstheme="majorBidi"/>
                <w:sz w:val="24"/>
                <w:rtl/>
              </w:rPr>
              <w:t xml:space="preserve">التوجيه </w:t>
            </w:r>
            <w:r w:rsidR="00244D39" w:rsidRPr="00E0468C">
              <w:rPr>
                <w:rFonts w:asciiTheme="majorBidi" w:hAnsiTheme="majorBidi" w:cstheme="majorBidi"/>
                <w:sz w:val="24"/>
                <w:rtl/>
              </w:rPr>
              <w:t>التنفيذي</w:t>
            </w:r>
            <w:r w:rsidRPr="00E0468C">
              <w:rPr>
                <w:rFonts w:asciiTheme="majorBidi" w:hAnsiTheme="majorBidi" w:cstheme="majorBidi"/>
                <w:sz w:val="24"/>
                <w:rtl/>
              </w:rPr>
              <w:t xml:space="preserve"> 153 (ب) (</w:t>
            </w:r>
            <w:r w:rsidR="00B0545D" w:rsidRPr="00E0468C">
              <w:rPr>
                <w:rFonts w:asciiTheme="majorBidi" w:hAnsiTheme="majorBidi" w:cstheme="majorBidi"/>
                <w:sz w:val="24"/>
                <w:rtl/>
              </w:rPr>
              <w:t>1</w:t>
            </w:r>
            <w:r w:rsidR="005100B3" w:rsidRPr="00E0468C">
              <w:rPr>
                <w:rFonts w:asciiTheme="majorBidi" w:hAnsiTheme="majorBidi" w:cstheme="majorBidi"/>
                <w:sz w:val="24"/>
                <w:rtl/>
              </w:rPr>
              <w:t>)</w:t>
            </w:r>
            <w:r w:rsidR="00B0545D" w:rsidRPr="00E0468C">
              <w:rPr>
                <w:rFonts w:asciiTheme="majorBidi" w:hAnsiTheme="majorBidi" w:cstheme="majorBidi"/>
                <w:sz w:val="24"/>
                <w:rtl/>
              </w:rPr>
              <w:t>، و</w:t>
            </w:r>
            <w:r w:rsidRPr="00E0468C">
              <w:rPr>
                <w:rFonts w:asciiTheme="majorBidi" w:hAnsiTheme="majorBidi" w:cstheme="majorBidi"/>
                <w:sz w:val="24"/>
                <w:rtl/>
              </w:rPr>
              <w:t xml:space="preserve">التوجيه </w:t>
            </w:r>
            <w:r w:rsidR="00B0545D" w:rsidRPr="00E0468C">
              <w:rPr>
                <w:rFonts w:asciiTheme="majorBidi" w:hAnsiTheme="majorBidi" w:cstheme="majorBidi"/>
                <w:sz w:val="24"/>
                <w:rtl/>
              </w:rPr>
              <w:t>التنفيذي 171</w:t>
            </w:r>
            <w:r w:rsidRPr="00E0468C">
              <w:rPr>
                <w:rFonts w:asciiTheme="majorBidi" w:hAnsiTheme="majorBidi" w:cstheme="majorBidi"/>
                <w:sz w:val="24"/>
                <w:rtl/>
              </w:rPr>
              <w:t xml:space="preserve"> (د)</w:t>
            </w:r>
          </w:p>
        </w:tc>
      </w:tr>
      <w:tr w:rsidR="00644AB8" w:rsidRPr="00760072" w14:paraId="730D3623" w14:textId="77777777" w:rsidTr="003578FC">
        <w:trPr>
          <w:cantSplit/>
        </w:trPr>
        <w:tc>
          <w:tcPr>
            <w:tcW w:w="786" w:type="pct"/>
            <w:vMerge/>
            <w:shd w:val="clear" w:color="auto" w:fill="auto"/>
          </w:tcPr>
          <w:p w14:paraId="18ED6359" w14:textId="77777777" w:rsidR="00644AB8" w:rsidRPr="00E0468C" w:rsidRDefault="00644AB8" w:rsidP="002F7BA0">
            <w:pPr>
              <w:bidi/>
              <w:spacing w:before="120"/>
              <w:jc w:val="both"/>
              <w:rPr>
                <w:rFonts w:asciiTheme="majorBidi" w:hAnsiTheme="majorBidi" w:cstheme="majorBidi"/>
                <w:b/>
                <w:bCs/>
                <w:sz w:val="24"/>
              </w:rPr>
            </w:pPr>
          </w:p>
        </w:tc>
        <w:tc>
          <w:tcPr>
            <w:tcW w:w="3418" w:type="pct"/>
            <w:shd w:val="clear" w:color="auto" w:fill="auto"/>
            <w:vAlign w:val="center"/>
          </w:tcPr>
          <w:p w14:paraId="66090304" w14:textId="39E04618" w:rsidR="00644AB8" w:rsidRPr="00E0468C" w:rsidRDefault="00385356" w:rsidP="002F7BA0">
            <w:pPr>
              <w:keepLines/>
              <w:bidi/>
              <w:spacing w:before="120"/>
              <w:jc w:val="both"/>
              <w:rPr>
                <w:rFonts w:asciiTheme="majorBidi" w:hAnsiTheme="majorBidi" w:cstheme="majorBidi"/>
                <w:sz w:val="24"/>
              </w:rPr>
            </w:pPr>
            <w:r w:rsidRPr="00E0468C">
              <w:rPr>
                <w:rFonts w:asciiTheme="majorBidi" w:hAnsiTheme="majorBidi" w:cstheme="majorBidi"/>
                <w:sz w:val="24"/>
                <w:rtl/>
              </w:rPr>
              <w:t>11-2 وضع أو تنقيح الاستراتيجيات و/أو خطط العمل الوطنية أو دون الوطنية لصون التراث الثقافي غير المادي وتنفيذها، بما في ذلك خطط الصون لعناصر محددة، سواء كانت مدرجة أم لا.</w:t>
            </w:r>
          </w:p>
        </w:tc>
        <w:tc>
          <w:tcPr>
            <w:tcW w:w="796" w:type="pct"/>
            <w:shd w:val="clear" w:color="auto" w:fill="auto"/>
            <w:vAlign w:val="center"/>
          </w:tcPr>
          <w:p w14:paraId="02C5A30F" w14:textId="1ED23B92" w:rsidR="00644AB8" w:rsidRPr="00E0468C" w:rsidRDefault="005100B3" w:rsidP="002F7BA0">
            <w:pPr>
              <w:bidi/>
              <w:spacing w:before="60" w:after="60"/>
              <w:jc w:val="both"/>
              <w:rPr>
                <w:rFonts w:asciiTheme="majorBidi" w:hAnsiTheme="majorBidi" w:cstheme="majorBidi"/>
                <w:sz w:val="24"/>
              </w:rPr>
            </w:pPr>
            <w:r w:rsidRPr="00E0468C">
              <w:rPr>
                <w:rFonts w:asciiTheme="majorBidi" w:hAnsiTheme="majorBidi" w:cstheme="majorBidi"/>
                <w:sz w:val="24"/>
                <w:rtl/>
              </w:rPr>
              <w:t xml:space="preserve">التوجيه </w:t>
            </w:r>
            <w:r w:rsidR="00244D39" w:rsidRPr="00E0468C">
              <w:rPr>
                <w:rFonts w:asciiTheme="majorBidi" w:hAnsiTheme="majorBidi" w:cstheme="majorBidi"/>
                <w:sz w:val="24"/>
                <w:rtl/>
              </w:rPr>
              <w:t>التنفيذي</w:t>
            </w:r>
            <w:r w:rsidRPr="00E0468C">
              <w:rPr>
                <w:rFonts w:asciiTheme="majorBidi" w:hAnsiTheme="majorBidi" w:cstheme="majorBidi"/>
                <w:sz w:val="24"/>
                <w:rtl/>
              </w:rPr>
              <w:t xml:space="preserve"> 1</w:t>
            </w:r>
            <w:r w:rsidR="00B0545D" w:rsidRPr="00E0468C">
              <w:rPr>
                <w:rFonts w:asciiTheme="majorBidi" w:hAnsiTheme="majorBidi" w:cstheme="majorBidi"/>
                <w:sz w:val="24"/>
                <w:rtl/>
              </w:rPr>
              <w:t>، و</w:t>
            </w:r>
            <w:r w:rsidR="00665D03" w:rsidRPr="00E0468C">
              <w:rPr>
                <w:rFonts w:asciiTheme="majorBidi" w:hAnsiTheme="majorBidi" w:cstheme="majorBidi"/>
                <w:sz w:val="24"/>
                <w:rtl/>
              </w:rPr>
              <w:t xml:space="preserve">التوجيه </w:t>
            </w:r>
            <w:r w:rsidR="00B0545D" w:rsidRPr="00E0468C">
              <w:rPr>
                <w:rFonts w:asciiTheme="majorBidi" w:hAnsiTheme="majorBidi" w:cstheme="majorBidi"/>
                <w:sz w:val="24"/>
                <w:rtl/>
              </w:rPr>
              <w:t>التنفيذي 2</w:t>
            </w:r>
          </w:p>
        </w:tc>
      </w:tr>
      <w:tr w:rsidR="00530817" w:rsidRPr="00760072" w14:paraId="3CEC01C5" w14:textId="77777777" w:rsidTr="003578FC">
        <w:trPr>
          <w:cantSplit/>
        </w:trPr>
        <w:tc>
          <w:tcPr>
            <w:tcW w:w="786" w:type="pct"/>
            <w:vMerge/>
            <w:shd w:val="clear" w:color="auto" w:fill="auto"/>
          </w:tcPr>
          <w:p w14:paraId="5CE2C5B1" w14:textId="77777777" w:rsidR="00530817" w:rsidRPr="00E0468C" w:rsidRDefault="00530817" w:rsidP="002F7BA0">
            <w:pPr>
              <w:bidi/>
              <w:spacing w:before="120"/>
              <w:jc w:val="both"/>
              <w:rPr>
                <w:rFonts w:asciiTheme="majorBidi" w:hAnsiTheme="majorBidi" w:cstheme="majorBidi"/>
                <w:b/>
                <w:bCs/>
                <w:sz w:val="24"/>
              </w:rPr>
            </w:pPr>
          </w:p>
        </w:tc>
        <w:tc>
          <w:tcPr>
            <w:tcW w:w="3418" w:type="pct"/>
            <w:shd w:val="clear" w:color="auto" w:fill="auto"/>
            <w:vAlign w:val="center"/>
          </w:tcPr>
          <w:p w14:paraId="02C6F424" w14:textId="42517C09" w:rsidR="00882637" w:rsidRPr="00E0468C" w:rsidRDefault="00385356" w:rsidP="002F7BA0">
            <w:pPr>
              <w:keepLines/>
              <w:bidi/>
              <w:spacing w:before="120"/>
              <w:jc w:val="both"/>
              <w:rPr>
                <w:rFonts w:asciiTheme="majorBidi" w:hAnsiTheme="majorBidi" w:cstheme="majorBidi"/>
                <w:sz w:val="24"/>
              </w:rPr>
            </w:pPr>
            <w:r w:rsidRPr="00E0468C">
              <w:rPr>
                <w:rFonts w:asciiTheme="majorBidi" w:hAnsiTheme="majorBidi" w:cstheme="majorBidi"/>
                <w:sz w:val="24"/>
                <w:rtl/>
              </w:rPr>
              <w:t>11-3 تقديم الدعم المالي</w:t>
            </w:r>
            <w:r w:rsidR="00AB1282">
              <w:rPr>
                <w:rtl/>
              </w:rPr>
              <w:t xml:space="preserve"> </w:t>
            </w:r>
            <w:r w:rsidR="00AB1282" w:rsidRPr="00AB1282">
              <w:rPr>
                <w:rFonts w:asciiTheme="majorBidi" w:hAnsiTheme="majorBidi"/>
                <w:sz w:val="24"/>
                <w:rtl/>
              </w:rPr>
              <w:t>العمومي</w:t>
            </w:r>
            <w:r w:rsidRPr="00E0468C">
              <w:rPr>
                <w:rFonts w:asciiTheme="majorBidi" w:hAnsiTheme="majorBidi" w:cstheme="majorBidi"/>
                <w:sz w:val="24"/>
                <w:rtl/>
              </w:rPr>
              <w:t xml:space="preserve"> و/أو التقني لصون عناصر التراث الثقافي غير المادي، سواء كانت مدرجة أم لا، على أساس منصف، في علاقة بالدعم الشامل للثقافة والتراث بوجه عام، مع مراعاة أولوية العناصر التي يتمّ تحديد حاجتها إلى صون عاجل.</w:t>
            </w:r>
          </w:p>
        </w:tc>
        <w:tc>
          <w:tcPr>
            <w:tcW w:w="796" w:type="pct"/>
            <w:shd w:val="clear" w:color="auto" w:fill="auto"/>
            <w:vAlign w:val="center"/>
          </w:tcPr>
          <w:p w14:paraId="2590BE94" w14:textId="77777777" w:rsidR="00530817" w:rsidRPr="00E0468C" w:rsidRDefault="00530817" w:rsidP="002F7BA0">
            <w:pPr>
              <w:keepLines/>
              <w:bidi/>
              <w:spacing w:before="120"/>
              <w:jc w:val="both"/>
              <w:rPr>
                <w:rFonts w:asciiTheme="majorBidi" w:hAnsiTheme="majorBidi" w:cstheme="majorBidi"/>
                <w:sz w:val="24"/>
              </w:rPr>
            </w:pPr>
          </w:p>
        </w:tc>
      </w:tr>
      <w:tr w:rsidR="00530817" w:rsidRPr="00760072" w14:paraId="3CA40930" w14:textId="77777777" w:rsidTr="003578FC">
        <w:trPr>
          <w:cantSplit/>
        </w:trPr>
        <w:tc>
          <w:tcPr>
            <w:tcW w:w="786" w:type="pct"/>
            <w:vMerge/>
            <w:shd w:val="clear" w:color="auto" w:fill="auto"/>
          </w:tcPr>
          <w:p w14:paraId="450CB06B" w14:textId="77777777" w:rsidR="00530817" w:rsidRPr="00E0468C" w:rsidRDefault="00530817" w:rsidP="002F7BA0">
            <w:pPr>
              <w:bidi/>
              <w:spacing w:before="120"/>
              <w:jc w:val="both"/>
              <w:rPr>
                <w:rFonts w:asciiTheme="majorBidi" w:hAnsiTheme="majorBidi" w:cstheme="majorBidi"/>
                <w:b/>
                <w:bCs/>
                <w:sz w:val="24"/>
              </w:rPr>
            </w:pPr>
          </w:p>
        </w:tc>
        <w:tc>
          <w:tcPr>
            <w:tcW w:w="3418" w:type="pct"/>
            <w:shd w:val="clear" w:color="auto" w:fill="auto"/>
            <w:vAlign w:val="center"/>
          </w:tcPr>
          <w:p w14:paraId="12D8C826" w14:textId="33863826" w:rsidR="00530817" w:rsidRPr="00E0468C" w:rsidRDefault="00CF71BC" w:rsidP="002F7BA0">
            <w:pPr>
              <w:keepLines/>
              <w:bidi/>
              <w:spacing w:before="120"/>
              <w:jc w:val="both"/>
              <w:rPr>
                <w:rFonts w:asciiTheme="majorBidi" w:hAnsiTheme="majorBidi" w:cstheme="majorBidi"/>
                <w:sz w:val="24"/>
              </w:rPr>
            </w:pPr>
            <w:r w:rsidRPr="00E0468C">
              <w:rPr>
                <w:rFonts w:asciiTheme="majorBidi" w:hAnsiTheme="majorBidi" w:cstheme="majorBidi"/>
                <w:sz w:val="24"/>
                <w:rtl/>
              </w:rPr>
              <w:t>11-4 إنارة السياسات الثقافية و/أو التدابير القانونية والإدارية التي تدمج التراث الثقافي غير المادي وصونه بالمشاركة النشطة للجماعات والمجموعات والأفراد.</w:t>
            </w:r>
          </w:p>
        </w:tc>
        <w:tc>
          <w:tcPr>
            <w:tcW w:w="796" w:type="pct"/>
            <w:shd w:val="clear" w:color="auto" w:fill="auto"/>
            <w:vAlign w:val="center"/>
          </w:tcPr>
          <w:p w14:paraId="21831407" w14:textId="0BD04F2F" w:rsidR="00530817" w:rsidRPr="00E0468C" w:rsidRDefault="00665D03" w:rsidP="002F7BA0">
            <w:pPr>
              <w:keepLines/>
              <w:bidi/>
              <w:spacing w:before="120"/>
              <w:jc w:val="both"/>
              <w:rPr>
                <w:rFonts w:asciiTheme="majorBidi" w:hAnsiTheme="majorBidi" w:cstheme="majorBidi"/>
                <w:sz w:val="24"/>
              </w:rPr>
            </w:pPr>
            <w:r w:rsidRPr="00E0468C">
              <w:rPr>
                <w:rFonts w:asciiTheme="majorBidi" w:hAnsiTheme="majorBidi" w:cstheme="majorBidi"/>
                <w:sz w:val="24"/>
                <w:rtl/>
              </w:rPr>
              <w:t>المادة 15</w:t>
            </w:r>
          </w:p>
        </w:tc>
      </w:tr>
      <w:tr w:rsidR="005473CF" w:rsidRPr="00760072" w14:paraId="645965FB" w14:textId="77777777" w:rsidTr="003578FC">
        <w:trPr>
          <w:cantSplit/>
        </w:trPr>
        <w:tc>
          <w:tcPr>
            <w:tcW w:w="786" w:type="pct"/>
            <w:shd w:val="clear" w:color="auto" w:fill="auto"/>
          </w:tcPr>
          <w:p w14:paraId="7C015C90" w14:textId="28C61699" w:rsidR="005473CF" w:rsidRPr="00E0468C" w:rsidRDefault="003578FC" w:rsidP="002F7BA0">
            <w:pPr>
              <w:bidi/>
              <w:spacing w:before="120"/>
              <w:jc w:val="both"/>
              <w:rPr>
                <w:rFonts w:asciiTheme="majorBidi" w:hAnsiTheme="majorBidi" w:cstheme="majorBidi"/>
                <w:b/>
                <w:bCs/>
                <w:sz w:val="24"/>
              </w:rPr>
            </w:pPr>
            <w:r w:rsidRPr="00E0468C">
              <w:rPr>
                <w:rFonts w:asciiTheme="majorBidi" w:hAnsiTheme="majorBidi" w:cstheme="majorBidi"/>
                <w:b/>
                <w:bCs/>
                <w:sz w:val="24"/>
                <w:rtl/>
              </w:rPr>
              <w:t>العلاقة مع أهداف التنمية المستدامة والمؤشرات الأخرى</w:t>
            </w:r>
          </w:p>
        </w:tc>
        <w:tc>
          <w:tcPr>
            <w:tcW w:w="4214" w:type="pct"/>
            <w:gridSpan w:val="2"/>
            <w:shd w:val="clear" w:color="auto" w:fill="auto"/>
          </w:tcPr>
          <w:p w14:paraId="3719D1A2" w14:textId="1182E664" w:rsidR="004E1A47" w:rsidRPr="00E0468C" w:rsidRDefault="004E1A47" w:rsidP="002F7BA0">
            <w:pPr>
              <w:keepLines/>
              <w:bidi/>
              <w:spacing w:before="120"/>
              <w:jc w:val="both"/>
              <w:rPr>
                <w:rFonts w:asciiTheme="majorBidi" w:hAnsiTheme="majorBidi" w:cstheme="majorBidi"/>
                <w:b/>
                <w:bCs/>
                <w:sz w:val="24"/>
                <w:rtl/>
              </w:rPr>
            </w:pPr>
            <w:r w:rsidRPr="00E0468C">
              <w:rPr>
                <w:rFonts w:asciiTheme="majorBidi" w:hAnsiTheme="majorBidi" w:cstheme="majorBidi"/>
                <w:b/>
                <w:bCs/>
                <w:sz w:val="24"/>
                <w:rtl/>
              </w:rPr>
              <w:t xml:space="preserve">أهداف التنمية المستدامة: </w:t>
            </w:r>
            <w:r w:rsidRPr="00E0468C">
              <w:rPr>
                <w:rFonts w:asciiTheme="majorBidi" w:hAnsiTheme="majorBidi" w:cstheme="majorBidi"/>
                <w:sz w:val="24"/>
                <w:rtl/>
              </w:rPr>
              <w:t xml:space="preserve">إذا تم </w:t>
            </w:r>
            <w:r w:rsidR="00205F08" w:rsidRPr="00E0468C">
              <w:rPr>
                <w:rFonts w:asciiTheme="majorBidi" w:hAnsiTheme="majorBidi" w:cstheme="majorBidi" w:hint="cs"/>
                <w:sz w:val="24"/>
                <w:rtl/>
              </w:rPr>
              <w:t>ال</w:t>
            </w:r>
            <w:r w:rsidRPr="00E0468C">
              <w:rPr>
                <w:rFonts w:asciiTheme="majorBidi" w:hAnsiTheme="majorBidi" w:cstheme="majorBidi"/>
                <w:sz w:val="24"/>
                <w:rtl/>
              </w:rPr>
              <w:t xml:space="preserve">اعتراف بالثقافة كعامل تمكين لأبعاد التنمية المستدامة الاقتصادية والاجتماعية والبيئية، سيعني ذلك أن السياسات الثقافية يمكن أن يكون لها </w:t>
            </w:r>
            <w:r w:rsidR="00AB070A" w:rsidRPr="00E0468C">
              <w:rPr>
                <w:rFonts w:asciiTheme="majorBidi" w:hAnsiTheme="majorBidi" w:cstheme="majorBidi"/>
                <w:sz w:val="24"/>
                <w:rtl/>
              </w:rPr>
              <w:t>أثر</w:t>
            </w:r>
            <w:r w:rsidRPr="00E0468C">
              <w:rPr>
                <w:rFonts w:asciiTheme="majorBidi" w:hAnsiTheme="majorBidi" w:cstheme="majorBidi"/>
                <w:sz w:val="24"/>
                <w:rtl/>
              </w:rPr>
              <w:t xml:space="preserve"> على مجموعة واسعة من أهداف التنمية المستدامة. </w:t>
            </w:r>
            <w:r w:rsidR="00FA5561" w:rsidRPr="00E0468C">
              <w:rPr>
                <w:rFonts w:asciiTheme="majorBidi" w:hAnsiTheme="majorBidi" w:cstheme="majorBidi" w:hint="cs"/>
                <w:sz w:val="24"/>
                <w:rtl/>
              </w:rPr>
              <w:t>و</w:t>
            </w:r>
            <w:r w:rsidRPr="00E0468C">
              <w:rPr>
                <w:rFonts w:asciiTheme="majorBidi" w:hAnsiTheme="majorBidi" w:cstheme="majorBidi"/>
                <w:sz w:val="24"/>
                <w:rtl/>
              </w:rPr>
              <w:t>في هذا السياق، قد يسهم صون التراث الثقافي غير المادي في تحقيق أهداف التنمية المستدامة المتعلقة بالزراعة المستدامة (هدف</w:t>
            </w:r>
            <w:r w:rsidR="00FA5561" w:rsidRPr="00E0468C">
              <w:rPr>
                <w:rFonts w:asciiTheme="majorBidi" w:hAnsiTheme="majorBidi" w:cstheme="majorBidi" w:hint="cs"/>
                <w:sz w:val="24"/>
                <w:rtl/>
              </w:rPr>
              <w:t xml:space="preserve"> </w:t>
            </w:r>
            <w:r w:rsidR="00FA5561" w:rsidRPr="00E0468C">
              <w:rPr>
                <w:rFonts w:asciiTheme="majorBidi" w:hAnsiTheme="majorBidi" w:cstheme="majorBidi"/>
                <w:sz w:val="24"/>
                <w:rtl/>
              </w:rPr>
              <w:t>التنمية المستدامة</w:t>
            </w:r>
            <w:r w:rsidRPr="00E0468C">
              <w:rPr>
                <w:rFonts w:asciiTheme="majorBidi" w:hAnsiTheme="majorBidi" w:cstheme="majorBidi"/>
                <w:sz w:val="24"/>
                <w:rtl/>
              </w:rPr>
              <w:t xml:space="preserve"> 2)، والصحة والرفاه (هدف</w:t>
            </w:r>
            <w:r w:rsidR="00FA5561" w:rsidRPr="00E0468C">
              <w:rPr>
                <w:rFonts w:asciiTheme="majorBidi" w:hAnsiTheme="majorBidi" w:cstheme="majorBidi" w:hint="cs"/>
                <w:sz w:val="24"/>
                <w:rtl/>
              </w:rPr>
              <w:t xml:space="preserve"> </w:t>
            </w:r>
            <w:r w:rsidR="00FA5561" w:rsidRPr="00E0468C">
              <w:rPr>
                <w:rFonts w:asciiTheme="majorBidi" w:hAnsiTheme="majorBidi" w:cstheme="majorBidi"/>
                <w:sz w:val="24"/>
                <w:rtl/>
              </w:rPr>
              <w:t>التنمية المستدامة</w:t>
            </w:r>
            <w:r w:rsidRPr="00E0468C">
              <w:rPr>
                <w:rFonts w:asciiTheme="majorBidi" w:hAnsiTheme="majorBidi" w:cstheme="majorBidi"/>
                <w:sz w:val="24"/>
                <w:rtl/>
              </w:rPr>
              <w:t xml:space="preserve"> 3)، والاستخدام المستدام للمياه (</w:t>
            </w:r>
            <w:r w:rsidR="00FA5561" w:rsidRPr="00E0468C">
              <w:rPr>
                <w:rFonts w:asciiTheme="majorBidi" w:hAnsiTheme="majorBidi" w:cstheme="majorBidi" w:hint="cs"/>
                <w:sz w:val="24"/>
                <w:rtl/>
              </w:rPr>
              <w:t>ه</w:t>
            </w:r>
            <w:r w:rsidRPr="00E0468C">
              <w:rPr>
                <w:rFonts w:asciiTheme="majorBidi" w:hAnsiTheme="majorBidi" w:cstheme="majorBidi"/>
                <w:sz w:val="24"/>
                <w:rtl/>
              </w:rPr>
              <w:t>دف</w:t>
            </w:r>
            <w:r w:rsidR="00FA5561" w:rsidRPr="00E0468C">
              <w:rPr>
                <w:rFonts w:asciiTheme="majorBidi" w:hAnsiTheme="majorBidi" w:cstheme="majorBidi" w:hint="cs"/>
                <w:sz w:val="24"/>
                <w:rtl/>
              </w:rPr>
              <w:t xml:space="preserve"> </w:t>
            </w:r>
            <w:r w:rsidR="00FA5561" w:rsidRPr="00E0468C">
              <w:rPr>
                <w:rFonts w:asciiTheme="majorBidi" w:hAnsiTheme="majorBidi" w:cstheme="majorBidi"/>
                <w:sz w:val="24"/>
                <w:rtl/>
              </w:rPr>
              <w:t>التنمية المستدامة</w:t>
            </w:r>
            <w:r w:rsidRPr="00E0468C">
              <w:rPr>
                <w:rFonts w:asciiTheme="majorBidi" w:hAnsiTheme="majorBidi" w:cstheme="majorBidi"/>
                <w:sz w:val="24"/>
                <w:rtl/>
              </w:rPr>
              <w:t xml:space="preserve"> 6)، والتنوع البيولوجي (هدف</w:t>
            </w:r>
            <w:r w:rsidR="00FA5561" w:rsidRPr="00E0468C">
              <w:rPr>
                <w:rFonts w:asciiTheme="majorBidi" w:hAnsiTheme="majorBidi" w:cstheme="majorBidi" w:hint="cs"/>
                <w:sz w:val="24"/>
                <w:rtl/>
              </w:rPr>
              <w:t xml:space="preserve"> </w:t>
            </w:r>
            <w:r w:rsidR="00FA5561" w:rsidRPr="00E0468C">
              <w:rPr>
                <w:rFonts w:asciiTheme="majorBidi" w:hAnsiTheme="majorBidi" w:cstheme="majorBidi"/>
                <w:sz w:val="24"/>
                <w:rtl/>
              </w:rPr>
              <w:t>التنمية المستدامة</w:t>
            </w:r>
            <w:r w:rsidRPr="00E0468C">
              <w:rPr>
                <w:rFonts w:asciiTheme="majorBidi" w:hAnsiTheme="majorBidi" w:cstheme="majorBidi"/>
                <w:sz w:val="24"/>
                <w:rtl/>
              </w:rPr>
              <w:t xml:space="preserve"> 15)، وغيرها.</w:t>
            </w:r>
            <w:r w:rsidR="004E0FA0" w:rsidRPr="00E0468C">
              <w:rPr>
                <w:rFonts w:asciiTheme="majorBidi" w:hAnsiTheme="majorBidi" w:cstheme="majorBidi" w:hint="cs"/>
                <w:sz w:val="24"/>
                <w:rtl/>
              </w:rPr>
              <w:t xml:space="preserve"> على الرغم من</w:t>
            </w:r>
            <w:r w:rsidRPr="00E0468C">
              <w:rPr>
                <w:rFonts w:asciiTheme="majorBidi" w:hAnsiTheme="majorBidi" w:cstheme="majorBidi"/>
                <w:sz w:val="24"/>
                <w:rtl/>
              </w:rPr>
              <w:t xml:space="preserve"> ذلك، يمكن فهم المؤشر الحالي على أنه يدعم بالتحديد الغاية 16-7 من أهداف التنمية المستدامة التي تصبو إلى "ضمان اتخاذ القرارات على نحو مستجيب للاحتياجات وشامل للجميع وتشاركي وتمثيلي على جميع المستويات"، وكذلك الغاية 17-14 من أهداف التنمية المستدامة التي تدعو إلى تعزيز اتساق السياسات من أجل تحقيق التنمية المستدامة. ومثل جميع المؤشرات، فإنه يستجيب للغاية 11-4 من أهداف التنمية المستدامة، "تعزيز الجهود الرامية إلى حماية وصون التراث الثقافي والطبيعي العالمي".</w:t>
            </w:r>
            <w:r w:rsidRPr="00E0468C">
              <w:rPr>
                <w:rFonts w:asciiTheme="majorBidi" w:hAnsiTheme="majorBidi" w:cstheme="majorBidi"/>
                <w:b/>
                <w:bCs/>
                <w:sz w:val="24"/>
                <w:rtl/>
              </w:rPr>
              <w:t xml:space="preserve"> </w:t>
            </w:r>
          </w:p>
          <w:p w14:paraId="1835D5D7" w14:textId="471F60D8" w:rsidR="005473CF" w:rsidRPr="00E0468C" w:rsidRDefault="00FA2D36" w:rsidP="002F7BA0">
            <w:pPr>
              <w:keepLines/>
              <w:bidi/>
              <w:spacing w:before="120"/>
              <w:jc w:val="both"/>
              <w:rPr>
                <w:rFonts w:asciiTheme="majorBidi" w:hAnsiTheme="majorBidi" w:cstheme="majorBidi"/>
                <w:b/>
                <w:sz w:val="24"/>
              </w:rPr>
            </w:pPr>
            <w:r w:rsidRPr="00E0468C">
              <w:rPr>
                <w:rFonts w:asciiTheme="majorBidi" w:hAnsiTheme="majorBidi" w:cstheme="majorBidi"/>
                <w:bCs/>
                <w:sz w:val="24"/>
                <w:rtl/>
              </w:rPr>
              <w:t>العلاقة بالمؤشرات الأخرى:</w:t>
            </w:r>
            <w:r w:rsidRPr="00E0468C">
              <w:rPr>
                <w:rFonts w:asciiTheme="majorBidi" w:hAnsiTheme="majorBidi" w:cstheme="majorBidi"/>
                <w:b/>
                <w:sz w:val="24"/>
                <w:rtl/>
              </w:rPr>
              <w:t xml:space="preserve"> يوجد أربعة مؤشرات تكميلية تتناول السياسات والتدابير القانونية والإدارية (11-14). </w:t>
            </w:r>
            <w:r w:rsidR="00104953" w:rsidRPr="00E0468C">
              <w:rPr>
                <w:rFonts w:asciiTheme="majorBidi" w:hAnsiTheme="majorBidi" w:cstheme="majorBidi" w:hint="cs"/>
                <w:b/>
                <w:sz w:val="24"/>
                <w:rtl/>
              </w:rPr>
              <w:t>ف</w:t>
            </w:r>
            <w:r w:rsidRPr="00E0468C">
              <w:rPr>
                <w:rFonts w:asciiTheme="majorBidi" w:hAnsiTheme="majorBidi" w:cstheme="majorBidi"/>
                <w:b/>
                <w:sz w:val="24"/>
                <w:rtl/>
              </w:rPr>
              <w:t>يركز المؤشر 11 الحالي على قطاع الثقافة؛ ويسلط المؤشر 12 الضوء على التعليم؛ بينما يدور المؤشر 13 حول جميع مجالات التنمية المستدامة الأخرى. يعد المؤشر الرابع في المجموعة، المؤشر 14، مستعرض</w:t>
            </w:r>
            <w:r w:rsidR="00FD2901" w:rsidRPr="00E0468C">
              <w:rPr>
                <w:rFonts w:asciiTheme="majorBidi" w:hAnsiTheme="majorBidi" w:cstheme="majorBidi" w:hint="cs"/>
                <w:b/>
                <w:sz w:val="24"/>
                <w:rtl/>
              </w:rPr>
              <w:t>ًا</w:t>
            </w:r>
            <w:r w:rsidRPr="00E0468C">
              <w:rPr>
                <w:rFonts w:asciiTheme="majorBidi" w:hAnsiTheme="majorBidi" w:cstheme="majorBidi"/>
                <w:b/>
                <w:sz w:val="24"/>
                <w:rtl/>
              </w:rPr>
              <w:t xml:space="preserve">، ويأخذ في الاعتبار مدى احترام السياسات والتدابير القانونية والإدارية في كافة المجالات للحقوق والممارسات وأشكال التعبير العرفية. بينما ينصب تركيز المؤشر الحالي على السياسات الثقافية، </w:t>
            </w:r>
            <w:r w:rsidR="008D69D7" w:rsidRPr="00E0468C">
              <w:rPr>
                <w:rFonts w:asciiTheme="majorBidi" w:hAnsiTheme="majorBidi" w:cstheme="majorBidi" w:hint="cs"/>
                <w:b/>
                <w:sz w:val="24"/>
                <w:rtl/>
              </w:rPr>
              <w:t>تعد</w:t>
            </w:r>
            <w:r w:rsidRPr="00E0468C">
              <w:rPr>
                <w:rFonts w:asciiTheme="majorBidi" w:hAnsiTheme="majorBidi" w:cstheme="majorBidi"/>
                <w:b/>
                <w:sz w:val="24"/>
                <w:rtl/>
              </w:rPr>
              <w:t xml:space="preserve"> المؤسسات الثقافية وموظفيها وبرامجها وأنشطتها موضوع المؤشرات 1-3</w:t>
            </w:r>
            <w:r w:rsidR="008D69D7" w:rsidRPr="00E0468C">
              <w:rPr>
                <w:rFonts w:asciiTheme="majorBidi" w:hAnsiTheme="majorBidi" w:cstheme="majorBidi" w:hint="cs"/>
                <w:b/>
                <w:sz w:val="24"/>
                <w:rtl/>
              </w:rPr>
              <w:t>،</w:t>
            </w:r>
            <w:r w:rsidRPr="00E0468C">
              <w:rPr>
                <w:rFonts w:asciiTheme="majorBidi" w:hAnsiTheme="majorBidi" w:cstheme="majorBidi"/>
                <w:b/>
                <w:sz w:val="24"/>
                <w:rtl/>
              </w:rPr>
              <w:t xml:space="preserve"> و7-10</w:t>
            </w:r>
            <w:r w:rsidR="008D69D7" w:rsidRPr="00E0468C">
              <w:rPr>
                <w:rFonts w:asciiTheme="majorBidi" w:hAnsiTheme="majorBidi" w:cstheme="majorBidi" w:hint="cs"/>
                <w:b/>
                <w:sz w:val="24"/>
                <w:rtl/>
              </w:rPr>
              <w:t>،</w:t>
            </w:r>
            <w:r w:rsidRPr="00E0468C">
              <w:rPr>
                <w:rFonts w:asciiTheme="majorBidi" w:hAnsiTheme="majorBidi" w:cstheme="majorBidi"/>
                <w:b/>
                <w:sz w:val="24"/>
                <w:rtl/>
              </w:rPr>
              <w:t xml:space="preserve"> و15-25. يولي المؤشر 10 اهتمامًا خاصًا لكيفية استخدام البحث والتوثيق في صنع السياسات عبر القطاعات، بينما ينظر المؤشر 19 ف</w:t>
            </w:r>
            <w:r w:rsidR="00AB070A" w:rsidRPr="00E0468C">
              <w:rPr>
                <w:rFonts w:asciiTheme="majorBidi" w:hAnsiTheme="majorBidi" w:cstheme="majorBidi"/>
                <w:b/>
                <w:sz w:val="24"/>
                <w:rtl/>
              </w:rPr>
              <w:t xml:space="preserve">ي كيفية التعرف على ممارسي </w:t>
            </w:r>
            <w:r w:rsidR="0096488B" w:rsidRPr="00E0468C">
              <w:rPr>
                <w:rFonts w:asciiTheme="majorBidi" w:hAnsiTheme="majorBidi" w:cstheme="majorBidi" w:hint="cs"/>
                <w:b/>
                <w:sz w:val="24"/>
                <w:rtl/>
              </w:rPr>
              <w:t xml:space="preserve">التراث وحملته </w:t>
            </w:r>
            <w:r w:rsidRPr="00E0468C">
              <w:rPr>
                <w:rFonts w:asciiTheme="majorBidi" w:hAnsiTheme="majorBidi" w:cstheme="majorBidi"/>
                <w:b/>
                <w:sz w:val="24"/>
                <w:rtl/>
              </w:rPr>
              <w:t>من خلال السياسات والبرامج.</w:t>
            </w:r>
          </w:p>
        </w:tc>
      </w:tr>
      <w:tr w:rsidR="00896177" w:rsidRPr="00760072" w14:paraId="089D5740" w14:textId="77777777" w:rsidTr="003578FC">
        <w:trPr>
          <w:cantSplit/>
        </w:trPr>
        <w:tc>
          <w:tcPr>
            <w:tcW w:w="786" w:type="pct"/>
            <w:shd w:val="clear" w:color="auto" w:fill="auto"/>
          </w:tcPr>
          <w:p w14:paraId="54AA35F5" w14:textId="285D5DBC" w:rsidR="00896177" w:rsidRPr="00E0468C" w:rsidRDefault="003578FC" w:rsidP="002F7BA0">
            <w:pPr>
              <w:bidi/>
              <w:spacing w:before="120"/>
              <w:jc w:val="both"/>
              <w:rPr>
                <w:rFonts w:asciiTheme="majorBidi" w:hAnsiTheme="majorBidi" w:cstheme="majorBidi"/>
                <w:b/>
                <w:bCs/>
                <w:sz w:val="24"/>
              </w:rPr>
            </w:pPr>
            <w:r w:rsidRPr="00E0468C">
              <w:rPr>
                <w:rFonts w:asciiTheme="majorBidi" w:hAnsiTheme="majorBidi" w:cstheme="majorBidi"/>
                <w:b/>
                <w:bCs/>
                <w:sz w:val="24"/>
                <w:rtl/>
              </w:rPr>
              <w:lastRenderedPageBreak/>
              <w:t xml:space="preserve">الأسس المنطقية </w:t>
            </w:r>
            <w:r w:rsidR="00B41E86" w:rsidRPr="00E0468C">
              <w:rPr>
                <w:rFonts w:asciiTheme="majorBidi" w:hAnsiTheme="majorBidi" w:cstheme="majorBidi" w:hint="cs"/>
                <w:b/>
                <w:bCs/>
                <w:sz w:val="24"/>
                <w:rtl/>
              </w:rPr>
              <w:t>للإجراءات</w:t>
            </w:r>
          </w:p>
        </w:tc>
        <w:tc>
          <w:tcPr>
            <w:tcW w:w="4214" w:type="pct"/>
            <w:gridSpan w:val="2"/>
            <w:shd w:val="clear" w:color="auto" w:fill="auto"/>
          </w:tcPr>
          <w:p w14:paraId="20E4E7CD" w14:textId="015A76D0" w:rsidR="00704766" w:rsidRPr="00E0468C" w:rsidRDefault="00EF7467" w:rsidP="002F7BA0">
            <w:pPr>
              <w:keepLines/>
              <w:bidi/>
              <w:spacing w:before="120"/>
              <w:jc w:val="both"/>
              <w:rPr>
                <w:rFonts w:asciiTheme="majorBidi" w:hAnsiTheme="majorBidi" w:cstheme="majorBidi"/>
                <w:sz w:val="24"/>
              </w:rPr>
            </w:pPr>
            <w:r w:rsidRPr="00E0468C">
              <w:rPr>
                <w:rFonts w:asciiTheme="majorBidi" w:hAnsiTheme="majorBidi" w:cstheme="majorBidi"/>
                <w:sz w:val="24"/>
                <w:rtl/>
              </w:rPr>
              <w:t>تشجع المادة 13(أ) الدول الأطراف على "اعتماد سياسة عامة تستهدف إبراز الدور ال</w:t>
            </w:r>
            <w:r w:rsidR="005100B3" w:rsidRPr="00E0468C">
              <w:rPr>
                <w:rFonts w:asciiTheme="majorBidi" w:hAnsiTheme="majorBidi" w:cstheme="majorBidi"/>
                <w:sz w:val="24"/>
                <w:rtl/>
              </w:rPr>
              <w:t>ذي يؤديه التراث الثقافي غير الما</w:t>
            </w:r>
            <w:r w:rsidRPr="00E0468C">
              <w:rPr>
                <w:rFonts w:asciiTheme="majorBidi" w:hAnsiTheme="majorBidi" w:cstheme="majorBidi"/>
                <w:sz w:val="24"/>
                <w:rtl/>
              </w:rPr>
              <w:t xml:space="preserve">دي في المجتمع وإدماج صون هذا التراث في البرامج التخطيطية"، ومن المرجح أن </w:t>
            </w:r>
            <w:r w:rsidR="00500979" w:rsidRPr="00E0468C">
              <w:rPr>
                <w:rFonts w:asciiTheme="majorBidi" w:hAnsiTheme="majorBidi" w:cstheme="majorBidi" w:hint="cs"/>
                <w:sz w:val="24"/>
                <w:rtl/>
              </w:rPr>
              <w:t>يكون قطاع</w:t>
            </w:r>
            <w:r w:rsidRPr="00E0468C">
              <w:rPr>
                <w:rFonts w:asciiTheme="majorBidi" w:hAnsiTheme="majorBidi" w:cstheme="majorBidi"/>
                <w:sz w:val="24"/>
                <w:rtl/>
              </w:rPr>
              <w:t xml:space="preserve"> الثقافة مجالًا أساسيًا لصنع مثل هذه السياسات وتخطيطها. من المهم معرفة ما إذا كانت تُنفذ هذه السياسات والخطط بالفعل</w:t>
            </w:r>
            <w:r w:rsidR="00414774" w:rsidRPr="00E0468C">
              <w:rPr>
                <w:rFonts w:asciiTheme="majorBidi" w:hAnsiTheme="majorBidi" w:cstheme="majorBidi" w:hint="cs"/>
                <w:sz w:val="24"/>
                <w:rtl/>
              </w:rPr>
              <w:t>،</w:t>
            </w:r>
            <w:r w:rsidRPr="00E0468C">
              <w:rPr>
                <w:rFonts w:asciiTheme="majorBidi" w:hAnsiTheme="majorBidi" w:cstheme="majorBidi"/>
                <w:sz w:val="24"/>
                <w:rtl/>
              </w:rPr>
              <w:t xml:space="preserve"> </w:t>
            </w:r>
            <w:r w:rsidR="003D544F" w:rsidRPr="00E0468C">
              <w:rPr>
                <w:rFonts w:asciiTheme="majorBidi" w:hAnsiTheme="majorBidi" w:cstheme="majorBidi" w:hint="cs"/>
                <w:sz w:val="24"/>
                <w:rtl/>
              </w:rPr>
              <w:t>و</w:t>
            </w:r>
            <w:r w:rsidRPr="00E0468C">
              <w:rPr>
                <w:rFonts w:asciiTheme="majorBidi" w:hAnsiTheme="majorBidi" w:cstheme="majorBidi"/>
                <w:sz w:val="24"/>
                <w:rtl/>
              </w:rPr>
              <w:t xml:space="preserve">مدى </w:t>
            </w:r>
            <w:r w:rsidR="003D544F" w:rsidRPr="00E0468C">
              <w:rPr>
                <w:rFonts w:asciiTheme="majorBidi" w:hAnsiTheme="majorBidi" w:cstheme="majorBidi" w:hint="cs"/>
                <w:sz w:val="24"/>
                <w:rtl/>
              </w:rPr>
              <w:t>هذا التنفيذ</w:t>
            </w:r>
            <w:r w:rsidRPr="00E0468C">
              <w:rPr>
                <w:rFonts w:asciiTheme="majorBidi" w:hAnsiTheme="majorBidi" w:cstheme="majorBidi"/>
                <w:sz w:val="24"/>
                <w:rtl/>
              </w:rPr>
              <w:t>. قد تكون هذه تدابير عامة لإدراج التراث الثقافي غير المادي في السياسات الثقافية الأوسع (</w:t>
            </w:r>
            <w:r w:rsidR="00B113CF" w:rsidRPr="00E0468C">
              <w:rPr>
                <w:rFonts w:asciiTheme="majorBidi" w:hAnsiTheme="majorBidi" w:cstheme="majorBidi"/>
                <w:sz w:val="24"/>
                <w:rtl/>
              </w:rPr>
              <w:t xml:space="preserve">عامل التقييم الشامل </w:t>
            </w:r>
            <w:r w:rsidRPr="00E0468C">
              <w:rPr>
                <w:rFonts w:asciiTheme="majorBidi" w:hAnsiTheme="majorBidi" w:cstheme="majorBidi"/>
                <w:sz w:val="24"/>
                <w:rtl/>
              </w:rPr>
              <w:t xml:space="preserve">11-1) أو قد تتخذ شكل استراتيجيات أو خطط عمل لصون التراث الثقافي غير المادي </w:t>
            </w:r>
            <w:r w:rsidR="00455F0B" w:rsidRPr="00E0468C">
              <w:rPr>
                <w:rFonts w:asciiTheme="majorBidi" w:hAnsiTheme="majorBidi"/>
                <w:sz w:val="24"/>
                <w:rtl/>
              </w:rPr>
              <w:t xml:space="preserve">بشكل عام </w:t>
            </w:r>
            <w:r w:rsidRPr="00E0468C">
              <w:rPr>
                <w:rFonts w:asciiTheme="majorBidi" w:hAnsiTheme="majorBidi" w:cstheme="majorBidi"/>
                <w:sz w:val="24"/>
                <w:rtl/>
              </w:rPr>
              <w:t>أو عناصر محددة من التراث الثقافي غير المادي (عامل التقييم</w:t>
            </w:r>
            <w:r w:rsidR="00AB070A" w:rsidRPr="00E0468C">
              <w:rPr>
                <w:rFonts w:asciiTheme="majorBidi" w:hAnsiTheme="majorBidi" w:cstheme="majorBidi"/>
                <w:sz w:val="24"/>
                <w:rtl/>
              </w:rPr>
              <w:t xml:space="preserve"> الشامل</w:t>
            </w:r>
            <w:r w:rsidRPr="00E0468C">
              <w:rPr>
                <w:rFonts w:asciiTheme="majorBidi" w:hAnsiTheme="majorBidi" w:cstheme="majorBidi"/>
                <w:sz w:val="24"/>
                <w:rtl/>
              </w:rPr>
              <w:t xml:space="preserve"> 11-2). مع استمرار التركيز على عناصر محددة، </w:t>
            </w:r>
            <w:r w:rsidR="00AB070A" w:rsidRPr="00E0468C">
              <w:rPr>
                <w:rFonts w:asciiTheme="majorBidi" w:hAnsiTheme="majorBidi" w:cstheme="majorBidi"/>
                <w:sz w:val="24"/>
                <w:rtl/>
              </w:rPr>
              <w:t>سواء كانت مدرجة أم لا</w:t>
            </w:r>
            <w:r w:rsidRPr="00E0468C">
              <w:rPr>
                <w:rFonts w:asciiTheme="majorBidi" w:hAnsiTheme="majorBidi" w:cstheme="majorBidi"/>
                <w:sz w:val="24"/>
                <w:rtl/>
              </w:rPr>
              <w:t>،</w:t>
            </w:r>
            <w:r w:rsidR="00AB070A" w:rsidRPr="00E0468C">
              <w:rPr>
                <w:rFonts w:asciiTheme="majorBidi" w:hAnsiTheme="majorBidi" w:cstheme="majorBidi"/>
                <w:sz w:val="24"/>
                <w:rtl/>
              </w:rPr>
              <w:t xml:space="preserve"> </w:t>
            </w:r>
            <w:r w:rsidRPr="00E0468C">
              <w:rPr>
                <w:rFonts w:asciiTheme="majorBidi" w:hAnsiTheme="majorBidi" w:cstheme="majorBidi"/>
                <w:sz w:val="24"/>
                <w:rtl/>
              </w:rPr>
              <w:t xml:space="preserve">يشجع </w:t>
            </w:r>
            <w:r w:rsidR="00B113CF" w:rsidRPr="00E0468C">
              <w:rPr>
                <w:rFonts w:asciiTheme="majorBidi" w:hAnsiTheme="majorBidi" w:cstheme="majorBidi"/>
                <w:sz w:val="24"/>
                <w:rtl/>
              </w:rPr>
              <w:t xml:space="preserve">عامل التقييم الشامل </w:t>
            </w:r>
            <w:r w:rsidRPr="00E0468C">
              <w:rPr>
                <w:rFonts w:asciiTheme="majorBidi" w:hAnsiTheme="majorBidi" w:cstheme="majorBidi"/>
                <w:sz w:val="24"/>
                <w:rtl/>
              </w:rPr>
              <w:t>11-</w:t>
            </w:r>
            <w:r w:rsidR="00CA780F" w:rsidRPr="00E0468C">
              <w:rPr>
                <w:rFonts w:asciiTheme="majorBidi" w:hAnsiTheme="majorBidi" w:cstheme="majorBidi" w:hint="cs"/>
                <w:sz w:val="24"/>
                <w:rtl/>
              </w:rPr>
              <w:t>3 الدول</w:t>
            </w:r>
            <w:r w:rsidRPr="00E0468C">
              <w:rPr>
                <w:rFonts w:asciiTheme="majorBidi" w:hAnsiTheme="majorBidi" w:cstheme="majorBidi"/>
                <w:sz w:val="24"/>
                <w:rtl/>
              </w:rPr>
              <w:t xml:space="preserve"> على تقديم الدعم المالي و/أو الفني لصون التراث الثقافي غير المادي. وبذلك، ينبغي إيلاء اهتمام خاص للعناصر المحددة</w:t>
            </w:r>
            <w:r w:rsidR="00443D40" w:rsidRPr="00E0468C">
              <w:rPr>
                <w:rFonts w:asciiTheme="majorBidi" w:hAnsiTheme="majorBidi" w:cstheme="majorBidi"/>
                <w:sz w:val="24"/>
                <w:rtl/>
              </w:rPr>
              <w:t>، من خلال عملية الحصر أو وسائل أخرى</w:t>
            </w:r>
            <w:r w:rsidR="00443D40" w:rsidRPr="00E0468C">
              <w:rPr>
                <w:rFonts w:asciiTheme="majorBidi" w:hAnsiTheme="majorBidi" w:cstheme="majorBidi" w:hint="cs"/>
                <w:sz w:val="24"/>
                <w:rtl/>
              </w:rPr>
              <w:t>،</w:t>
            </w:r>
            <w:r w:rsidRPr="00E0468C">
              <w:rPr>
                <w:rFonts w:asciiTheme="majorBidi" w:hAnsiTheme="majorBidi" w:cstheme="majorBidi"/>
                <w:sz w:val="24"/>
                <w:rtl/>
              </w:rPr>
              <w:t xml:space="preserve"> </w:t>
            </w:r>
            <w:r w:rsidR="00F76867" w:rsidRPr="00E0468C">
              <w:rPr>
                <w:rFonts w:asciiTheme="majorBidi" w:hAnsiTheme="majorBidi" w:cstheme="majorBidi" w:hint="cs"/>
                <w:sz w:val="24"/>
                <w:rtl/>
              </w:rPr>
              <w:t xml:space="preserve">باعتبارها عناصر تحتاج </w:t>
            </w:r>
            <w:r w:rsidRPr="00E0468C">
              <w:rPr>
                <w:rFonts w:asciiTheme="majorBidi" w:hAnsiTheme="majorBidi" w:cstheme="majorBidi"/>
                <w:sz w:val="24"/>
                <w:rtl/>
              </w:rPr>
              <w:t xml:space="preserve">إلى صون عاجل. وأخيرًا، يبحث </w:t>
            </w:r>
            <w:r w:rsidR="00B113CF" w:rsidRPr="00E0468C">
              <w:rPr>
                <w:rFonts w:asciiTheme="majorBidi" w:hAnsiTheme="majorBidi" w:cstheme="majorBidi"/>
                <w:sz w:val="24"/>
                <w:rtl/>
              </w:rPr>
              <w:t xml:space="preserve">عامل التقييم الشامل </w:t>
            </w:r>
            <w:r w:rsidRPr="00E0468C">
              <w:rPr>
                <w:rFonts w:asciiTheme="majorBidi" w:hAnsiTheme="majorBidi" w:cstheme="majorBidi"/>
                <w:sz w:val="24"/>
                <w:rtl/>
              </w:rPr>
              <w:t xml:space="preserve">11-4 في مدى مشاركة الجماعات والمجموعات والأفراد بنشاط في </w:t>
            </w:r>
            <w:r w:rsidR="00066E22" w:rsidRPr="00E0468C">
              <w:rPr>
                <w:rFonts w:asciiTheme="majorBidi" w:hAnsiTheme="majorBidi" w:cstheme="majorBidi"/>
                <w:sz w:val="24"/>
                <w:rtl/>
              </w:rPr>
              <w:t>صون</w:t>
            </w:r>
            <w:r w:rsidRPr="00E0468C">
              <w:rPr>
                <w:rFonts w:asciiTheme="majorBidi" w:hAnsiTheme="majorBidi" w:cstheme="majorBidi"/>
                <w:sz w:val="24"/>
                <w:rtl/>
              </w:rPr>
              <w:t xml:space="preserve"> التراث الثقافي غير المادي وإدارته، </w:t>
            </w:r>
            <w:r w:rsidR="00443D40" w:rsidRPr="00E0468C">
              <w:rPr>
                <w:rFonts w:asciiTheme="majorBidi" w:hAnsiTheme="majorBidi" w:cstheme="majorBidi" w:hint="cs"/>
                <w:sz w:val="24"/>
                <w:rtl/>
              </w:rPr>
              <w:t xml:space="preserve">بما يمتثل </w:t>
            </w:r>
            <w:r w:rsidRPr="00E0468C">
              <w:rPr>
                <w:rFonts w:asciiTheme="majorBidi" w:hAnsiTheme="majorBidi" w:cstheme="majorBidi"/>
                <w:sz w:val="24"/>
                <w:rtl/>
              </w:rPr>
              <w:t>للمادة 15.</w:t>
            </w:r>
          </w:p>
        </w:tc>
      </w:tr>
      <w:tr w:rsidR="00704766" w:rsidRPr="00760072" w14:paraId="7FBA4C9B" w14:textId="77777777" w:rsidTr="003578FC">
        <w:trPr>
          <w:cantSplit/>
        </w:trPr>
        <w:tc>
          <w:tcPr>
            <w:tcW w:w="786" w:type="pct"/>
            <w:shd w:val="clear" w:color="auto" w:fill="auto"/>
          </w:tcPr>
          <w:p w14:paraId="31276D90" w14:textId="3E65401B" w:rsidR="00704766" w:rsidRPr="00E0468C" w:rsidRDefault="003578FC" w:rsidP="002F7BA0">
            <w:pPr>
              <w:bidi/>
              <w:spacing w:before="120" w:after="60"/>
              <w:jc w:val="both"/>
              <w:rPr>
                <w:rFonts w:asciiTheme="majorBidi" w:hAnsiTheme="majorBidi" w:cstheme="majorBidi"/>
                <w:b/>
                <w:bCs/>
                <w:sz w:val="24"/>
              </w:rPr>
            </w:pPr>
            <w:r w:rsidRPr="00E0468C">
              <w:rPr>
                <w:rFonts w:asciiTheme="majorBidi" w:hAnsiTheme="majorBidi" w:cstheme="majorBidi"/>
                <w:b/>
                <w:bCs/>
                <w:sz w:val="24"/>
                <w:rtl/>
              </w:rPr>
              <w:t>المصطلحات الرئيسية</w:t>
            </w:r>
          </w:p>
        </w:tc>
        <w:tc>
          <w:tcPr>
            <w:tcW w:w="4214" w:type="pct"/>
            <w:gridSpan w:val="2"/>
            <w:shd w:val="clear" w:color="auto" w:fill="auto"/>
          </w:tcPr>
          <w:p w14:paraId="67B51074" w14:textId="0EA6C7FD" w:rsidR="00760FDD" w:rsidRPr="00E0468C" w:rsidRDefault="00B41E86" w:rsidP="002F7BA0">
            <w:pPr>
              <w:pStyle w:val="ListParagraph"/>
              <w:numPr>
                <w:ilvl w:val="0"/>
                <w:numId w:val="71"/>
              </w:numPr>
              <w:bidi/>
              <w:spacing w:before="120"/>
              <w:jc w:val="both"/>
              <w:rPr>
                <w:rFonts w:asciiTheme="majorBidi" w:hAnsiTheme="majorBidi" w:cstheme="majorBidi"/>
                <w:sz w:val="24"/>
                <w:szCs w:val="24"/>
                <w:lang w:val="en-GB"/>
              </w:rPr>
            </w:pPr>
            <w:r w:rsidRPr="00E0468C">
              <w:rPr>
                <w:rFonts w:asciiTheme="majorBidi" w:hAnsiTheme="majorBidi" w:cstheme="majorBidi" w:hint="cs"/>
                <w:sz w:val="24"/>
                <w:szCs w:val="24"/>
                <w:rtl/>
                <w:lang w:val="en-GB"/>
              </w:rPr>
              <w:t>ال</w:t>
            </w:r>
            <w:r w:rsidR="00760FDD" w:rsidRPr="00E0468C">
              <w:rPr>
                <w:rFonts w:asciiTheme="majorBidi" w:hAnsiTheme="majorBidi" w:cstheme="majorBidi"/>
                <w:sz w:val="24"/>
                <w:szCs w:val="24"/>
                <w:rtl/>
                <w:lang w:val="en-GB"/>
              </w:rPr>
              <w:t>سياسات</w:t>
            </w:r>
          </w:p>
          <w:p w14:paraId="28452169" w14:textId="1AC76507" w:rsidR="00760FDD" w:rsidRPr="00E0468C" w:rsidRDefault="0025714F" w:rsidP="002F7BA0">
            <w:pPr>
              <w:pStyle w:val="ListParagraph"/>
              <w:numPr>
                <w:ilvl w:val="0"/>
                <w:numId w:val="71"/>
              </w:numPr>
              <w:bidi/>
              <w:spacing w:before="120"/>
              <w:jc w:val="both"/>
              <w:rPr>
                <w:rFonts w:asciiTheme="majorBidi" w:hAnsiTheme="majorBidi" w:cstheme="majorBidi"/>
                <w:sz w:val="24"/>
                <w:szCs w:val="24"/>
                <w:lang w:val="en-GB"/>
              </w:rPr>
            </w:pPr>
            <w:r w:rsidRPr="00E0468C">
              <w:rPr>
                <w:rFonts w:asciiTheme="majorBidi" w:hAnsiTheme="majorBidi" w:cstheme="majorBidi" w:hint="cs"/>
                <w:sz w:val="24"/>
                <w:szCs w:val="24"/>
                <w:rtl/>
                <w:lang w:val="en-GB"/>
              </w:rPr>
              <w:t>ال</w:t>
            </w:r>
            <w:r w:rsidR="001D12E0" w:rsidRPr="00E0468C">
              <w:rPr>
                <w:rFonts w:asciiTheme="majorBidi" w:hAnsiTheme="majorBidi" w:cstheme="majorBidi"/>
                <w:sz w:val="24"/>
                <w:szCs w:val="24"/>
                <w:rtl/>
                <w:lang w:val="en-GB"/>
              </w:rPr>
              <w:t xml:space="preserve">تدابير </w:t>
            </w:r>
            <w:r w:rsidRPr="00E0468C">
              <w:rPr>
                <w:rFonts w:asciiTheme="majorBidi" w:hAnsiTheme="majorBidi" w:cstheme="majorBidi" w:hint="cs"/>
                <w:sz w:val="24"/>
                <w:szCs w:val="24"/>
                <w:rtl/>
                <w:lang w:val="en-GB"/>
              </w:rPr>
              <w:t>ال</w:t>
            </w:r>
            <w:r w:rsidR="00760FDD" w:rsidRPr="00E0468C">
              <w:rPr>
                <w:rFonts w:asciiTheme="majorBidi" w:hAnsiTheme="majorBidi" w:cstheme="majorBidi"/>
                <w:sz w:val="24"/>
                <w:szCs w:val="24"/>
                <w:rtl/>
                <w:lang w:val="en-GB"/>
              </w:rPr>
              <w:t>قانونية</w:t>
            </w:r>
          </w:p>
          <w:p w14:paraId="7F1F88DD" w14:textId="7E9C9A22" w:rsidR="00760FDD" w:rsidRPr="00E0468C" w:rsidRDefault="0025714F" w:rsidP="002F7BA0">
            <w:pPr>
              <w:pStyle w:val="ListParagraph"/>
              <w:numPr>
                <w:ilvl w:val="0"/>
                <w:numId w:val="71"/>
              </w:numPr>
              <w:bidi/>
              <w:spacing w:before="120"/>
              <w:jc w:val="both"/>
              <w:rPr>
                <w:rFonts w:asciiTheme="majorBidi" w:hAnsiTheme="majorBidi" w:cstheme="majorBidi"/>
                <w:sz w:val="24"/>
                <w:szCs w:val="24"/>
                <w:lang w:val="en-GB"/>
              </w:rPr>
            </w:pPr>
            <w:r w:rsidRPr="00E0468C">
              <w:rPr>
                <w:rFonts w:asciiTheme="majorBidi" w:hAnsiTheme="majorBidi" w:cstheme="majorBidi" w:hint="cs"/>
                <w:sz w:val="24"/>
                <w:szCs w:val="24"/>
                <w:rtl/>
                <w:lang w:val="en-GB"/>
              </w:rPr>
              <w:t>ال</w:t>
            </w:r>
            <w:r w:rsidR="001D12E0" w:rsidRPr="00E0468C">
              <w:rPr>
                <w:rFonts w:asciiTheme="majorBidi" w:hAnsiTheme="majorBidi" w:cstheme="majorBidi"/>
                <w:sz w:val="24"/>
                <w:szCs w:val="24"/>
                <w:rtl/>
                <w:lang w:val="en-GB"/>
              </w:rPr>
              <w:t xml:space="preserve">تدابير </w:t>
            </w:r>
            <w:r w:rsidRPr="00E0468C">
              <w:rPr>
                <w:rFonts w:asciiTheme="majorBidi" w:hAnsiTheme="majorBidi" w:cstheme="majorBidi" w:hint="cs"/>
                <w:sz w:val="24"/>
                <w:szCs w:val="24"/>
                <w:rtl/>
                <w:lang w:val="en-GB"/>
              </w:rPr>
              <w:t>ال</w:t>
            </w:r>
            <w:r w:rsidR="00760FDD" w:rsidRPr="00E0468C">
              <w:rPr>
                <w:rFonts w:asciiTheme="majorBidi" w:hAnsiTheme="majorBidi" w:cstheme="majorBidi"/>
                <w:sz w:val="24"/>
                <w:szCs w:val="24"/>
                <w:rtl/>
                <w:lang w:val="en-GB"/>
              </w:rPr>
              <w:t>إدارية</w:t>
            </w:r>
          </w:p>
          <w:p w14:paraId="77D290AD" w14:textId="017F0038" w:rsidR="00760FDD" w:rsidRPr="00E0468C" w:rsidRDefault="001D12E0" w:rsidP="002F7BA0">
            <w:pPr>
              <w:pStyle w:val="ListParagraph"/>
              <w:numPr>
                <w:ilvl w:val="0"/>
                <w:numId w:val="71"/>
              </w:numPr>
              <w:bidi/>
              <w:spacing w:before="120"/>
              <w:jc w:val="both"/>
              <w:rPr>
                <w:rFonts w:asciiTheme="majorBidi" w:hAnsiTheme="majorBidi" w:cstheme="majorBidi"/>
                <w:sz w:val="24"/>
                <w:szCs w:val="24"/>
                <w:lang w:val="en-GB"/>
              </w:rPr>
            </w:pPr>
            <w:r w:rsidRPr="00E0468C">
              <w:rPr>
                <w:rFonts w:asciiTheme="majorBidi" w:hAnsiTheme="majorBidi" w:cstheme="majorBidi"/>
                <w:sz w:val="24"/>
                <w:szCs w:val="24"/>
                <w:rtl/>
                <w:lang w:val="en-GB"/>
              </w:rPr>
              <w:t>تنوع (</w:t>
            </w:r>
            <w:r w:rsidR="00760FDD" w:rsidRPr="00E0468C">
              <w:rPr>
                <w:rFonts w:asciiTheme="majorBidi" w:hAnsiTheme="majorBidi" w:cstheme="majorBidi"/>
                <w:sz w:val="24"/>
                <w:szCs w:val="24"/>
                <w:rtl/>
                <w:lang w:val="en-GB"/>
              </w:rPr>
              <w:t>التراث الثقافي غير المادي وممارسيه)</w:t>
            </w:r>
          </w:p>
          <w:p w14:paraId="64052991" w14:textId="77777777" w:rsidR="00760FDD" w:rsidRPr="00E0468C" w:rsidRDefault="00760FDD" w:rsidP="002F7BA0">
            <w:pPr>
              <w:pStyle w:val="ListParagraph"/>
              <w:numPr>
                <w:ilvl w:val="0"/>
                <w:numId w:val="71"/>
              </w:numPr>
              <w:bidi/>
              <w:spacing w:before="120"/>
              <w:jc w:val="both"/>
              <w:rPr>
                <w:rFonts w:asciiTheme="majorBidi" w:hAnsiTheme="majorBidi" w:cstheme="majorBidi"/>
                <w:sz w:val="24"/>
                <w:szCs w:val="24"/>
                <w:lang w:val="en-GB"/>
              </w:rPr>
            </w:pPr>
            <w:r w:rsidRPr="00E0468C">
              <w:rPr>
                <w:rFonts w:asciiTheme="majorBidi" w:hAnsiTheme="majorBidi" w:cstheme="majorBidi"/>
                <w:sz w:val="24"/>
                <w:szCs w:val="24"/>
                <w:rtl/>
                <w:lang w:val="en-GB"/>
              </w:rPr>
              <w:t>عناصر التراث الثقافي غير المادي</w:t>
            </w:r>
          </w:p>
          <w:p w14:paraId="35188F18" w14:textId="5653413C" w:rsidR="00760FDD" w:rsidRPr="00E0468C" w:rsidRDefault="00760FDD" w:rsidP="002F7BA0">
            <w:pPr>
              <w:pStyle w:val="ListParagraph"/>
              <w:numPr>
                <w:ilvl w:val="0"/>
                <w:numId w:val="71"/>
              </w:numPr>
              <w:bidi/>
              <w:spacing w:before="120"/>
              <w:jc w:val="both"/>
              <w:rPr>
                <w:rFonts w:asciiTheme="majorBidi" w:hAnsiTheme="majorBidi" w:cstheme="majorBidi"/>
                <w:sz w:val="24"/>
                <w:szCs w:val="24"/>
                <w:lang w:val="en-GB"/>
              </w:rPr>
            </w:pPr>
            <w:r w:rsidRPr="00E0468C">
              <w:rPr>
                <w:rFonts w:asciiTheme="majorBidi" w:hAnsiTheme="majorBidi" w:cstheme="majorBidi"/>
                <w:sz w:val="24"/>
                <w:szCs w:val="24"/>
                <w:rtl/>
                <w:lang w:val="en-GB"/>
              </w:rPr>
              <w:t>مدرج (</w:t>
            </w:r>
            <w:r w:rsidR="00AB070A" w:rsidRPr="00E0468C">
              <w:rPr>
                <w:rFonts w:asciiTheme="majorBidi" w:hAnsiTheme="majorBidi" w:cstheme="majorBidi"/>
                <w:sz w:val="24"/>
                <w:szCs w:val="24"/>
                <w:rtl/>
                <w:lang w:val="en-GB"/>
              </w:rPr>
              <w:t>سواء كان مدرجًا أم لا</w:t>
            </w:r>
            <w:r w:rsidRPr="00E0468C">
              <w:rPr>
                <w:rFonts w:asciiTheme="majorBidi" w:hAnsiTheme="majorBidi" w:cstheme="majorBidi"/>
                <w:sz w:val="24"/>
                <w:szCs w:val="24"/>
                <w:rtl/>
                <w:lang w:val="en-GB"/>
              </w:rPr>
              <w:t>)</w:t>
            </w:r>
          </w:p>
          <w:p w14:paraId="0A366962" w14:textId="505AC89B" w:rsidR="00760FDD" w:rsidRPr="00E0468C" w:rsidRDefault="0025714F" w:rsidP="002F7BA0">
            <w:pPr>
              <w:pStyle w:val="ListParagraph"/>
              <w:numPr>
                <w:ilvl w:val="0"/>
                <w:numId w:val="71"/>
              </w:numPr>
              <w:bidi/>
              <w:spacing w:before="120"/>
              <w:jc w:val="both"/>
              <w:rPr>
                <w:rFonts w:asciiTheme="majorBidi" w:hAnsiTheme="majorBidi" w:cstheme="majorBidi"/>
                <w:sz w:val="24"/>
                <w:szCs w:val="24"/>
                <w:lang w:val="en-GB"/>
              </w:rPr>
            </w:pPr>
            <w:r w:rsidRPr="00E0468C">
              <w:rPr>
                <w:rFonts w:asciiTheme="majorBidi" w:hAnsiTheme="majorBidi" w:cstheme="majorBidi" w:hint="cs"/>
                <w:sz w:val="24"/>
                <w:szCs w:val="24"/>
                <w:rtl/>
                <w:lang w:val="en-GB"/>
              </w:rPr>
              <w:t>ال</w:t>
            </w:r>
            <w:r w:rsidR="00760FDD" w:rsidRPr="00E0468C">
              <w:rPr>
                <w:rFonts w:asciiTheme="majorBidi" w:hAnsiTheme="majorBidi" w:cstheme="majorBidi"/>
                <w:sz w:val="24"/>
                <w:szCs w:val="24"/>
                <w:rtl/>
                <w:lang w:val="en-GB"/>
              </w:rPr>
              <w:t xml:space="preserve">مشاركة أو </w:t>
            </w:r>
            <w:r w:rsidRPr="00E0468C">
              <w:rPr>
                <w:rFonts w:asciiTheme="majorBidi" w:hAnsiTheme="majorBidi" w:cstheme="majorBidi" w:hint="cs"/>
                <w:sz w:val="24"/>
                <w:szCs w:val="24"/>
                <w:rtl/>
                <w:lang w:val="en-GB"/>
              </w:rPr>
              <w:t>ال</w:t>
            </w:r>
            <w:r w:rsidR="00AB070A" w:rsidRPr="00E0468C">
              <w:rPr>
                <w:rFonts w:asciiTheme="majorBidi" w:hAnsiTheme="majorBidi" w:cstheme="majorBidi"/>
                <w:sz w:val="24"/>
                <w:szCs w:val="24"/>
                <w:rtl/>
                <w:lang w:val="en-GB"/>
              </w:rPr>
              <w:t>إشراك</w:t>
            </w:r>
          </w:p>
          <w:p w14:paraId="120C5F8D" w14:textId="61183805" w:rsidR="00644AB8" w:rsidRPr="00E0468C" w:rsidRDefault="001D12E0" w:rsidP="002F7BA0">
            <w:pPr>
              <w:pStyle w:val="ListParagraph"/>
              <w:numPr>
                <w:ilvl w:val="0"/>
                <w:numId w:val="71"/>
              </w:numPr>
              <w:bidi/>
              <w:spacing w:before="120" w:after="120"/>
              <w:jc w:val="both"/>
              <w:rPr>
                <w:rFonts w:asciiTheme="majorBidi" w:hAnsiTheme="majorBidi" w:cstheme="majorBidi"/>
                <w:sz w:val="24"/>
                <w:szCs w:val="24"/>
                <w:lang w:val="en-GB"/>
              </w:rPr>
            </w:pPr>
            <w:r w:rsidRPr="00E0468C">
              <w:rPr>
                <w:rFonts w:asciiTheme="majorBidi" w:hAnsiTheme="majorBidi" w:cstheme="majorBidi"/>
                <w:sz w:val="24"/>
                <w:szCs w:val="24"/>
                <w:rtl/>
                <w:lang w:val="en-GB"/>
              </w:rPr>
              <w:t xml:space="preserve">جماعات أو </w:t>
            </w:r>
            <w:r w:rsidR="00760FDD" w:rsidRPr="00E0468C">
              <w:rPr>
                <w:rFonts w:asciiTheme="majorBidi" w:hAnsiTheme="majorBidi" w:cstheme="majorBidi"/>
                <w:sz w:val="24"/>
                <w:szCs w:val="24"/>
                <w:rtl/>
                <w:lang w:val="en-GB"/>
              </w:rPr>
              <w:t>مجموعات أو</w:t>
            </w:r>
            <w:r w:rsidR="00AB070A" w:rsidRPr="00E0468C">
              <w:rPr>
                <w:rFonts w:asciiTheme="majorBidi" w:hAnsiTheme="majorBidi" w:cstheme="majorBidi"/>
                <w:sz w:val="24"/>
                <w:szCs w:val="24"/>
                <w:rtl/>
                <w:lang w:val="en-GB"/>
              </w:rPr>
              <w:t xml:space="preserve"> أحيانًا</w:t>
            </w:r>
            <w:r w:rsidRPr="00E0468C">
              <w:rPr>
                <w:rFonts w:asciiTheme="majorBidi" w:hAnsiTheme="majorBidi" w:cstheme="majorBidi"/>
                <w:sz w:val="24"/>
                <w:szCs w:val="24"/>
                <w:rtl/>
                <w:lang w:val="en-GB"/>
              </w:rPr>
              <w:t xml:space="preserve"> </w:t>
            </w:r>
            <w:r w:rsidR="00760FDD" w:rsidRPr="00E0468C">
              <w:rPr>
                <w:rFonts w:asciiTheme="majorBidi" w:hAnsiTheme="majorBidi" w:cstheme="majorBidi"/>
                <w:sz w:val="24"/>
                <w:szCs w:val="24"/>
                <w:rtl/>
                <w:lang w:val="en-GB"/>
              </w:rPr>
              <w:t>أفراد</w:t>
            </w:r>
          </w:p>
        </w:tc>
      </w:tr>
    </w:tbl>
    <w:p w14:paraId="2919D2D7" w14:textId="77777777" w:rsidR="0054175C" w:rsidRPr="00760072" w:rsidRDefault="0054175C" w:rsidP="002F7BA0">
      <w:pPr>
        <w:bidi/>
        <w:jc w:val="center"/>
        <w:rPr>
          <w:rFonts w:asciiTheme="majorBidi" w:hAnsiTheme="majorBidi" w:cstheme="majorBidi"/>
          <w:b/>
          <w:sz w:val="24"/>
        </w:rPr>
        <w:sectPr w:rsidR="0054175C" w:rsidRPr="00760072" w:rsidSect="000F25BA">
          <w:footerReference w:type="default" r:id="rId8"/>
          <w:pgSz w:w="11906" w:h="16838" w:code="9"/>
          <w:pgMar w:top="1418" w:right="1134" w:bottom="1134" w:left="1134" w:header="397" w:footer="284" w:gutter="0"/>
          <w:cols w:space="708"/>
          <w:docGrid w:linePitch="360"/>
        </w:sectPr>
      </w:pPr>
    </w:p>
    <w:p w14:paraId="5EBA57BF" w14:textId="488E6FA3" w:rsidR="0054175C" w:rsidRPr="00443D40" w:rsidRDefault="003578FC" w:rsidP="002F7BA0">
      <w:pPr>
        <w:keepNext/>
        <w:bidi/>
        <w:jc w:val="center"/>
        <w:rPr>
          <w:rFonts w:asciiTheme="majorBidi" w:hAnsiTheme="majorBidi" w:cstheme="majorBidi"/>
          <w:b/>
          <w:bCs/>
          <w:sz w:val="28"/>
          <w:szCs w:val="28"/>
        </w:rPr>
      </w:pPr>
      <w:r w:rsidRPr="00443D40">
        <w:rPr>
          <w:rFonts w:asciiTheme="majorBidi" w:hAnsiTheme="majorBidi" w:cstheme="majorBidi"/>
          <w:b/>
          <w:bCs/>
          <w:sz w:val="28"/>
          <w:szCs w:val="28"/>
          <w:rtl/>
        </w:rPr>
        <w:t xml:space="preserve">التوجيهات المحددة بشأن الرصد </w:t>
      </w:r>
      <w:r w:rsidR="00443D40">
        <w:rPr>
          <w:rFonts w:asciiTheme="majorBidi" w:hAnsiTheme="majorBidi" w:cstheme="majorBidi" w:hint="cs"/>
          <w:b/>
          <w:bCs/>
          <w:sz w:val="28"/>
          <w:szCs w:val="28"/>
          <w:rtl/>
        </w:rPr>
        <w:t>وال</w:t>
      </w:r>
      <w:r w:rsidR="00AA1253">
        <w:rPr>
          <w:rFonts w:asciiTheme="majorBidi" w:hAnsiTheme="majorBidi" w:cstheme="majorBidi" w:hint="cs"/>
          <w:b/>
          <w:bCs/>
          <w:sz w:val="28"/>
          <w:szCs w:val="28"/>
          <w:rtl/>
        </w:rPr>
        <w:t>تقرير</w:t>
      </w:r>
      <w:r w:rsidRPr="00443D40">
        <w:rPr>
          <w:rFonts w:asciiTheme="majorBidi" w:hAnsiTheme="majorBidi" w:cstheme="majorBidi"/>
          <w:b/>
          <w:bCs/>
          <w:sz w:val="28"/>
          <w:szCs w:val="28"/>
          <w:rtl/>
        </w:rPr>
        <w:t xml:space="preserve"> 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760072" w14:paraId="2F6A8BF9" w14:textId="77777777" w:rsidTr="003578FC">
        <w:tc>
          <w:tcPr>
            <w:tcW w:w="730" w:type="pct"/>
            <w:shd w:val="clear" w:color="auto" w:fill="auto"/>
          </w:tcPr>
          <w:p w14:paraId="2DC52BD4" w14:textId="26EF30D5" w:rsidR="002C28BA" w:rsidRPr="00760072" w:rsidRDefault="003578FC" w:rsidP="002F7BA0">
            <w:pPr>
              <w:bidi/>
              <w:spacing w:before="120"/>
              <w:rPr>
                <w:rFonts w:asciiTheme="majorBidi" w:hAnsiTheme="majorBidi" w:cstheme="majorBidi"/>
                <w:b/>
                <w:bCs/>
                <w:sz w:val="24"/>
              </w:rPr>
            </w:pPr>
            <w:r w:rsidRPr="00760072">
              <w:rPr>
                <w:rFonts w:asciiTheme="majorBidi" w:hAnsiTheme="majorBidi" w:cstheme="majorBidi"/>
                <w:b/>
                <w:bCs/>
                <w:sz w:val="24"/>
                <w:rtl/>
              </w:rPr>
              <w:t>فوائد الرصد</w:t>
            </w:r>
          </w:p>
        </w:tc>
        <w:tc>
          <w:tcPr>
            <w:tcW w:w="4270" w:type="pct"/>
            <w:shd w:val="clear" w:color="auto" w:fill="auto"/>
          </w:tcPr>
          <w:p w14:paraId="002F3E02" w14:textId="0BA3BB46" w:rsidR="002C28BA" w:rsidRPr="00760072" w:rsidRDefault="001343B1" w:rsidP="002F7BA0">
            <w:pPr>
              <w:keepLines/>
              <w:bidi/>
              <w:spacing w:before="120"/>
              <w:jc w:val="both"/>
              <w:rPr>
                <w:rFonts w:asciiTheme="majorBidi" w:hAnsiTheme="majorBidi" w:cstheme="majorBidi"/>
                <w:sz w:val="24"/>
              </w:rPr>
            </w:pPr>
            <w:r w:rsidRPr="00760072">
              <w:rPr>
                <w:rFonts w:asciiTheme="majorBidi" w:hAnsiTheme="majorBidi" w:cstheme="majorBidi"/>
                <w:sz w:val="24"/>
                <w:rtl/>
              </w:rPr>
              <w:t>تعد سياسات الرصد والتدابير القانونية والإدارية وسيلة مهمة لإثبات فعاليتها. ويمكن أن تشير خبرة التنفيذ الفعلية إلى ما إذا كانت السياسات واقعية و</w:t>
            </w:r>
            <w:r w:rsidR="00D81AF1">
              <w:rPr>
                <w:rFonts w:asciiTheme="majorBidi" w:hAnsiTheme="majorBidi" w:cstheme="majorBidi" w:hint="cs"/>
                <w:sz w:val="24"/>
                <w:rtl/>
              </w:rPr>
              <w:t>قابلة للتحقيق</w:t>
            </w:r>
            <w:r w:rsidRPr="00760072">
              <w:rPr>
                <w:rFonts w:asciiTheme="majorBidi" w:hAnsiTheme="majorBidi" w:cstheme="majorBidi"/>
                <w:sz w:val="24"/>
                <w:rtl/>
              </w:rPr>
              <w:t xml:space="preserve">، أو قد تحتاج إلى تغييرات أو تعديلات. يمكن لرصد الاستراتيجيات وخطط العمل المحددة </w:t>
            </w:r>
            <w:r w:rsidR="00D81AF1">
              <w:rPr>
                <w:rFonts w:asciiTheme="majorBidi" w:hAnsiTheme="majorBidi" w:cstheme="majorBidi" w:hint="cs"/>
                <w:sz w:val="24"/>
                <w:rtl/>
              </w:rPr>
              <w:t>أن ي</w:t>
            </w:r>
            <w:r w:rsidRPr="00760072">
              <w:rPr>
                <w:rFonts w:asciiTheme="majorBidi" w:hAnsiTheme="majorBidi" w:cstheme="majorBidi"/>
                <w:sz w:val="24"/>
                <w:rtl/>
              </w:rPr>
              <w:t xml:space="preserve">حدد الممارسات الجيدة أو </w:t>
            </w:r>
            <w:r w:rsidR="00D81AF1">
              <w:rPr>
                <w:rFonts w:asciiTheme="majorBidi" w:hAnsiTheme="majorBidi" w:cstheme="majorBidi" w:hint="cs"/>
                <w:sz w:val="24"/>
                <w:rtl/>
              </w:rPr>
              <w:t>ي</w:t>
            </w:r>
            <w:r w:rsidRPr="00760072">
              <w:rPr>
                <w:rFonts w:asciiTheme="majorBidi" w:hAnsiTheme="majorBidi" w:cstheme="majorBidi"/>
                <w:sz w:val="24"/>
                <w:rtl/>
              </w:rPr>
              <w:t xml:space="preserve">كشف عن الجهود غير </w:t>
            </w:r>
            <w:r w:rsidR="006804BC" w:rsidRPr="00760072">
              <w:rPr>
                <w:rFonts w:asciiTheme="majorBidi" w:hAnsiTheme="majorBidi" w:cstheme="majorBidi" w:hint="cs"/>
                <w:sz w:val="24"/>
                <w:rtl/>
              </w:rPr>
              <w:t xml:space="preserve">الفعالة </w:t>
            </w:r>
            <w:r w:rsidR="00D81AF1">
              <w:rPr>
                <w:rFonts w:asciiTheme="majorBidi" w:hAnsiTheme="majorBidi" w:cstheme="majorBidi" w:hint="cs"/>
                <w:sz w:val="24"/>
                <w:rtl/>
              </w:rPr>
              <w:t xml:space="preserve">التي </w:t>
            </w:r>
            <w:r w:rsidR="006804BC" w:rsidRPr="00760072">
              <w:rPr>
                <w:rFonts w:asciiTheme="majorBidi" w:hAnsiTheme="majorBidi" w:cstheme="majorBidi" w:hint="cs"/>
                <w:sz w:val="24"/>
                <w:rtl/>
              </w:rPr>
              <w:t>تحتاج</w:t>
            </w:r>
            <w:r w:rsidRPr="00760072">
              <w:rPr>
                <w:rFonts w:asciiTheme="majorBidi" w:hAnsiTheme="majorBidi" w:cstheme="majorBidi"/>
                <w:sz w:val="24"/>
                <w:rtl/>
              </w:rPr>
              <w:t xml:space="preserve"> إلى تصحيح أو هجر. كما يمكن أن يشير إلى الفجوات في السياسات التي قد تحتاج إلى معالجة. ويمكن أن يكشف رصد عملية صنع السياسات نفسه عما إذا كانت هناك حواجز تعوق أوسع مشاركة ممكنة للجماعات والمجموعات والأفراد في إدارة التراث الثقافي غير </w:t>
            </w:r>
            <w:r w:rsidR="006804BC" w:rsidRPr="00760072">
              <w:rPr>
                <w:rFonts w:asciiTheme="majorBidi" w:hAnsiTheme="majorBidi" w:cstheme="majorBidi" w:hint="cs"/>
                <w:sz w:val="24"/>
                <w:rtl/>
              </w:rPr>
              <w:t>المادي،</w:t>
            </w:r>
            <w:r w:rsidRPr="00760072">
              <w:rPr>
                <w:rFonts w:asciiTheme="majorBidi" w:hAnsiTheme="majorBidi" w:cstheme="majorBidi"/>
                <w:sz w:val="24"/>
                <w:rtl/>
              </w:rPr>
              <w:t xml:space="preserve"> كما قد </w:t>
            </w:r>
            <w:r w:rsidR="00BF1E50">
              <w:rPr>
                <w:rFonts w:asciiTheme="majorBidi" w:hAnsiTheme="majorBidi" w:cstheme="majorBidi" w:hint="cs"/>
                <w:sz w:val="24"/>
                <w:rtl/>
              </w:rPr>
              <w:t>ي</w:t>
            </w:r>
            <w:r w:rsidRPr="00760072">
              <w:rPr>
                <w:rFonts w:asciiTheme="majorBidi" w:hAnsiTheme="majorBidi" w:cstheme="majorBidi"/>
                <w:sz w:val="24"/>
                <w:rtl/>
              </w:rPr>
              <w:t xml:space="preserve">شير إلى طرق للتغلب عليها. </w:t>
            </w:r>
            <w:r w:rsidR="00BF1E50">
              <w:rPr>
                <w:rFonts w:asciiTheme="majorBidi" w:hAnsiTheme="majorBidi" w:cstheme="majorBidi" w:hint="cs"/>
                <w:sz w:val="24"/>
                <w:rtl/>
              </w:rPr>
              <w:t>و</w:t>
            </w:r>
            <w:r w:rsidRPr="00760072">
              <w:rPr>
                <w:rFonts w:asciiTheme="majorBidi" w:hAnsiTheme="majorBidi" w:cstheme="majorBidi"/>
                <w:sz w:val="24"/>
                <w:rtl/>
              </w:rPr>
              <w:t>يمكن للرصد على الصعيد العالمي أن يتتبع مدى جودة إدراج الاتفاقية في أطر سياسات الدول</w:t>
            </w:r>
            <w:r w:rsidR="00BF1E50">
              <w:rPr>
                <w:rFonts w:asciiTheme="majorBidi" w:hAnsiTheme="majorBidi" w:cstheme="majorBidi" w:hint="cs"/>
                <w:sz w:val="24"/>
                <w:rtl/>
              </w:rPr>
              <w:t>،</w:t>
            </w:r>
            <w:r w:rsidRPr="00760072">
              <w:rPr>
                <w:rFonts w:asciiTheme="majorBidi" w:hAnsiTheme="majorBidi" w:cstheme="majorBidi"/>
                <w:sz w:val="24"/>
                <w:rtl/>
              </w:rPr>
              <w:t xml:space="preserve"> ويمكنه تحديد نماذج جيدة لمثل هذا الإدراج.</w:t>
            </w:r>
          </w:p>
        </w:tc>
      </w:tr>
      <w:tr w:rsidR="0054175C" w:rsidRPr="00760072" w14:paraId="59707CE7" w14:textId="77777777" w:rsidTr="003578FC">
        <w:tc>
          <w:tcPr>
            <w:tcW w:w="730" w:type="pct"/>
            <w:shd w:val="clear" w:color="auto" w:fill="auto"/>
          </w:tcPr>
          <w:p w14:paraId="2588A09C" w14:textId="0A28811E" w:rsidR="0054175C" w:rsidRPr="00760072" w:rsidRDefault="003578FC" w:rsidP="002F7BA0">
            <w:pPr>
              <w:bidi/>
              <w:spacing w:before="120"/>
              <w:rPr>
                <w:rFonts w:asciiTheme="majorBidi" w:hAnsiTheme="majorBidi" w:cstheme="majorBidi"/>
                <w:b/>
                <w:bCs/>
                <w:sz w:val="24"/>
              </w:rPr>
            </w:pPr>
            <w:r w:rsidRPr="00760072">
              <w:rPr>
                <w:rFonts w:asciiTheme="majorBidi" w:hAnsiTheme="majorBidi" w:cstheme="majorBidi"/>
                <w:b/>
                <w:bCs/>
                <w:sz w:val="24"/>
                <w:rtl/>
              </w:rPr>
              <w:t>مصادر البيانات وجمعها</w:t>
            </w:r>
          </w:p>
        </w:tc>
        <w:tc>
          <w:tcPr>
            <w:tcW w:w="4270" w:type="pct"/>
            <w:shd w:val="clear" w:color="auto" w:fill="auto"/>
          </w:tcPr>
          <w:p w14:paraId="058637AC" w14:textId="0065F699" w:rsidR="0054175C" w:rsidRPr="00760072" w:rsidRDefault="004146DF" w:rsidP="002F7BA0">
            <w:pPr>
              <w:bidi/>
              <w:spacing w:before="120"/>
              <w:jc w:val="both"/>
              <w:rPr>
                <w:rFonts w:asciiTheme="majorBidi" w:hAnsiTheme="majorBidi" w:cstheme="majorBidi"/>
                <w:sz w:val="24"/>
              </w:rPr>
            </w:pPr>
            <w:r w:rsidRPr="00760072">
              <w:rPr>
                <w:rFonts w:asciiTheme="majorBidi" w:hAnsiTheme="majorBidi" w:cstheme="majorBidi"/>
                <w:sz w:val="24"/>
                <w:rtl/>
              </w:rPr>
              <w:t xml:space="preserve">عادة ما تعد وزارات الثقافة المؤسسات التي تضع السياسات والتدابير القانونية والإدارية في مجال الثقافة. ويمكن أن تتراوح هذه التدابير من قانون وطني بشأن التراث الثقافي (أو </w:t>
            </w:r>
            <w:r w:rsidR="00BF1E50">
              <w:rPr>
                <w:rFonts w:asciiTheme="majorBidi" w:hAnsiTheme="majorBidi" w:cstheme="majorBidi" w:hint="cs"/>
                <w:sz w:val="24"/>
                <w:rtl/>
              </w:rPr>
              <w:t>تحديدًا</w:t>
            </w:r>
            <w:r w:rsidRPr="00760072">
              <w:rPr>
                <w:rFonts w:asciiTheme="majorBidi" w:hAnsiTheme="majorBidi" w:cstheme="majorBidi"/>
                <w:sz w:val="24"/>
                <w:rtl/>
              </w:rPr>
              <w:t xml:space="preserve"> بشأن التراث الثقافي غير المادي) إلى لوائح إدارية مختلفة. تُصاغ السياسات عامة بما يتماشى مع هذه القوانين، ووفقًا لدورات التخطيط المنتظمة (على سبيل المثال، الخطط الخمسية أو الخطط العشرية). كما قد تتوفر استراتيجيات أو خطط عمل دون وطنية لصون التراث الثقافي غير المادي، بما يشمل خطط لعناصر محددة، حتى لو لم تكن تحت الإشراف المباشر لوزارة مركزية. إذا كان لدى الدولة هيئة استشارية أو آلية تنسيق (راجع </w:t>
            </w:r>
            <w:r w:rsidR="00F02FD1" w:rsidRPr="00760072">
              <w:rPr>
                <w:rFonts w:asciiTheme="majorBidi" w:hAnsiTheme="majorBidi" w:cstheme="majorBidi"/>
                <w:sz w:val="24"/>
                <w:rtl/>
              </w:rPr>
              <w:t xml:space="preserve">عامل التقييم الشامل </w:t>
            </w:r>
            <w:r w:rsidRPr="00760072">
              <w:rPr>
                <w:rFonts w:asciiTheme="majorBidi" w:hAnsiTheme="majorBidi" w:cstheme="majorBidi"/>
                <w:sz w:val="24"/>
                <w:rtl/>
              </w:rPr>
              <w:t>1-3)، فقد يت</w:t>
            </w:r>
            <w:r w:rsidR="00BF1E50">
              <w:rPr>
                <w:rFonts w:asciiTheme="majorBidi" w:hAnsiTheme="majorBidi" w:cstheme="majorBidi" w:hint="cs"/>
                <w:sz w:val="24"/>
                <w:rtl/>
              </w:rPr>
              <w:t>ت</w:t>
            </w:r>
            <w:r w:rsidRPr="00760072">
              <w:rPr>
                <w:rFonts w:asciiTheme="majorBidi" w:hAnsiTheme="majorBidi" w:cstheme="majorBidi"/>
                <w:sz w:val="24"/>
                <w:rtl/>
              </w:rPr>
              <w:t>بع هذا الكيان خطط عمل الصون. إذا وُفر الدعم المالي العام و/أو الدعم الفني للصون، تح</w:t>
            </w:r>
            <w:r w:rsidR="00BF1E50">
              <w:rPr>
                <w:rFonts w:asciiTheme="majorBidi" w:hAnsiTheme="majorBidi" w:cstheme="majorBidi" w:hint="cs"/>
                <w:sz w:val="24"/>
                <w:rtl/>
              </w:rPr>
              <w:t>ت</w:t>
            </w:r>
            <w:r w:rsidRPr="00760072">
              <w:rPr>
                <w:rFonts w:asciiTheme="majorBidi" w:hAnsiTheme="majorBidi" w:cstheme="majorBidi"/>
                <w:sz w:val="24"/>
                <w:rtl/>
              </w:rPr>
              <w:t xml:space="preserve">فظ </w:t>
            </w:r>
            <w:r w:rsidR="00BF1E50">
              <w:rPr>
                <w:rFonts w:asciiTheme="majorBidi" w:hAnsiTheme="majorBidi" w:cstheme="majorBidi" w:hint="cs"/>
                <w:sz w:val="24"/>
                <w:rtl/>
              </w:rPr>
              <w:t>ال</w:t>
            </w:r>
            <w:r w:rsidRPr="00760072">
              <w:rPr>
                <w:rFonts w:asciiTheme="majorBidi" w:hAnsiTheme="majorBidi" w:cstheme="majorBidi"/>
                <w:sz w:val="24"/>
                <w:rtl/>
              </w:rPr>
              <w:t xml:space="preserve">هيئة (الهيئات) الممولة </w:t>
            </w:r>
            <w:r w:rsidR="0006610B">
              <w:rPr>
                <w:rFonts w:asciiTheme="majorBidi" w:hAnsiTheme="majorBidi" w:cstheme="majorBidi" w:hint="cs"/>
                <w:sz w:val="24"/>
                <w:rtl/>
              </w:rPr>
              <w:t>ب</w:t>
            </w:r>
            <w:r w:rsidRPr="00760072">
              <w:rPr>
                <w:rFonts w:asciiTheme="majorBidi" w:hAnsiTheme="majorBidi" w:cstheme="majorBidi"/>
                <w:sz w:val="24"/>
                <w:rtl/>
              </w:rPr>
              <w:t>السجلات. قد يخضع مدى مشاركة الجماعات والمجموعات والأفراد بنشاط في عملية وضع السياسات ل</w:t>
            </w:r>
            <w:r w:rsidR="0006610B">
              <w:rPr>
                <w:rFonts w:asciiTheme="majorBidi" w:hAnsiTheme="majorBidi" w:cstheme="majorBidi" w:hint="cs"/>
                <w:sz w:val="24"/>
                <w:rtl/>
              </w:rPr>
              <w:t>أحكام ا</w:t>
            </w:r>
            <w:r w:rsidRPr="00760072">
              <w:rPr>
                <w:rFonts w:asciiTheme="majorBidi" w:hAnsiTheme="majorBidi" w:cstheme="majorBidi"/>
                <w:sz w:val="24"/>
                <w:rtl/>
              </w:rPr>
              <w:t>لمبادئ التوجيهية أو المتطلبات الواضحة لمثل هذه المشاركة، أو قد يتطلب المزيد من الملاحظات النوعية لعملية وضع السياسات.</w:t>
            </w:r>
          </w:p>
          <w:p w14:paraId="09128167" w14:textId="02CF2E7E" w:rsidR="0054175C" w:rsidRPr="00760072" w:rsidRDefault="003578FC" w:rsidP="002F7BA0">
            <w:pPr>
              <w:keepNext/>
              <w:keepLines/>
              <w:bidi/>
              <w:spacing w:before="120" w:after="60"/>
              <w:jc w:val="both"/>
              <w:rPr>
                <w:rFonts w:asciiTheme="majorBidi" w:hAnsiTheme="majorBidi" w:cstheme="majorBidi"/>
                <w:b/>
                <w:sz w:val="24"/>
              </w:rPr>
            </w:pPr>
            <w:r w:rsidRPr="00760072">
              <w:rPr>
                <w:rFonts w:asciiTheme="majorBidi" w:hAnsiTheme="majorBidi" w:cstheme="majorBidi"/>
                <w:b/>
                <w:bCs/>
                <w:sz w:val="24"/>
                <w:rtl/>
              </w:rPr>
              <w:t>مصادر البيانات المحتملة</w:t>
            </w:r>
          </w:p>
          <w:p w14:paraId="62781C71" w14:textId="03D1A45C" w:rsidR="004146DF" w:rsidRPr="00760072" w:rsidRDefault="001D12E0" w:rsidP="002F7BA0">
            <w:pPr>
              <w:pStyle w:val="ListParagraph"/>
              <w:keepLines/>
              <w:numPr>
                <w:ilvl w:val="0"/>
                <w:numId w:val="73"/>
              </w:numPr>
              <w:bidi/>
              <w:spacing w:before="120"/>
              <w:jc w:val="both"/>
              <w:rPr>
                <w:rFonts w:asciiTheme="majorBidi" w:hAnsiTheme="majorBidi" w:cstheme="majorBidi"/>
                <w:sz w:val="24"/>
                <w:szCs w:val="24"/>
                <w:lang w:val="en-GB"/>
              </w:rPr>
            </w:pPr>
            <w:r w:rsidRPr="00760072">
              <w:rPr>
                <w:rFonts w:asciiTheme="majorBidi" w:hAnsiTheme="majorBidi" w:cstheme="majorBidi"/>
                <w:sz w:val="24"/>
                <w:szCs w:val="24"/>
                <w:rtl/>
                <w:lang w:val="en-GB"/>
              </w:rPr>
              <w:t xml:space="preserve">جرائد/ مجلات رسمية أو </w:t>
            </w:r>
            <w:proofErr w:type="spellStart"/>
            <w:r w:rsidRPr="00760072">
              <w:rPr>
                <w:rFonts w:asciiTheme="majorBidi" w:hAnsiTheme="majorBidi" w:cstheme="majorBidi"/>
                <w:sz w:val="24"/>
                <w:szCs w:val="24"/>
                <w:rtl/>
                <w:lang w:val="en-GB"/>
              </w:rPr>
              <w:t>موجازات</w:t>
            </w:r>
            <w:proofErr w:type="spellEnd"/>
            <w:r w:rsidRPr="00760072">
              <w:rPr>
                <w:rFonts w:asciiTheme="majorBidi" w:hAnsiTheme="majorBidi" w:cstheme="majorBidi"/>
                <w:sz w:val="24"/>
                <w:szCs w:val="24"/>
                <w:rtl/>
                <w:lang w:val="en-GB"/>
              </w:rPr>
              <w:t xml:space="preserve"> قوانين ولوائح </w:t>
            </w:r>
            <w:r w:rsidR="004146DF" w:rsidRPr="00760072">
              <w:rPr>
                <w:rFonts w:asciiTheme="majorBidi" w:hAnsiTheme="majorBidi" w:cstheme="majorBidi"/>
                <w:sz w:val="24"/>
                <w:szCs w:val="24"/>
                <w:rtl/>
                <w:lang w:val="en-GB"/>
              </w:rPr>
              <w:t>قانونية</w:t>
            </w:r>
          </w:p>
          <w:p w14:paraId="34E7FBEF" w14:textId="62B1F7A3" w:rsidR="004146DF" w:rsidRPr="00760072" w:rsidRDefault="004146DF" w:rsidP="002F7BA0">
            <w:pPr>
              <w:pStyle w:val="ListParagraph"/>
              <w:keepLines/>
              <w:numPr>
                <w:ilvl w:val="0"/>
                <w:numId w:val="73"/>
              </w:numPr>
              <w:bidi/>
              <w:spacing w:before="120"/>
              <w:jc w:val="both"/>
              <w:rPr>
                <w:rFonts w:asciiTheme="majorBidi" w:hAnsiTheme="majorBidi" w:cstheme="majorBidi"/>
                <w:sz w:val="24"/>
                <w:szCs w:val="24"/>
                <w:lang w:val="en-GB"/>
              </w:rPr>
            </w:pPr>
            <w:r w:rsidRPr="00760072">
              <w:rPr>
                <w:rFonts w:asciiTheme="majorBidi" w:hAnsiTheme="majorBidi" w:cstheme="majorBidi"/>
                <w:sz w:val="24"/>
                <w:szCs w:val="24"/>
                <w:rtl/>
                <w:lang w:val="en-GB"/>
              </w:rPr>
              <w:t xml:space="preserve">وثائق سياسة </w:t>
            </w:r>
            <w:r w:rsidR="0006610B">
              <w:rPr>
                <w:rFonts w:asciiTheme="majorBidi" w:hAnsiTheme="majorBidi" w:cstheme="majorBidi" w:hint="cs"/>
                <w:sz w:val="24"/>
                <w:szCs w:val="24"/>
                <w:rtl/>
                <w:lang w:val="en-GB"/>
              </w:rPr>
              <w:t>ل</w:t>
            </w:r>
            <w:r w:rsidRPr="00760072">
              <w:rPr>
                <w:rFonts w:asciiTheme="majorBidi" w:hAnsiTheme="majorBidi" w:cstheme="majorBidi"/>
                <w:sz w:val="24"/>
                <w:szCs w:val="24"/>
                <w:rtl/>
                <w:lang w:val="en-GB"/>
              </w:rPr>
              <w:t>وزارة</w:t>
            </w:r>
            <w:r w:rsidR="001D12E0" w:rsidRPr="00760072">
              <w:rPr>
                <w:rFonts w:asciiTheme="majorBidi" w:hAnsiTheme="majorBidi" w:cstheme="majorBidi"/>
                <w:sz w:val="24"/>
                <w:szCs w:val="24"/>
                <w:rtl/>
                <w:lang w:val="en-GB"/>
              </w:rPr>
              <w:t xml:space="preserve"> الثقافة أو هيئات </w:t>
            </w:r>
            <w:r w:rsidRPr="00760072">
              <w:rPr>
                <w:rFonts w:asciiTheme="majorBidi" w:hAnsiTheme="majorBidi" w:cstheme="majorBidi"/>
                <w:sz w:val="24"/>
                <w:szCs w:val="24"/>
                <w:rtl/>
                <w:lang w:val="en-GB"/>
              </w:rPr>
              <w:t>تشريعية</w:t>
            </w:r>
          </w:p>
          <w:p w14:paraId="42B8D458" w14:textId="663A265B" w:rsidR="004146DF" w:rsidRPr="00760072" w:rsidRDefault="004146DF" w:rsidP="002F7BA0">
            <w:pPr>
              <w:pStyle w:val="ListParagraph"/>
              <w:keepLines/>
              <w:numPr>
                <w:ilvl w:val="0"/>
                <w:numId w:val="73"/>
              </w:numPr>
              <w:bidi/>
              <w:spacing w:before="120"/>
              <w:jc w:val="both"/>
              <w:rPr>
                <w:rFonts w:asciiTheme="majorBidi" w:hAnsiTheme="majorBidi" w:cstheme="majorBidi"/>
                <w:sz w:val="24"/>
                <w:szCs w:val="24"/>
                <w:lang w:val="en-GB"/>
              </w:rPr>
            </w:pPr>
            <w:r w:rsidRPr="00760072">
              <w:rPr>
                <w:rFonts w:asciiTheme="majorBidi" w:hAnsiTheme="majorBidi" w:cstheme="majorBidi"/>
                <w:sz w:val="24"/>
                <w:szCs w:val="24"/>
                <w:rtl/>
                <w:lang w:val="en-GB"/>
              </w:rPr>
              <w:t xml:space="preserve">ميزانيات وخطط </w:t>
            </w:r>
            <w:r w:rsidR="001D12E0" w:rsidRPr="00760072">
              <w:rPr>
                <w:rFonts w:asciiTheme="majorBidi" w:hAnsiTheme="majorBidi" w:cstheme="majorBidi"/>
                <w:sz w:val="24"/>
                <w:szCs w:val="24"/>
                <w:rtl/>
                <w:lang w:val="en-GB"/>
              </w:rPr>
              <w:t xml:space="preserve">عمل وزارة الثقافة و/أو وكالات تمويل أخرى </w:t>
            </w:r>
            <w:r w:rsidRPr="00760072">
              <w:rPr>
                <w:rFonts w:asciiTheme="majorBidi" w:hAnsiTheme="majorBidi" w:cstheme="majorBidi"/>
                <w:sz w:val="24"/>
                <w:szCs w:val="24"/>
                <w:rtl/>
                <w:lang w:val="en-GB"/>
              </w:rPr>
              <w:t>داعمة لصون التراث الثقافي غير المادي</w:t>
            </w:r>
          </w:p>
          <w:p w14:paraId="47B7099D" w14:textId="77777777" w:rsidR="004146DF" w:rsidRPr="00760072" w:rsidRDefault="004146DF" w:rsidP="002F7BA0">
            <w:pPr>
              <w:pStyle w:val="ListParagraph"/>
              <w:keepLines/>
              <w:numPr>
                <w:ilvl w:val="0"/>
                <w:numId w:val="73"/>
              </w:numPr>
              <w:bidi/>
              <w:spacing w:before="120"/>
              <w:jc w:val="both"/>
              <w:rPr>
                <w:rFonts w:asciiTheme="majorBidi" w:hAnsiTheme="majorBidi" w:cstheme="majorBidi"/>
                <w:sz w:val="24"/>
                <w:szCs w:val="24"/>
                <w:lang w:val="en-GB"/>
              </w:rPr>
            </w:pPr>
            <w:r w:rsidRPr="00760072">
              <w:rPr>
                <w:rFonts w:asciiTheme="majorBidi" w:hAnsiTheme="majorBidi" w:cstheme="majorBidi"/>
                <w:sz w:val="24"/>
                <w:szCs w:val="24"/>
                <w:rtl/>
                <w:lang w:val="en-GB"/>
              </w:rPr>
              <w:t>ملفات ترشيح عناصر مقترح إدراجها في قائمة الصون العاجل أو القائمة التمثيلية</w:t>
            </w:r>
          </w:p>
          <w:p w14:paraId="53F8971D" w14:textId="1462094A" w:rsidR="004146DF" w:rsidRPr="00760072" w:rsidRDefault="001D12E0" w:rsidP="002F7BA0">
            <w:pPr>
              <w:pStyle w:val="ListParagraph"/>
              <w:keepLines/>
              <w:numPr>
                <w:ilvl w:val="0"/>
                <w:numId w:val="73"/>
              </w:numPr>
              <w:bidi/>
              <w:spacing w:before="120"/>
              <w:jc w:val="both"/>
              <w:rPr>
                <w:rFonts w:asciiTheme="majorBidi" w:hAnsiTheme="majorBidi" w:cstheme="majorBidi"/>
                <w:sz w:val="24"/>
                <w:szCs w:val="24"/>
                <w:lang w:val="en-GB"/>
              </w:rPr>
            </w:pPr>
            <w:r w:rsidRPr="00760072">
              <w:rPr>
                <w:rFonts w:asciiTheme="majorBidi" w:hAnsiTheme="majorBidi" w:cstheme="majorBidi"/>
                <w:sz w:val="24"/>
                <w:szCs w:val="24"/>
                <w:rtl/>
                <w:lang w:val="en-GB"/>
              </w:rPr>
              <w:t xml:space="preserve">ملفات </w:t>
            </w:r>
            <w:r w:rsidR="004146DF" w:rsidRPr="00760072">
              <w:rPr>
                <w:rFonts w:asciiTheme="majorBidi" w:hAnsiTheme="majorBidi" w:cstheme="majorBidi"/>
                <w:sz w:val="24"/>
                <w:szCs w:val="24"/>
                <w:rtl/>
                <w:lang w:val="en-GB"/>
              </w:rPr>
              <w:t xml:space="preserve">ترشيح عناصر مقترح إدراجها في قائمة أو سجل على الصعيد </w:t>
            </w:r>
            <w:r w:rsidR="0006610B">
              <w:rPr>
                <w:rFonts w:asciiTheme="majorBidi" w:hAnsiTheme="majorBidi" w:cstheme="majorBidi" w:hint="cs"/>
                <w:sz w:val="24"/>
                <w:szCs w:val="24"/>
                <w:rtl/>
                <w:lang w:val="en-GB"/>
              </w:rPr>
              <w:t>القطري</w:t>
            </w:r>
            <w:r w:rsidR="004146DF" w:rsidRPr="00760072">
              <w:rPr>
                <w:rFonts w:asciiTheme="majorBidi" w:hAnsiTheme="majorBidi" w:cstheme="majorBidi"/>
                <w:sz w:val="24"/>
                <w:szCs w:val="24"/>
                <w:rtl/>
                <w:lang w:val="en-GB"/>
              </w:rPr>
              <w:t xml:space="preserve">، في حالة طلب خطة </w:t>
            </w:r>
            <w:r w:rsidR="004146DF" w:rsidRPr="00760072">
              <w:rPr>
                <w:rFonts w:asciiTheme="majorBidi" w:hAnsiTheme="majorBidi" w:cstheme="majorBidi"/>
                <w:sz w:val="24"/>
                <w:szCs w:val="24"/>
                <w:rtl/>
                <w:lang w:val="en-GB"/>
              </w:rPr>
              <w:lastRenderedPageBreak/>
              <w:t>صون كجزء من هذه الملفات</w:t>
            </w:r>
          </w:p>
          <w:p w14:paraId="28EAF973" w14:textId="77CA0C71" w:rsidR="00C0185F" w:rsidRPr="00760072" w:rsidRDefault="001D12E0" w:rsidP="002F7BA0">
            <w:pPr>
              <w:pStyle w:val="ListParagraph"/>
              <w:numPr>
                <w:ilvl w:val="0"/>
                <w:numId w:val="73"/>
              </w:numPr>
              <w:bidi/>
              <w:spacing w:before="120"/>
              <w:jc w:val="both"/>
              <w:rPr>
                <w:rFonts w:asciiTheme="majorBidi" w:hAnsiTheme="majorBidi" w:cstheme="majorBidi"/>
                <w:sz w:val="24"/>
                <w:szCs w:val="24"/>
                <w:lang w:val="en-GB"/>
              </w:rPr>
            </w:pPr>
            <w:r w:rsidRPr="00760072">
              <w:rPr>
                <w:rFonts w:asciiTheme="majorBidi" w:hAnsiTheme="majorBidi" w:cstheme="majorBidi"/>
                <w:sz w:val="24"/>
                <w:szCs w:val="24"/>
                <w:rtl/>
                <w:lang w:val="en-GB"/>
              </w:rPr>
              <w:t>مسوحات أو بحوث أُجريت مع جماعات ومجموعات و</w:t>
            </w:r>
            <w:r w:rsidR="004146DF" w:rsidRPr="00760072">
              <w:rPr>
                <w:rFonts w:asciiTheme="majorBidi" w:hAnsiTheme="majorBidi" w:cstheme="majorBidi"/>
                <w:sz w:val="24"/>
                <w:szCs w:val="24"/>
                <w:rtl/>
                <w:lang w:val="en-GB"/>
              </w:rPr>
              <w:t>أفراد لتقييم مشاركتهم في عمليات وضع السياسة</w:t>
            </w:r>
          </w:p>
        </w:tc>
      </w:tr>
    </w:tbl>
    <w:p w14:paraId="22C1172A" w14:textId="77777777" w:rsidR="00320242" w:rsidRPr="00760072" w:rsidRDefault="00320242" w:rsidP="002F7BA0">
      <w:pPr>
        <w:bidi/>
        <w:rPr>
          <w:rFonts w:asciiTheme="majorBidi" w:hAnsiTheme="majorBidi" w:cstheme="majorBidi"/>
          <w:sz w:val="24"/>
        </w:rPr>
      </w:pPr>
    </w:p>
    <w:sectPr w:rsidR="00320242" w:rsidRPr="00760072"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CCA3" w14:textId="77777777" w:rsidR="0029167E" w:rsidRDefault="0029167E" w:rsidP="002938F2">
      <w:r>
        <w:separator/>
      </w:r>
    </w:p>
    <w:p w14:paraId="52918C1D" w14:textId="77777777" w:rsidR="0029167E" w:rsidRDefault="0029167E"/>
  </w:endnote>
  <w:endnote w:type="continuationSeparator" w:id="0">
    <w:p w14:paraId="3C4C34D2" w14:textId="77777777" w:rsidR="0029167E" w:rsidRDefault="0029167E" w:rsidP="002938F2">
      <w:r>
        <w:continuationSeparator/>
      </w:r>
    </w:p>
    <w:p w14:paraId="529333E1" w14:textId="77777777" w:rsidR="0029167E" w:rsidRDefault="0029167E"/>
  </w:endnote>
  <w:endnote w:type="continuationNotice" w:id="1">
    <w:p w14:paraId="75BF0110" w14:textId="77777777" w:rsidR="0029167E" w:rsidRDefault="002916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BEC7" w14:textId="2D83C38D" w:rsidR="00C04344" w:rsidRPr="000A0709" w:rsidRDefault="00675858" w:rsidP="00122D71">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7F150C">
      <w:rPr>
        <w:rFonts w:ascii="Arial" w:hAnsi="Arial" w:cs="Arial"/>
        <w:noProof/>
        <w:rtl/>
      </w:rPr>
      <w:t>3</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8340" w14:textId="77777777" w:rsidR="0029167E" w:rsidRDefault="0029167E" w:rsidP="002938F2">
      <w:r>
        <w:separator/>
      </w:r>
    </w:p>
  </w:footnote>
  <w:footnote w:type="continuationSeparator" w:id="0">
    <w:p w14:paraId="451BEEB4" w14:textId="77777777" w:rsidR="0029167E" w:rsidRDefault="0029167E" w:rsidP="002938F2">
      <w:r>
        <w:continuationSeparator/>
      </w:r>
    </w:p>
    <w:p w14:paraId="5BA1475B" w14:textId="77777777" w:rsidR="0029167E" w:rsidRDefault="0029167E"/>
  </w:footnote>
  <w:footnote w:type="continuationNotice" w:id="1">
    <w:p w14:paraId="5FAC43EE" w14:textId="77777777" w:rsidR="0029167E" w:rsidRDefault="002916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657BCE"/>
    <w:multiLevelType w:val="hybridMultilevel"/>
    <w:tmpl w:val="DDAE1DA4"/>
    <w:lvl w:ilvl="0" w:tplc="2C0423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6C33F02"/>
    <w:multiLevelType w:val="multilevel"/>
    <w:tmpl w:val="66B48418"/>
    <w:lvl w:ilvl="0">
      <w:start w:val="1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9C11B4"/>
    <w:multiLevelType w:val="hybridMultilevel"/>
    <w:tmpl w:val="F0C65E24"/>
    <w:lvl w:ilvl="0" w:tplc="66FE8A3E">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5"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6"/>
  </w:num>
  <w:num w:numId="3">
    <w:abstractNumId w:val="12"/>
  </w:num>
  <w:num w:numId="4">
    <w:abstractNumId w:val="57"/>
  </w:num>
  <w:num w:numId="5">
    <w:abstractNumId w:val="47"/>
  </w:num>
  <w:num w:numId="6">
    <w:abstractNumId w:val="5"/>
  </w:num>
  <w:num w:numId="7">
    <w:abstractNumId w:val="16"/>
  </w:num>
  <w:num w:numId="8">
    <w:abstractNumId w:val="25"/>
  </w:num>
  <w:num w:numId="9">
    <w:abstractNumId w:val="50"/>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40"/>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5"/>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8"/>
  </w:num>
  <w:num w:numId="35">
    <w:abstractNumId w:val="21"/>
  </w:num>
  <w:num w:numId="36">
    <w:abstractNumId w:val="42"/>
  </w:num>
  <w:num w:numId="37">
    <w:abstractNumId w:val="18"/>
  </w:num>
  <w:num w:numId="38">
    <w:abstractNumId w:val="10"/>
  </w:num>
  <w:num w:numId="39">
    <w:abstractNumId w:val="7"/>
  </w:num>
  <w:num w:numId="40">
    <w:abstractNumId w:val="20"/>
  </w:num>
  <w:num w:numId="41">
    <w:abstractNumId w:val="56"/>
  </w:num>
  <w:num w:numId="42">
    <w:abstractNumId w:val="52"/>
  </w:num>
  <w:num w:numId="43">
    <w:abstractNumId w:val="29"/>
  </w:num>
  <w:num w:numId="44">
    <w:abstractNumId w:val="13"/>
  </w:num>
  <w:num w:numId="45">
    <w:abstractNumId w:val="54"/>
  </w:num>
  <w:num w:numId="46">
    <w:abstractNumId w:val="6"/>
  </w:num>
  <w:num w:numId="47">
    <w:abstractNumId w:val="36"/>
  </w:num>
  <w:num w:numId="48">
    <w:abstractNumId w:val="58"/>
  </w:num>
  <w:num w:numId="49">
    <w:abstractNumId w:val="32"/>
  </w:num>
  <w:num w:numId="50">
    <w:abstractNumId w:val="30"/>
  </w:num>
  <w:num w:numId="51">
    <w:abstractNumId w:val="27"/>
  </w:num>
  <w:num w:numId="52">
    <w:abstractNumId w:val="39"/>
  </w:num>
  <w:num w:numId="53">
    <w:abstractNumId w:val="15"/>
  </w:num>
  <w:num w:numId="54">
    <w:abstractNumId w:val="1"/>
  </w:num>
  <w:num w:numId="55">
    <w:abstractNumId w:val="34"/>
  </w:num>
  <w:num w:numId="56">
    <w:abstractNumId w:val="41"/>
  </w:num>
  <w:num w:numId="57">
    <w:abstractNumId w:val="0"/>
  </w:num>
  <w:num w:numId="58">
    <w:abstractNumId w:val="4"/>
  </w:num>
  <w:num w:numId="59">
    <w:abstractNumId w:val="45"/>
  </w:num>
  <w:num w:numId="60">
    <w:abstractNumId w:val="2"/>
  </w:num>
  <w:num w:numId="61">
    <w:abstractNumId w:val="31"/>
  </w:num>
  <w:num w:numId="62">
    <w:abstractNumId w:val="22"/>
  </w:num>
  <w:num w:numId="63">
    <w:abstractNumId w:val="49"/>
  </w:num>
  <w:num w:numId="64">
    <w:abstractNumId w:val="19"/>
  </w:num>
  <w:num w:numId="65">
    <w:abstractNumId w:val="24"/>
  </w:num>
  <w:num w:numId="66">
    <w:abstractNumId w:val="46"/>
  </w:num>
  <w:num w:numId="67">
    <w:abstractNumId w:val="37"/>
  </w:num>
  <w:num w:numId="68">
    <w:abstractNumId w:val="14"/>
  </w:num>
  <w:num w:numId="69">
    <w:abstractNumId w:val="43"/>
  </w:num>
  <w:num w:numId="70">
    <w:abstractNumId w:val="33"/>
  </w:num>
  <w:num w:numId="71">
    <w:abstractNumId w:val="28"/>
  </w:num>
  <w:num w:numId="72">
    <w:abstractNumId w:val="51"/>
  </w:num>
  <w:num w:numId="73">
    <w:abstractNumId w:val="8"/>
  </w:num>
  <w:num w:numId="74">
    <w:abstractNumId w:val="35"/>
  </w:num>
  <w:num w:numId="75">
    <w:abstractNumId w:val="38"/>
  </w:num>
  <w:num w:numId="76">
    <w:abstractNumId w:val="3"/>
  </w:num>
  <w:num w:numId="7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17"/>
    <w:rsid w:val="000016A4"/>
    <w:rsid w:val="000019DB"/>
    <w:rsid w:val="000047CC"/>
    <w:rsid w:val="00005627"/>
    <w:rsid w:val="00005BA5"/>
    <w:rsid w:val="00005BFA"/>
    <w:rsid w:val="00006F66"/>
    <w:rsid w:val="00010E2D"/>
    <w:rsid w:val="000120FD"/>
    <w:rsid w:val="00013A65"/>
    <w:rsid w:val="0001506E"/>
    <w:rsid w:val="00015B9D"/>
    <w:rsid w:val="0001601A"/>
    <w:rsid w:val="00021382"/>
    <w:rsid w:val="00021831"/>
    <w:rsid w:val="00022C19"/>
    <w:rsid w:val="00031A37"/>
    <w:rsid w:val="00036843"/>
    <w:rsid w:val="00047E58"/>
    <w:rsid w:val="0005061A"/>
    <w:rsid w:val="00054DA4"/>
    <w:rsid w:val="00054FDC"/>
    <w:rsid w:val="000632E2"/>
    <w:rsid w:val="0006610B"/>
    <w:rsid w:val="00066E2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740"/>
    <w:rsid w:val="000C65E4"/>
    <w:rsid w:val="000C7EE0"/>
    <w:rsid w:val="000D1EBC"/>
    <w:rsid w:val="000D260B"/>
    <w:rsid w:val="000D345F"/>
    <w:rsid w:val="000D7375"/>
    <w:rsid w:val="000E2EE7"/>
    <w:rsid w:val="000F25BA"/>
    <w:rsid w:val="000F2B3F"/>
    <w:rsid w:val="000F7E6F"/>
    <w:rsid w:val="00104953"/>
    <w:rsid w:val="001056D2"/>
    <w:rsid w:val="00106B72"/>
    <w:rsid w:val="00106D19"/>
    <w:rsid w:val="0011334A"/>
    <w:rsid w:val="00115830"/>
    <w:rsid w:val="00116489"/>
    <w:rsid w:val="0011750D"/>
    <w:rsid w:val="00121B41"/>
    <w:rsid w:val="00122D71"/>
    <w:rsid w:val="001301DF"/>
    <w:rsid w:val="001343B1"/>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314D"/>
    <w:rsid w:val="001A431C"/>
    <w:rsid w:val="001A5519"/>
    <w:rsid w:val="001A7C3A"/>
    <w:rsid w:val="001B5C26"/>
    <w:rsid w:val="001C08BC"/>
    <w:rsid w:val="001C56BA"/>
    <w:rsid w:val="001C6D7D"/>
    <w:rsid w:val="001D00B5"/>
    <w:rsid w:val="001D12E0"/>
    <w:rsid w:val="001D291C"/>
    <w:rsid w:val="001D3479"/>
    <w:rsid w:val="001D3B29"/>
    <w:rsid w:val="001D59C8"/>
    <w:rsid w:val="001E4EEB"/>
    <w:rsid w:val="001E6026"/>
    <w:rsid w:val="001F216A"/>
    <w:rsid w:val="001F3696"/>
    <w:rsid w:val="001F37CA"/>
    <w:rsid w:val="0020163D"/>
    <w:rsid w:val="00203AD7"/>
    <w:rsid w:val="002042CC"/>
    <w:rsid w:val="00204B37"/>
    <w:rsid w:val="00205F08"/>
    <w:rsid w:val="002074D6"/>
    <w:rsid w:val="00210CBC"/>
    <w:rsid w:val="002119C5"/>
    <w:rsid w:val="00222AF2"/>
    <w:rsid w:val="00223C3B"/>
    <w:rsid w:val="00224346"/>
    <w:rsid w:val="0022597C"/>
    <w:rsid w:val="00226582"/>
    <w:rsid w:val="00230F77"/>
    <w:rsid w:val="00232E4E"/>
    <w:rsid w:val="00234AE4"/>
    <w:rsid w:val="00235CB5"/>
    <w:rsid w:val="00237935"/>
    <w:rsid w:val="00237E43"/>
    <w:rsid w:val="00241024"/>
    <w:rsid w:val="00244D39"/>
    <w:rsid w:val="00245E26"/>
    <w:rsid w:val="002539EA"/>
    <w:rsid w:val="002542FD"/>
    <w:rsid w:val="00254B4E"/>
    <w:rsid w:val="00254CA1"/>
    <w:rsid w:val="0025714F"/>
    <w:rsid w:val="0026007A"/>
    <w:rsid w:val="002638C0"/>
    <w:rsid w:val="00265E42"/>
    <w:rsid w:val="00266B45"/>
    <w:rsid w:val="0027198B"/>
    <w:rsid w:val="00273658"/>
    <w:rsid w:val="00281AA4"/>
    <w:rsid w:val="00282A9D"/>
    <w:rsid w:val="00286C0C"/>
    <w:rsid w:val="00287687"/>
    <w:rsid w:val="00290D5F"/>
    <w:rsid w:val="0029167E"/>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2F7BA0"/>
    <w:rsid w:val="003043A9"/>
    <w:rsid w:val="0030454E"/>
    <w:rsid w:val="00320242"/>
    <w:rsid w:val="00322A3A"/>
    <w:rsid w:val="00324A32"/>
    <w:rsid w:val="00325D6E"/>
    <w:rsid w:val="00327441"/>
    <w:rsid w:val="00334977"/>
    <w:rsid w:val="00337194"/>
    <w:rsid w:val="00342EE8"/>
    <w:rsid w:val="00344D78"/>
    <w:rsid w:val="00346517"/>
    <w:rsid w:val="00351CCB"/>
    <w:rsid w:val="0035285A"/>
    <w:rsid w:val="0035648A"/>
    <w:rsid w:val="003578FC"/>
    <w:rsid w:val="00362B41"/>
    <w:rsid w:val="00363995"/>
    <w:rsid w:val="00364E5E"/>
    <w:rsid w:val="00370E9B"/>
    <w:rsid w:val="00377E4B"/>
    <w:rsid w:val="00383BA9"/>
    <w:rsid w:val="003845B0"/>
    <w:rsid w:val="00385356"/>
    <w:rsid w:val="00385B34"/>
    <w:rsid w:val="00386C08"/>
    <w:rsid w:val="00387794"/>
    <w:rsid w:val="00387D88"/>
    <w:rsid w:val="0039446E"/>
    <w:rsid w:val="003A0FFD"/>
    <w:rsid w:val="003A260A"/>
    <w:rsid w:val="003A2BC4"/>
    <w:rsid w:val="003A3866"/>
    <w:rsid w:val="003B1761"/>
    <w:rsid w:val="003B2AEE"/>
    <w:rsid w:val="003B31BE"/>
    <w:rsid w:val="003B4758"/>
    <w:rsid w:val="003B504D"/>
    <w:rsid w:val="003C083C"/>
    <w:rsid w:val="003C7065"/>
    <w:rsid w:val="003D2E0D"/>
    <w:rsid w:val="003D5113"/>
    <w:rsid w:val="003D544F"/>
    <w:rsid w:val="003D5BFC"/>
    <w:rsid w:val="003D6E10"/>
    <w:rsid w:val="003E0C0F"/>
    <w:rsid w:val="003E0E28"/>
    <w:rsid w:val="003E19D5"/>
    <w:rsid w:val="003E76A8"/>
    <w:rsid w:val="003F5B90"/>
    <w:rsid w:val="00404856"/>
    <w:rsid w:val="00406ED7"/>
    <w:rsid w:val="004108B6"/>
    <w:rsid w:val="0041110F"/>
    <w:rsid w:val="0041300C"/>
    <w:rsid w:val="004146DF"/>
    <w:rsid w:val="00414774"/>
    <w:rsid w:val="00414B68"/>
    <w:rsid w:val="00422141"/>
    <w:rsid w:val="00430ED2"/>
    <w:rsid w:val="00434773"/>
    <w:rsid w:val="004367F5"/>
    <w:rsid w:val="00443D40"/>
    <w:rsid w:val="004458C9"/>
    <w:rsid w:val="00447C66"/>
    <w:rsid w:val="00455F0B"/>
    <w:rsid w:val="004573CC"/>
    <w:rsid w:val="00461977"/>
    <w:rsid w:val="00462F38"/>
    <w:rsid w:val="00471B34"/>
    <w:rsid w:val="00474A60"/>
    <w:rsid w:val="00474AFE"/>
    <w:rsid w:val="00477E66"/>
    <w:rsid w:val="00480809"/>
    <w:rsid w:val="004831C7"/>
    <w:rsid w:val="00486A5E"/>
    <w:rsid w:val="00493F92"/>
    <w:rsid w:val="004A0C2B"/>
    <w:rsid w:val="004A136B"/>
    <w:rsid w:val="004A5B2E"/>
    <w:rsid w:val="004A610E"/>
    <w:rsid w:val="004C20E2"/>
    <w:rsid w:val="004E056C"/>
    <w:rsid w:val="004E0FA0"/>
    <w:rsid w:val="004E1A47"/>
    <w:rsid w:val="004E2817"/>
    <w:rsid w:val="004E2AE8"/>
    <w:rsid w:val="004E418A"/>
    <w:rsid w:val="00500979"/>
    <w:rsid w:val="005016FB"/>
    <w:rsid w:val="00504256"/>
    <w:rsid w:val="005100B3"/>
    <w:rsid w:val="00511D17"/>
    <w:rsid w:val="005157E2"/>
    <w:rsid w:val="0051699F"/>
    <w:rsid w:val="00516DE3"/>
    <w:rsid w:val="005300BF"/>
    <w:rsid w:val="00530817"/>
    <w:rsid w:val="00532631"/>
    <w:rsid w:val="005414A1"/>
    <w:rsid w:val="0054175C"/>
    <w:rsid w:val="00542FCD"/>
    <w:rsid w:val="005473CF"/>
    <w:rsid w:val="00560387"/>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4184"/>
    <w:rsid w:val="00605202"/>
    <w:rsid w:val="00612C9C"/>
    <w:rsid w:val="00617864"/>
    <w:rsid w:val="00617884"/>
    <w:rsid w:val="00621092"/>
    <w:rsid w:val="00621208"/>
    <w:rsid w:val="00632B30"/>
    <w:rsid w:val="006340A1"/>
    <w:rsid w:val="00636760"/>
    <w:rsid w:val="00644AB8"/>
    <w:rsid w:val="00644B92"/>
    <w:rsid w:val="00645B77"/>
    <w:rsid w:val="0064723D"/>
    <w:rsid w:val="0065099D"/>
    <w:rsid w:val="006515C9"/>
    <w:rsid w:val="00651944"/>
    <w:rsid w:val="00652318"/>
    <w:rsid w:val="00652484"/>
    <w:rsid w:val="00653314"/>
    <w:rsid w:val="00665D03"/>
    <w:rsid w:val="0067005F"/>
    <w:rsid w:val="0067015A"/>
    <w:rsid w:val="006728F7"/>
    <w:rsid w:val="006736EC"/>
    <w:rsid w:val="00673D90"/>
    <w:rsid w:val="00675858"/>
    <w:rsid w:val="00676B1D"/>
    <w:rsid w:val="00676C1E"/>
    <w:rsid w:val="006804BC"/>
    <w:rsid w:val="006847F0"/>
    <w:rsid w:val="00686D60"/>
    <w:rsid w:val="00691869"/>
    <w:rsid w:val="00696CB6"/>
    <w:rsid w:val="006A0D86"/>
    <w:rsid w:val="006A49AE"/>
    <w:rsid w:val="006A56C0"/>
    <w:rsid w:val="006C0911"/>
    <w:rsid w:val="006C737A"/>
    <w:rsid w:val="006D27B5"/>
    <w:rsid w:val="006D324F"/>
    <w:rsid w:val="006D46FB"/>
    <w:rsid w:val="006E29C0"/>
    <w:rsid w:val="006E752A"/>
    <w:rsid w:val="006E7CF0"/>
    <w:rsid w:val="006F3E83"/>
    <w:rsid w:val="006F4B83"/>
    <w:rsid w:val="006F7F47"/>
    <w:rsid w:val="00701458"/>
    <w:rsid w:val="00701D7E"/>
    <w:rsid w:val="00704766"/>
    <w:rsid w:val="007119B8"/>
    <w:rsid w:val="00716656"/>
    <w:rsid w:val="0072415E"/>
    <w:rsid w:val="007247D7"/>
    <w:rsid w:val="007250E3"/>
    <w:rsid w:val="007277C8"/>
    <w:rsid w:val="00732057"/>
    <w:rsid w:val="007368A2"/>
    <w:rsid w:val="007418AE"/>
    <w:rsid w:val="00741AF5"/>
    <w:rsid w:val="00742DD1"/>
    <w:rsid w:val="0074360F"/>
    <w:rsid w:val="00743845"/>
    <w:rsid w:val="00746204"/>
    <w:rsid w:val="00747715"/>
    <w:rsid w:val="00747F86"/>
    <w:rsid w:val="00750138"/>
    <w:rsid w:val="00753DA3"/>
    <w:rsid w:val="00760072"/>
    <w:rsid w:val="00760FDD"/>
    <w:rsid w:val="007610D3"/>
    <w:rsid w:val="007629DB"/>
    <w:rsid w:val="00764F50"/>
    <w:rsid w:val="00767871"/>
    <w:rsid w:val="00770A92"/>
    <w:rsid w:val="00774D9C"/>
    <w:rsid w:val="00776A63"/>
    <w:rsid w:val="00790C65"/>
    <w:rsid w:val="0079316B"/>
    <w:rsid w:val="00794FDE"/>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E5ECB"/>
    <w:rsid w:val="007F150C"/>
    <w:rsid w:val="007F4B07"/>
    <w:rsid w:val="008029A6"/>
    <w:rsid w:val="0081363A"/>
    <w:rsid w:val="008147BA"/>
    <w:rsid w:val="008269B0"/>
    <w:rsid w:val="0083067E"/>
    <w:rsid w:val="00832357"/>
    <w:rsid w:val="0083488D"/>
    <w:rsid w:val="008466C3"/>
    <w:rsid w:val="00846809"/>
    <w:rsid w:val="00851458"/>
    <w:rsid w:val="00861A47"/>
    <w:rsid w:val="008629D7"/>
    <w:rsid w:val="008660AD"/>
    <w:rsid w:val="008707FF"/>
    <w:rsid w:val="008724E5"/>
    <w:rsid w:val="00877AC5"/>
    <w:rsid w:val="00877F27"/>
    <w:rsid w:val="0088173A"/>
    <w:rsid w:val="00881EB9"/>
    <w:rsid w:val="00882637"/>
    <w:rsid w:val="008848E9"/>
    <w:rsid w:val="00884C09"/>
    <w:rsid w:val="00885596"/>
    <w:rsid w:val="00885B33"/>
    <w:rsid w:val="00886B71"/>
    <w:rsid w:val="0089499E"/>
    <w:rsid w:val="00896177"/>
    <w:rsid w:val="008A0BE3"/>
    <w:rsid w:val="008A2566"/>
    <w:rsid w:val="008A6663"/>
    <w:rsid w:val="008B6B4C"/>
    <w:rsid w:val="008B7346"/>
    <w:rsid w:val="008C3428"/>
    <w:rsid w:val="008C5FBC"/>
    <w:rsid w:val="008C7F60"/>
    <w:rsid w:val="008D3BF7"/>
    <w:rsid w:val="008D69D7"/>
    <w:rsid w:val="008E0DAA"/>
    <w:rsid w:val="008E194D"/>
    <w:rsid w:val="008F16C6"/>
    <w:rsid w:val="008F2A76"/>
    <w:rsid w:val="008F34A1"/>
    <w:rsid w:val="008F4F13"/>
    <w:rsid w:val="008F5052"/>
    <w:rsid w:val="008F5193"/>
    <w:rsid w:val="008F569B"/>
    <w:rsid w:val="008F58EB"/>
    <w:rsid w:val="0090187D"/>
    <w:rsid w:val="00903C3D"/>
    <w:rsid w:val="0090710F"/>
    <w:rsid w:val="00910B12"/>
    <w:rsid w:val="00911179"/>
    <w:rsid w:val="009121CE"/>
    <w:rsid w:val="009127D8"/>
    <w:rsid w:val="00916B77"/>
    <w:rsid w:val="00916F7B"/>
    <w:rsid w:val="00917A4D"/>
    <w:rsid w:val="00921F65"/>
    <w:rsid w:val="0092574C"/>
    <w:rsid w:val="009342E8"/>
    <w:rsid w:val="009357B4"/>
    <w:rsid w:val="00946D71"/>
    <w:rsid w:val="00954BE3"/>
    <w:rsid w:val="009577E1"/>
    <w:rsid w:val="0096488B"/>
    <w:rsid w:val="00971CA1"/>
    <w:rsid w:val="00971FE6"/>
    <w:rsid w:val="0097349C"/>
    <w:rsid w:val="00974300"/>
    <w:rsid w:val="009746CB"/>
    <w:rsid w:val="0097797D"/>
    <w:rsid w:val="009814C2"/>
    <w:rsid w:val="00982FFD"/>
    <w:rsid w:val="00985265"/>
    <w:rsid w:val="00985856"/>
    <w:rsid w:val="0099403E"/>
    <w:rsid w:val="009A4969"/>
    <w:rsid w:val="009A647A"/>
    <w:rsid w:val="009B1466"/>
    <w:rsid w:val="009B6973"/>
    <w:rsid w:val="009C0510"/>
    <w:rsid w:val="009C3663"/>
    <w:rsid w:val="009D098F"/>
    <w:rsid w:val="009D4547"/>
    <w:rsid w:val="009D5A49"/>
    <w:rsid w:val="009D5B48"/>
    <w:rsid w:val="009D5E38"/>
    <w:rsid w:val="009D602F"/>
    <w:rsid w:val="009D68D0"/>
    <w:rsid w:val="009E17AF"/>
    <w:rsid w:val="009F0D42"/>
    <w:rsid w:val="009F1B82"/>
    <w:rsid w:val="009F34A4"/>
    <w:rsid w:val="009F3988"/>
    <w:rsid w:val="009F462D"/>
    <w:rsid w:val="00A003D0"/>
    <w:rsid w:val="00A073FD"/>
    <w:rsid w:val="00A116CA"/>
    <w:rsid w:val="00A150C7"/>
    <w:rsid w:val="00A15793"/>
    <w:rsid w:val="00A2307A"/>
    <w:rsid w:val="00A37A40"/>
    <w:rsid w:val="00A462C6"/>
    <w:rsid w:val="00A519A2"/>
    <w:rsid w:val="00A51BDC"/>
    <w:rsid w:val="00A535B7"/>
    <w:rsid w:val="00A5709F"/>
    <w:rsid w:val="00A616C4"/>
    <w:rsid w:val="00A61F20"/>
    <w:rsid w:val="00A63F61"/>
    <w:rsid w:val="00A64796"/>
    <w:rsid w:val="00A66CD4"/>
    <w:rsid w:val="00A70883"/>
    <w:rsid w:val="00A7332B"/>
    <w:rsid w:val="00A73C8C"/>
    <w:rsid w:val="00A77AEB"/>
    <w:rsid w:val="00A81F0A"/>
    <w:rsid w:val="00A830E8"/>
    <w:rsid w:val="00A85C7A"/>
    <w:rsid w:val="00A86042"/>
    <w:rsid w:val="00AA08C1"/>
    <w:rsid w:val="00AA1253"/>
    <w:rsid w:val="00AA36F9"/>
    <w:rsid w:val="00AA444A"/>
    <w:rsid w:val="00AB070A"/>
    <w:rsid w:val="00AB1282"/>
    <w:rsid w:val="00AB1528"/>
    <w:rsid w:val="00AC3B52"/>
    <w:rsid w:val="00AD0A40"/>
    <w:rsid w:val="00AD6BD4"/>
    <w:rsid w:val="00AE1B18"/>
    <w:rsid w:val="00AE1D83"/>
    <w:rsid w:val="00AE2DFB"/>
    <w:rsid w:val="00AE3061"/>
    <w:rsid w:val="00AF15BA"/>
    <w:rsid w:val="00AF1C32"/>
    <w:rsid w:val="00AF3590"/>
    <w:rsid w:val="00AF57C1"/>
    <w:rsid w:val="00AF65C6"/>
    <w:rsid w:val="00B0545D"/>
    <w:rsid w:val="00B113CF"/>
    <w:rsid w:val="00B11AE3"/>
    <w:rsid w:val="00B121A6"/>
    <w:rsid w:val="00B22DAA"/>
    <w:rsid w:val="00B300B8"/>
    <w:rsid w:val="00B32A28"/>
    <w:rsid w:val="00B33904"/>
    <w:rsid w:val="00B3751E"/>
    <w:rsid w:val="00B41E86"/>
    <w:rsid w:val="00B427FE"/>
    <w:rsid w:val="00B51737"/>
    <w:rsid w:val="00B51F76"/>
    <w:rsid w:val="00B6102A"/>
    <w:rsid w:val="00B6167A"/>
    <w:rsid w:val="00B62ED0"/>
    <w:rsid w:val="00B64196"/>
    <w:rsid w:val="00B66A7A"/>
    <w:rsid w:val="00B70266"/>
    <w:rsid w:val="00B74304"/>
    <w:rsid w:val="00B82F05"/>
    <w:rsid w:val="00B8369A"/>
    <w:rsid w:val="00B87142"/>
    <w:rsid w:val="00B8750E"/>
    <w:rsid w:val="00B92374"/>
    <w:rsid w:val="00B924C8"/>
    <w:rsid w:val="00B95E33"/>
    <w:rsid w:val="00B973B5"/>
    <w:rsid w:val="00B97FD1"/>
    <w:rsid w:val="00BA6367"/>
    <w:rsid w:val="00BA79F9"/>
    <w:rsid w:val="00BB1062"/>
    <w:rsid w:val="00BB28EF"/>
    <w:rsid w:val="00BB5DEE"/>
    <w:rsid w:val="00BC002E"/>
    <w:rsid w:val="00BC393F"/>
    <w:rsid w:val="00BC75FC"/>
    <w:rsid w:val="00BD59BD"/>
    <w:rsid w:val="00BE5B3F"/>
    <w:rsid w:val="00BF1E50"/>
    <w:rsid w:val="00BF351F"/>
    <w:rsid w:val="00BF3F50"/>
    <w:rsid w:val="00BF6F37"/>
    <w:rsid w:val="00C0185F"/>
    <w:rsid w:val="00C02924"/>
    <w:rsid w:val="00C04344"/>
    <w:rsid w:val="00C17FE4"/>
    <w:rsid w:val="00C21897"/>
    <w:rsid w:val="00C276EE"/>
    <w:rsid w:val="00C27A66"/>
    <w:rsid w:val="00C43146"/>
    <w:rsid w:val="00C431A6"/>
    <w:rsid w:val="00C43757"/>
    <w:rsid w:val="00C43BCE"/>
    <w:rsid w:val="00C47CF1"/>
    <w:rsid w:val="00C50A3C"/>
    <w:rsid w:val="00C52006"/>
    <w:rsid w:val="00C53AB4"/>
    <w:rsid w:val="00C542F1"/>
    <w:rsid w:val="00C572B3"/>
    <w:rsid w:val="00C57CA1"/>
    <w:rsid w:val="00C61414"/>
    <w:rsid w:val="00C6300B"/>
    <w:rsid w:val="00C6426B"/>
    <w:rsid w:val="00C6478B"/>
    <w:rsid w:val="00C87194"/>
    <w:rsid w:val="00C90629"/>
    <w:rsid w:val="00C90C51"/>
    <w:rsid w:val="00CA3ED6"/>
    <w:rsid w:val="00CA780F"/>
    <w:rsid w:val="00CA7CF4"/>
    <w:rsid w:val="00CB0C95"/>
    <w:rsid w:val="00CB0F37"/>
    <w:rsid w:val="00CB1135"/>
    <w:rsid w:val="00CB4434"/>
    <w:rsid w:val="00CB590B"/>
    <w:rsid w:val="00CC02C5"/>
    <w:rsid w:val="00CC2BC6"/>
    <w:rsid w:val="00CC3AAB"/>
    <w:rsid w:val="00CD2139"/>
    <w:rsid w:val="00CD324E"/>
    <w:rsid w:val="00CD4A28"/>
    <w:rsid w:val="00CD54BD"/>
    <w:rsid w:val="00CD6C36"/>
    <w:rsid w:val="00CE2586"/>
    <w:rsid w:val="00CE286C"/>
    <w:rsid w:val="00CF05D7"/>
    <w:rsid w:val="00CF34A6"/>
    <w:rsid w:val="00CF3F93"/>
    <w:rsid w:val="00CF71BC"/>
    <w:rsid w:val="00D020F3"/>
    <w:rsid w:val="00D03644"/>
    <w:rsid w:val="00D04515"/>
    <w:rsid w:val="00D065AD"/>
    <w:rsid w:val="00D10973"/>
    <w:rsid w:val="00D22831"/>
    <w:rsid w:val="00D404B7"/>
    <w:rsid w:val="00D44509"/>
    <w:rsid w:val="00D448CB"/>
    <w:rsid w:val="00D47226"/>
    <w:rsid w:val="00D47ED5"/>
    <w:rsid w:val="00D61779"/>
    <w:rsid w:val="00D66F97"/>
    <w:rsid w:val="00D73DB6"/>
    <w:rsid w:val="00D809E5"/>
    <w:rsid w:val="00D81948"/>
    <w:rsid w:val="00D81AF1"/>
    <w:rsid w:val="00D90819"/>
    <w:rsid w:val="00D93291"/>
    <w:rsid w:val="00D9501F"/>
    <w:rsid w:val="00DB468E"/>
    <w:rsid w:val="00DB50D5"/>
    <w:rsid w:val="00DC5537"/>
    <w:rsid w:val="00DD11EE"/>
    <w:rsid w:val="00DD52A0"/>
    <w:rsid w:val="00DE5590"/>
    <w:rsid w:val="00DE6364"/>
    <w:rsid w:val="00DF1D9E"/>
    <w:rsid w:val="00DF3DA3"/>
    <w:rsid w:val="00DF5DA4"/>
    <w:rsid w:val="00DF6752"/>
    <w:rsid w:val="00E0468C"/>
    <w:rsid w:val="00E06492"/>
    <w:rsid w:val="00E065CE"/>
    <w:rsid w:val="00E06A00"/>
    <w:rsid w:val="00E13E03"/>
    <w:rsid w:val="00E22B99"/>
    <w:rsid w:val="00E24A9D"/>
    <w:rsid w:val="00E258D9"/>
    <w:rsid w:val="00E31F58"/>
    <w:rsid w:val="00E35B8C"/>
    <w:rsid w:val="00E439CA"/>
    <w:rsid w:val="00E46DDB"/>
    <w:rsid w:val="00E473F3"/>
    <w:rsid w:val="00E5219B"/>
    <w:rsid w:val="00E56905"/>
    <w:rsid w:val="00E6254F"/>
    <w:rsid w:val="00E64BE4"/>
    <w:rsid w:val="00E81C0E"/>
    <w:rsid w:val="00E85565"/>
    <w:rsid w:val="00E8663C"/>
    <w:rsid w:val="00E87F91"/>
    <w:rsid w:val="00E94BC6"/>
    <w:rsid w:val="00EA0563"/>
    <w:rsid w:val="00EA198F"/>
    <w:rsid w:val="00EA2EA1"/>
    <w:rsid w:val="00EA3CB9"/>
    <w:rsid w:val="00EA59EB"/>
    <w:rsid w:val="00EA67F3"/>
    <w:rsid w:val="00EB48F8"/>
    <w:rsid w:val="00EC6A68"/>
    <w:rsid w:val="00ED0C60"/>
    <w:rsid w:val="00ED3D26"/>
    <w:rsid w:val="00ED5218"/>
    <w:rsid w:val="00EE1D9D"/>
    <w:rsid w:val="00EE45C4"/>
    <w:rsid w:val="00EF0BCB"/>
    <w:rsid w:val="00EF0E74"/>
    <w:rsid w:val="00EF2549"/>
    <w:rsid w:val="00EF7467"/>
    <w:rsid w:val="00F00E8A"/>
    <w:rsid w:val="00F02FD1"/>
    <w:rsid w:val="00F16242"/>
    <w:rsid w:val="00F17FCB"/>
    <w:rsid w:val="00F226CC"/>
    <w:rsid w:val="00F2691E"/>
    <w:rsid w:val="00F279DD"/>
    <w:rsid w:val="00F3158B"/>
    <w:rsid w:val="00F3242E"/>
    <w:rsid w:val="00F33650"/>
    <w:rsid w:val="00F348F9"/>
    <w:rsid w:val="00F35BAE"/>
    <w:rsid w:val="00F37E4B"/>
    <w:rsid w:val="00F4144E"/>
    <w:rsid w:val="00F41B00"/>
    <w:rsid w:val="00F473CB"/>
    <w:rsid w:val="00F50245"/>
    <w:rsid w:val="00F63DDA"/>
    <w:rsid w:val="00F64E3D"/>
    <w:rsid w:val="00F67029"/>
    <w:rsid w:val="00F70858"/>
    <w:rsid w:val="00F71BBC"/>
    <w:rsid w:val="00F7397F"/>
    <w:rsid w:val="00F75949"/>
    <w:rsid w:val="00F75CF4"/>
    <w:rsid w:val="00F76867"/>
    <w:rsid w:val="00F80A1F"/>
    <w:rsid w:val="00F866CD"/>
    <w:rsid w:val="00F941F0"/>
    <w:rsid w:val="00F97FF5"/>
    <w:rsid w:val="00FA2D36"/>
    <w:rsid w:val="00FA5561"/>
    <w:rsid w:val="00FA7CE6"/>
    <w:rsid w:val="00FB01D6"/>
    <w:rsid w:val="00FB1313"/>
    <w:rsid w:val="00FC2238"/>
    <w:rsid w:val="00FC2459"/>
    <w:rsid w:val="00FC268E"/>
    <w:rsid w:val="00FC2BFD"/>
    <w:rsid w:val="00FC309D"/>
    <w:rsid w:val="00FC47E0"/>
    <w:rsid w:val="00FD1C42"/>
    <w:rsid w:val="00FD1E96"/>
    <w:rsid w:val="00FD1FE7"/>
    <w:rsid w:val="00FD2901"/>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30709"/>
  <w15:docId w15:val="{A622BA1A-6A4F-4DF8-9776-FE7B93F2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9A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9535-CB74-4601-8ADE-91E5580B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Proschan</dc:creator>
  <cp:lastModifiedBy>Joseph, George</cp:lastModifiedBy>
  <cp:revision>2</cp:revision>
  <dcterms:created xsi:type="dcterms:W3CDTF">2022-04-06T09:48:00Z</dcterms:created>
  <dcterms:modified xsi:type="dcterms:W3CDTF">2022-04-06T09:48:00Z</dcterms:modified>
</cp:coreProperties>
</file>