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1C9E3" w14:textId="77777777" w:rsidR="000A0709" w:rsidRPr="00F866CD" w:rsidRDefault="003B31BE" w:rsidP="00886B71">
      <w:pPr>
        <w:pageBreakBefore/>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6736"/>
        <w:gridCol w:w="1569"/>
      </w:tblGrid>
      <w:tr w:rsidR="005473CF" w:rsidRPr="00F866CD" w14:paraId="0AF449A7" w14:textId="77777777" w:rsidTr="009A647A">
        <w:trPr>
          <w:cantSplit/>
        </w:trPr>
        <w:tc>
          <w:tcPr>
            <w:tcW w:w="786" w:type="pct"/>
            <w:shd w:val="clear" w:color="auto" w:fill="auto"/>
          </w:tcPr>
          <w:p w14:paraId="455AE70D" w14:textId="77777777" w:rsidR="005473CF" w:rsidRPr="00F866CD" w:rsidRDefault="005B0FE5" w:rsidP="00DA2ECC">
            <w:pPr>
              <w:spacing w:before="120"/>
              <w:rPr>
                <w:rFonts w:ascii="Arial" w:hAnsi="Arial" w:cs="Arial"/>
                <w:b/>
                <w:szCs w:val="22"/>
              </w:rPr>
            </w:pPr>
            <w:r w:rsidRPr="00F866CD">
              <w:rPr>
                <w:rFonts w:ascii="Arial" w:hAnsi="Arial" w:cs="Arial"/>
                <w:b/>
                <w:szCs w:val="22"/>
              </w:rPr>
              <w:t>Indicator</w:t>
            </w:r>
          </w:p>
        </w:tc>
        <w:tc>
          <w:tcPr>
            <w:tcW w:w="4214" w:type="pct"/>
            <w:gridSpan w:val="2"/>
            <w:shd w:val="clear" w:color="auto" w:fill="auto"/>
          </w:tcPr>
          <w:p w14:paraId="4B5EB28B" w14:textId="77777777" w:rsidR="005473CF" w:rsidRPr="00F866CD" w:rsidRDefault="00530817" w:rsidP="00387794">
            <w:pPr>
              <w:keepLines/>
              <w:spacing w:before="120"/>
              <w:ind w:left="567" w:hanging="567"/>
              <w:rPr>
                <w:rFonts w:ascii="Arial" w:hAnsi="Arial" w:cs="Arial"/>
                <w:b/>
                <w:szCs w:val="22"/>
              </w:rPr>
            </w:pPr>
            <w:r w:rsidRPr="00530817">
              <w:rPr>
                <w:rFonts w:ascii="Arial" w:hAnsi="Arial" w:cs="Arial"/>
                <w:b/>
                <w:szCs w:val="22"/>
              </w:rPr>
              <w:t>11.</w:t>
            </w:r>
            <w:r w:rsidRPr="00530817">
              <w:rPr>
                <w:rFonts w:ascii="Arial" w:hAnsi="Arial" w:cs="Arial"/>
                <w:b/>
                <w:szCs w:val="22"/>
              </w:rPr>
              <w:tab/>
              <w:t>Extent to which policies as well as legal and administrative measures in the field of culture reflect the diversity of ICH and the importance of its safeguarding and are implemented</w:t>
            </w:r>
          </w:p>
        </w:tc>
      </w:tr>
      <w:tr w:rsidR="005B0FE5" w:rsidRPr="00F866CD" w14:paraId="426ABD8A" w14:textId="77777777" w:rsidTr="009A647A">
        <w:trPr>
          <w:cantSplit/>
        </w:trPr>
        <w:tc>
          <w:tcPr>
            <w:tcW w:w="786" w:type="pct"/>
            <w:vMerge w:val="restart"/>
            <w:shd w:val="clear" w:color="auto" w:fill="auto"/>
          </w:tcPr>
          <w:p w14:paraId="58BA4643"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7D2653D3" w14:textId="77777777"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644AB8">
              <w:rPr>
                <w:rFonts w:ascii="Arial" w:hAnsi="Arial" w:cs="Arial"/>
                <w:szCs w:val="22"/>
              </w:rPr>
              <w:t>four</w:t>
            </w:r>
            <w:r w:rsidRPr="00F866CD">
              <w:rPr>
                <w:rFonts w:ascii="Arial" w:hAnsi="Arial" w:cs="Arial"/>
                <w:szCs w:val="22"/>
              </w:rPr>
              <w:t xml:space="preserve"> country-level factors monitored and reported by each State Party:</w:t>
            </w:r>
          </w:p>
        </w:tc>
      </w:tr>
      <w:tr w:rsidR="00644AB8" w:rsidRPr="00F866CD" w14:paraId="1DC490A2" w14:textId="77777777" w:rsidTr="009A647A">
        <w:trPr>
          <w:cantSplit/>
        </w:trPr>
        <w:tc>
          <w:tcPr>
            <w:tcW w:w="786" w:type="pct"/>
            <w:vMerge/>
            <w:shd w:val="clear" w:color="auto" w:fill="auto"/>
          </w:tcPr>
          <w:p w14:paraId="13F62297" w14:textId="77777777" w:rsidR="00644AB8" w:rsidRPr="00F866CD" w:rsidRDefault="00644AB8" w:rsidP="00644AB8">
            <w:pPr>
              <w:spacing w:before="120"/>
              <w:rPr>
                <w:rFonts w:ascii="Arial" w:hAnsi="Arial" w:cs="Arial"/>
                <w:b/>
                <w:szCs w:val="22"/>
              </w:rPr>
            </w:pPr>
          </w:p>
        </w:tc>
        <w:tc>
          <w:tcPr>
            <w:tcW w:w="3418" w:type="pct"/>
            <w:shd w:val="clear" w:color="auto" w:fill="auto"/>
            <w:vAlign w:val="center"/>
          </w:tcPr>
          <w:p w14:paraId="0F0D10C0" w14:textId="1A8761EB" w:rsidR="00644AB8" w:rsidRPr="00322A3A" w:rsidRDefault="00644AB8" w:rsidP="00617884">
            <w:pPr>
              <w:pStyle w:val="ListParagraph"/>
              <w:keepLines/>
              <w:numPr>
                <w:ilvl w:val="1"/>
                <w:numId w:val="75"/>
              </w:numPr>
              <w:spacing w:before="120" w:after="120" w:line="240" w:lineRule="auto"/>
              <w:ind w:left="583" w:hanging="583"/>
              <w:contextualSpacing w:val="0"/>
              <w:rPr>
                <w:rFonts w:ascii="Arial" w:hAnsi="Arial" w:cs="Arial"/>
                <w:sz w:val="20"/>
                <w:szCs w:val="20"/>
              </w:rPr>
            </w:pPr>
            <w:r w:rsidRPr="00A8072E">
              <w:rPr>
                <w:rFonts w:ascii="Arial" w:hAnsi="Arial" w:cs="Arial"/>
                <w:sz w:val="20"/>
                <w:szCs w:val="20"/>
                <w:lang w:val="en-GB"/>
              </w:rPr>
              <w:t>Cultural policies and/or legal and administrative measures integrating ICH and its safeguarding, and reflecting its diversity, have been established or revised and are being implemented.</w:t>
            </w:r>
          </w:p>
        </w:tc>
        <w:tc>
          <w:tcPr>
            <w:tcW w:w="796" w:type="pct"/>
            <w:shd w:val="clear" w:color="auto" w:fill="auto"/>
            <w:vAlign w:val="center"/>
          </w:tcPr>
          <w:p w14:paraId="03484449" w14:textId="77777777" w:rsidR="00644AB8" w:rsidRPr="00A8072E" w:rsidRDefault="00644AB8" w:rsidP="00644AB8">
            <w:pPr>
              <w:spacing w:before="60" w:after="60"/>
              <w:rPr>
                <w:rFonts w:ascii="Arial" w:hAnsi="Arial" w:cs="Arial"/>
                <w:sz w:val="20"/>
                <w:szCs w:val="20"/>
              </w:rPr>
            </w:pPr>
            <w:r w:rsidRPr="00A8072E">
              <w:rPr>
                <w:rFonts w:ascii="Arial" w:hAnsi="Arial" w:cs="Arial"/>
                <w:sz w:val="20"/>
                <w:szCs w:val="20"/>
              </w:rPr>
              <w:t>Article 13(a)</w:t>
            </w:r>
          </w:p>
          <w:p w14:paraId="06705048" w14:textId="77777777" w:rsidR="00644AB8" w:rsidRPr="0074360F" w:rsidRDefault="00644AB8" w:rsidP="00644AB8">
            <w:pPr>
              <w:keepLines/>
              <w:spacing w:before="120"/>
              <w:rPr>
                <w:rFonts w:ascii="Arial" w:hAnsi="Arial" w:cs="Arial"/>
                <w:sz w:val="20"/>
                <w:szCs w:val="20"/>
              </w:rPr>
            </w:pPr>
            <w:r w:rsidRPr="00A8072E">
              <w:rPr>
                <w:rFonts w:ascii="Arial" w:hAnsi="Arial" w:cs="Arial"/>
                <w:sz w:val="20"/>
                <w:szCs w:val="20"/>
              </w:rPr>
              <w:t>OD 153(b)(i)</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171(d)</w:t>
            </w:r>
          </w:p>
        </w:tc>
      </w:tr>
      <w:tr w:rsidR="00644AB8" w:rsidRPr="00F866CD" w14:paraId="730D3623" w14:textId="77777777" w:rsidTr="009A647A">
        <w:trPr>
          <w:cantSplit/>
        </w:trPr>
        <w:tc>
          <w:tcPr>
            <w:tcW w:w="786" w:type="pct"/>
            <w:vMerge/>
            <w:shd w:val="clear" w:color="auto" w:fill="auto"/>
          </w:tcPr>
          <w:p w14:paraId="18ED6359" w14:textId="77777777" w:rsidR="00644AB8" w:rsidRPr="00F866CD" w:rsidRDefault="00644AB8" w:rsidP="00644AB8">
            <w:pPr>
              <w:spacing w:before="120"/>
              <w:rPr>
                <w:rFonts w:ascii="Arial" w:hAnsi="Arial" w:cs="Arial"/>
                <w:b/>
                <w:szCs w:val="22"/>
              </w:rPr>
            </w:pPr>
          </w:p>
        </w:tc>
        <w:tc>
          <w:tcPr>
            <w:tcW w:w="3418" w:type="pct"/>
            <w:shd w:val="clear" w:color="auto" w:fill="auto"/>
            <w:vAlign w:val="center"/>
          </w:tcPr>
          <w:p w14:paraId="66090304" w14:textId="77777777" w:rsidR="00644AB8" w:rsidRPr="00322A3A" w:rsidRDefault="00644AB8" w:rsidP="00617884">
            <w:pPr>
              <w:pStyle w:val="ListParagraph"/>
              <w:keepLines/>
              <w:numPr>
                <w:ilvl w:val="1"/>
                <w:numId w:val="75"/>
              </w:numPr>
              <w:spacing w:before="120" w:after="120" w:line="240" w:lineRule="auto"/>
              <w:ind w:left="583" w:hanging="583"/>
              <w:contextualSpacing w:val="0"/>
              <w:rPr>
                <w:rFonts w:ascii="Arial" w:hAnsi="Arial" w:cs="Arial"/>
                <w:sz w:val="20"/>
                <w:szCs w:val="20"/>
              </w:rPr>
            </w:pPr>
            <w:r w:rsidRPr="00A8072E">
              <w:rPr>
                <w:rFonts w:ascii="Arial" w:hAnsi="Arial" w:cs="Arial"/>
                <w:sz w:val="20"/>
                <w:szCs w:val="20"/>
                <w:lang w:val="en-GB"/>
              </w:rPr>
              <w:t>National or sub-national strategies and/or action plans for ICH safeguarding are established or revised and are being implemented, including safeguarding plans for specific elements, whether or not inscribed.</w:t>
            </w:r>
          </w:p>
        </w:tc>
        <w:tc>
          <w:tcPr>
            <w:tcW w:w="796" w:type="pct"/>
            <w:shd w:val="clear" w:color="auto" w:fill="auto"/>
            <w:vAlign w:val="center"/>
          </w:tcPr>
          <w:p w14:paraId="02C5A30F" w14:textId="77777777" w:rsidR="00644AB8" w:rsidRPr="0074360F" w:rsidRDefault="00644AB8" w:rsidP="00644AB8">
            <w:pPr>
              <w:spacing w:before="60" w:after="60"/>
              <w:rPr>
                <w:rFonts w:ascii="Arial" w:hAnsi="Arial" w:cs="Arial"/>
                <w:sz w:val="20"/>
                <w:szCs w:val="20"/>
              </w:rPr>
            </w:pPr>
            <w:r w:rsidRPr="00A8072E">
              <w:rPr>
                <w:rFonts w:ascii="Arial" w:hAnsi="Arial" w:cs="Arial"/>
                <w:sz w:val="20"/>
                <w:szCs w:val="20"/>
              </w:rPr>
              <w:t>OD 1, OD 2</w:t>
            </w:r>
          </w:p>
        </w:tc>
      </w:tr>
      <w:tr w:rsidR="00530817" w:rsidRPr="00F866CD" w14:paraId="3CEC01C5" w14:textId="77777777" w:rsidTr="009A647A">
        <w:trPr>
          <w:cantSplit/>
        </w:trPr>
        <w:tc>
          <w:tcPr>
            <w:tcW w:w="786" w:type="pct"/>
            <w:vMerge/>
            <w:shd w:val="clear" w:color="auto" w:fill="auto"/>
          </w:tcPr>
          <w:p w14:paraId="5CE2C5B1" w14:textId="77777777" w:rsidR="00530817" w:rsidRPr="00F866CD" w:rsidRDefault="00530817" w:rsidP="00530817">
            <w:pPr>
              <w:spacing w:before="120"/>
              <w:rPr>
                <w:rFonts w:ascii="Arial" w:hAnsi="Arial" w:cs="Arial"/>
                <w:b/>
                <w:szCs w:val="22"/>
              </w:rPr>
            </w:pPr>
          </w:p>
        </w:tc>
        <w:tc>
          <w:tcPr>
            <w:tcW w:w="3418" w:type="pct"/>
            <w:shd w:val="clear" w:color="auto" w:fill="auto"/>
            <w:vAlign w:val="center"/>
          </w:tcPr>
          <w:p w14:paraId="02C6F424" w14:textId="77777777" w:rsidR="00530817" w:rsidRPr="00322A3A" w:rsidRDefault="00530817" w:rsidP="00617884">
            <w:pPr>
              <w:pStyle w:val="ListParagraph"/>
              <w:keepLines/>
              <w:numPr>
                <w:ilvl w:val="1"/>
                <w:numId w:val="75"/>
              </w:numPr>
              <w:spacing w:before="120" w:after="120" w:line="240" w:lineRule="auto"/>
              <w:ind w:left="583" w:hanging="583"/>
              <w:contextualSpacing w:val="0"/>
              <w:rPr>
                <w:rFonts w:ascii="Arial" w:hAnsi="Arial" w:cs="Arial"/>
                <w:sz w:val="20"/>
                <w:szCs w:val="20"/>
              </w:rPr>
            </w:pPr>
            <w:r w:rsidRPr="00A8072E">
              <w:rPr>
                <w:rFonts w:ascii="Arial" w:hAnsi="Arial" w:cs="Arial"/>
                <w:sz w:val="20"/>
                <w:szCs w:val="20"/>
                <w:lang w:val="en-GB"/>
              </w:rPr>
              <w:t>Public financial and/or technical support for the safeguarding of ICH elements, whether or not inscribed, is provided on an equitable basis, in relation to the overall support for culture and heritage at large, while bearing in mind the priority for those identified as in need of urgent safeguarding.</w:t>
            </w:r>
          </w:p>
        </w:tc>
        <w:tc>
          <w:tcPr>
            <w:tcW w:w="796" w:type="pct"/>
            <w:shd w:val="clear" w:color="auto" w:fill="auto"/>
            <w:vAlign w:val="center"/>
          </w:tcPr>
          <w:p w14:paraId="2590BE94" w14:textId="77777777" w:rsidR="00530817" w:rsidRPr="0074360F" w:rsidRDefault="00530817" w:rsidP="00530817">
            <w:pPr>
              <w:keepLines/>
              <w:spacing w:before="120"/>
              <w:rPr>
                <w:rFonts w:ascii="Arial" w:hAnsi="Arial" w:cs="Arial"/>
                <w:sz w:val="20"/>
                <w:szCs w:val="20"/>
              </w:rPr>
            </w:pPr>
          </w:p>
        </w:tc>
      </w:tr>
      <w:tr w:rsidR="00530817" w:rsidRPr="00F866CD" w14:paraId="3CA40930" w14:textId="77777777" w:rsidTr="009A647A">
        <w:trPr>
          <w:cantSplit/>
        </w:trPr>
        <w:tc>
          <w:tcPr>
            <w:tcW w:w="786" w:type="pct"/>
            <w:vMerge/>
            <w:shd w:val="clear" w:color="auto" w:fill="auto"/>
          </w:tcPr>
          <w:p w14:paraId="450CB06B" w14:textId="77777777" w:rsidR="00530817" w:rsidRPr="00F866CD" w:rsidRDefault="00530817" w:rsidP="00530817">
            <w:pPr>
              <w:spacing w:before="120"/>
              <w:rPr>
                <w:rFonts w:ascii="Arial" w:hAnsi="Arial" w:cs="Arial"/>
                <w:b/>
                <w:szCs w:val="22"/>
              </w:rPr>
            </w:pPr>
          </w:p>
        </w:tc>
        <w:tc>
          <w:tcPr>
            <w:tcW w:w="3418" w:type="pct"/>
            <w:shd w:val="clear" w:color="auto" w:fill="auto"/>
            <w:vAlign w:val="center"/>
          </w:tcPr>
          <w:p w14:paraId="12D8C826" w14:textId="77777777" w:rsidR="00530817" w:rsidRPr="00322A3A" w:rsidRDefault="00530817" w:rsidP="00617884">
            <w:pPr>
              <w:pStyle w:val="ListParagraph"/>
              <w:keepLines/>
              <w:numPr>
                <w:ilvl w:val="1"/>
                <w:numId w:val="75"/>
              </w:numPr>
              <w:spacing w:before="120" w:after="120" w:line="240" w:lineRule="auto"/>
              <w:ind w:left="583" w:hanging="583"/>
              <w:contextualSpacing w:val="0"/>
              <w:rPr>
                <w:rFonts w:ascii="Arial" w:hAnsi="Arial" w:cs="Arial"/>
                <w:sz w:val="20"/>
                <w:szCs w:val="20"/>
              </w:rPr>
            </w:pPr>
            <w:r w:rsidRPr="00A8072E">
              <w:rPr>
                <w:rFonts w:ascii="Arial" w:hAnsi="Arial" w:cs="Arial"/>
                <w:sz w:val="20"/>
                <w:szCs w:val="20"/>
                <w:lang w:val="en-GB"/>
              </w:rPr>
              <w:t>Cultural policies and/or legal and administrative measures integrating ICH and its safeguarding are informed by the active participation of communities, groups and individuals</w:t>
            </w:r>
            <w:r>
              <w:rPr>
                <w:rFonts w:ascii="Arial" w:hAnsi="Arial" w:cs="Arial"/>
                <w:sz w:val="20"/>
                <w:szCs w:val="20"/>
                <w:lang w:val="en-GB"/>
              </w:rPr>
              <w:t>.</w:t>
            </w:r>
          </w:p>
        </w:tc>
        <w:tc>
          <w:tcPr>
            <w:tcW w:w="796" w:type="pct"/>
            <w:shd w:val="clear" w:color="auto" w:fill="auto"/>
            <w:vAlign w:val="center"/>
          </w:tcPr>
          <w:p w14:paraId="21831407" w14:textId="77777777" w:rsidR="00530817" w:rsidRPr="0074360F" w:rsidRDefault="00B51F76" w:rsidP="00530817">
            <w:pPr>
              <w:keepLines/>
              <w:spacing w:before="120"/>
              <w:rPr>
                <w:rFonts w:ascii="Arial" w:hAnsi="Arial" w:cs="Arial"/>
                <w:sz w:val="20"/>
                <w:szCs w:val="20"/>
              </w:rPr>
            </w:pPr>
            <w:r>
              <w:rPr>
                <w:rFonts w:ascii="Arial" w:hAnsi="Arial" w:cs="Arial"/>
                <w:sz w:val="20"/>
                <w:szCs w:val="20"/>
              </w:rPr>
              <w:t>Article 15</w:t>
            </w:r>
          </w:p>
        </w:tc>
      </w:tr>
      <w:tr w:rsidR="005473CF" w:rsidRPr="00F866CD" w14:paraId="645965FB" w14:textId="77777777" w:rsidTr="009A647A">
        <w:trPr>
          <w:cantSplit/>
        </w:trPr>
        <w:tc>
          <w:tcPr>
            <w:tcW w:w="786" w:type="pct"/>
            <w:shd w:val="clear" w:color="auto" w:fill="auto"/>
          </w:tcPr>
          <w:p w14:paraId="7C015C90" w14:textId="77777777" w:rsidR="005473CF" w:rsidRPr="00F866CD" w:rsidRDefault="005473CF" w:rsidP="005473CF">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5B48F041" w14:textId="611F3DEC" w:rsidR="00E8663C" w:rsidRPr="00E8663C" w:rsidRDefault="005473CF" w:rsidP="00E8663C">
            <w:pPr>
              <w:keepLines/>
              <w:spacing w:before="120"/>
              <w:jc w:val="both"/>
              <w:rPr>
                <w:rFonts w:ascii="Arial" w:hAnsi="Arial" w:cs="Arial"/>
                <w:szCs w:val="22"/>
              </w:rPr>
            </w:pPr>
            <w:r w:rsidRPr="00F866CD">
              <w:rPr>
                <w:rFonts w:ascii="Arial" w:hAnsi="Arial" w:cs="Arial"/>
                <w:b/>
                <w:bCs/>
                <w:szCs w:val="22"/>
              </w:rPr>
              <w:t xml:space="preserve">Sustainable Development Goals: </w:t>
            </w:r>
            <w:r w:rsidR="00CB4434">
              <w:rPr>
                <w:rFonts w:ascii="Arial" w:hAnsi="Arial" w:cs="Arial"/>
                <w:bCs/>
                <w:szCs w:val="22"/>
              </w:rPr>
              <w:t xml:space="preserve">If </w:t>
            </w:r>
            <w:r w:rsidR="00675858" w:rsidRPr="00617884">
              <w:rPr>
                <w:rFonts w:ascii="Arial" w:hAnsi="Arial" w:cs="Arial"/>
                <w:bCs/>
                <w:szCs w:val="22"/>
              </w:rPr>
              <w:t xml:space="preserve">culture </w:t>
            </w:r>
            <w:r w:rsidR="00CB4434">
              <w:rPr>
                <w:rFonts w:ascii="Arial" w:hAnsi="Arial" w:cs="Arial"/>
                <w:bCs/>
                <w:szCs w:val="22"/>
              </w:rPr>
              <w:t xml:space="preserve">is recognized </w:t>
            </w:r>
            <w:r w:rsidR="00675858" w:rsidRPr="00617884">
              <w:rPr>
                <w:rFonts w:ascii="Arial" w:hAnsi="Arial" w:cs="Arial"/>
                <w:bCs/>
                <w:szCs w:val="22"/>
              </w:rPr>
              <w:t>as an enabler</w:t>
            </w:r>
            <w:r w:rsidR="008629D7">
              <w:rPr>
                <w:rFonts w:ascii="Arial" w:hAnsi="Arial" w:cs="Arial"/>
                <w:b/>
                <w:bCs/>
                <w:szCs w:val="22"/>
              </w:rPr>
              <w:t xml:space="preserve"> </w:t>
            </w:r>
            <w:r w:rsidR="008629D7">
              <w:rPr>
                <w:rFonts w:ascii="Arial" w:hAnsi="Arial" w:cs="Arial"/>
                <w:szCs w:val="22"/>
              </w:rPr>
              <w:t xml:space="preserve">of the economic, social and environmental dimensions of sustainable development it follows that cultural policies can have an impact </w:t>
            </w:r>
            <w:r w:rsidR="008C5FBC" w:rsidRPr="008629D7">
              <w:rPr>
                <w:rFonts w:ascii="Arial" w:hAnsi="Arial" w:cs="Arial"/>
                <w:szCs w:val="22"/>
              </w:rPr>
              <w:t>on a wide range of SDGs</w:t>
            </w:r>
            <w:r w:rsidR="008629D7">
              <w:rPr>
                <w:rFonts w:ascii="Arial" w:hAnsi="Arial" w:cs="Arial"/>
                <w:szCs w:val="22"/>
              </w:rPr>
              <w:t>.</w:t>
            </w:r>
            <w:r w:rsidR="008C5FBC" w:rsidRPr="008629D7">
              <w:rPr>
                <w:rFonts w:ascii="Arial" w:hAnsi="Arial" w:cs="Arial"/>
                <w:szCs w:val="22"/>
              </w:rPr>
              <w:t xml:space="preserve"> </w:t>
            </w:r>
            <w:r w:rsidR="008629D7">
              <w:rPr>
                <w:rFonts w:ascii="Arial" w:hAnsi="Arial" w:cs="Arial"/>
                <w:szCs w:val="22"/>
              </w:rPr>
              <w:t>Within that context</w:t>
            </w:r>
            <w:r w:rsidR="008629D7" w:rsidRPr="008629D7">
              <w:rPr>
                <w:rFonts w:ascii="Arial" w:hAnsi="Arial" w:cs="Arial"/>
                <w:szCs w:val="22"/>
              </w:rPr>
              <w:t xml:space="preserve">, ICH safeguarding can </w:t>
            </w:r>
            <w:r w:rsidR="008629D7">
              <w:rPr>
                <w:rFonts w:ascii="Arial" w:hAnsi="Arial" w:cs="Arial"/>
                <w:szCs w:val="22"/>
              </w:rPr>
              <w:t xml:space="preserve">contribute to </w:t>
            </w:r>
            <w:r w:rsidR="008629D7" w:rsidRPr="008629D7">
              <w:rPr>
                <w:rFonts w:ascii="Arial" w:hAnsi="Arial" w:cs="Arial"/>
                <w:szCs w:val="22"/>
              </w:rPr>
              <w:t>SDGs related to sustainable agriculture (SDG 2), health</w:t>
            </w:r>
            <w:r w:rsidR="00235CB5">
              <w:rPr>
                <w:rFonts w:ascii="Arial" w:hAnsi="Arial" w:cs="Arial"/>
                <w:szCs w:val="22"/>
              </w:rPr>
              <w:t xml:space="preserve"> and well-being (SDG </w:t>
            </w:r>
            <w:r w:rsidR="008629D7" w:rsidRPr="008629D7">
              <w:rPr>
                <w:rFonts w:ascii="Arial" w:hAnsi="Arial" w:cs="Arial"/>
                <w:szCs w:val="22"/>
              </w:rPr>
              <w:t xml:space="preserve">3), sustainable water-use (SDG 6), biodiversity (SDG 15), </w:t>
            </w:r>
            <w:r w:rsidR="008629D7">
              <w:rPr>
                <w:rFonts w:ascii="Arial" w:hAnsi="Arial" w:cs="Arial"/>
                <w:szCs w:val="22"/>
              </w:rPr>
              <w:t xml:space="preserve">and </w:t>
            </w:r>
            <w:r w:rsidR="008629D7" w:rsidRPr="008629D7">
              <w:rPr>
                <w:rFonts w:ascii="Arial" w:hAnsi="Arial" w:cs="Arial"/>
                <w:szCs w:val="22"/>
              </w:rPr>
              <w:t>others.</w:t>
            </w:r>
            <w:r w:rsidR="008629D7">
              <w:rPr>
                <w:rFonts w:ascii="Arial" w:hAnsi="Arial" w:cs="Arial"/>
                <w:szCs w:val="22"/>
              </w:rPr>
              <w:t xml:space="preserve"> Nevertheless, t</w:t>
            </w:r>
            <w:r w:rsidR="00E8663C" w:rsidRPr="008629D7">
              <w:rPr>
                <w:rFonts w:ascii="Arial" w:hAnsi="Arial" w:cs="Arial"/>
                <w:szCs w:val="22"/>
              </w:rPr>
              <w:t xml:space="preserve">he present indicator </w:t>
            </w:r>
            <w:r w:rsidR="008629D7">
              <w:rPr>
                <w:rFonts w:ascii="Arial" w:hAnsi="Arial" w:cs="Arial"/>
                <w:szCs w:val="22"/>
              </w:rPr>
              <w:t xml:space="preserve">can be understood to </w:t>
            </w:r>
            <w:r w:rsidR="00E8663C" w:rsidRPr="008629D7">
              <w:rPr>
                <w:rFonts w:ascii="Arial" w:hAnsi="Arial" w:cs="Arial"/>
                <w:szCs w:val="22"/>
              </w:rPr>
              <w:t xml:space="preserve">specifically support SDG Target 16.7, which aims to ‘ensure responsive, inclusive, participatory and representative decision-making at all levels’, as well as SDG Target 17.14, which </w:t>
            </w:r>
            <w:r w:rsidR="00A37A40" w:rsidRPr="008629D7">
              <w:rPr>
                <w:rFonts w:ascii="Arial" w:hAnsi="Arial" w:cs="Arial"/>
                <w:szCs w:val="22"/>
              </w:rPr>
              <w:t>calls for</w:t>
            </w:r>
            <w:r w:rsidR="00E8663C" w:rsidRPr="008629D7">
              <w:rPr>
                <w:rFonts w:ascii="Arial" w:hAnsi="Arial" w:cs="Arial"/>
                <w:szCs w:val="22"/>
              </w:rPr>
              <w:t xml:space="preserve"> enhanced policy coherence for sustainable development. Like all of the indicators, it also responds to SDG Target 11.4, ‘Strengthen efforts to protect and safeguard the world’s cultural and natural heritage.’</w:t>
            </w:r>
            <w:r w:rsidR="00B51F76">
              <w:rPr>
                <w:rFonts w:ascii="Arial" w:hAnsi="Arial" w:cs="Arial"/>
                <w:szCs w:val="22"/>
              </w:rPr>
              <w:t xml:space="preserve"> </w:t>
            </w:r>
          </w:p>
          <w:p w14:paraId="1835D5D7" w14:textId="045318D8" w:rsidR="005473CF" w:rsidRPr="00F866CD" w:rsidRDefault="005473CF" w:rsidP="0097797D">
            <w:pPr>
              <w:keepLines/>
              <w:spacing w:before="120"/>
              <w:jc w:val="both"/>
              <w:rPr>
                <w:rFonts w:ascii="Arial" w:hAnsi="Arial" w:cs="Arial"/>
                <w:b/>
                <w:szCs w:val="22"/>
              </w:rPr>
            </w:pPr>
            <w:r w:rsidRPr="00F866CD">
              <w:rPr>
                <w:rFonts w:ascii="Arial" w:hAnsi="Arial" w:cs="Arial"/>
                <w:b/>
                <w:szCs w:val="22"/>
              </w:rPr>
              <w:t>Relation to other indicators:</w:t>
            </w:r>
            <w:r w:rsidRPr="00F866CD">
              <w:rPr>
                <w:rFonts w:ascii="Arial" w:hAnsi="Arial" w:cs="Arial"/>
                <w:bCs/>
                <w:szCs w:val="22"/>
              </w:rPr>
              <w:t xml:space="preserve"> </w:t>
            </w:r>
            <w:r w:rsidR="004A5B2E">
              <w:rPr>
                <w:rFonts w:ascii="Arial" w:hAnsi="Arial" w:cs="Arial"/>
                <w:bCs/>
                <w:szCs w:val="22"/>
              </w:rPr>
              <w:t xml:space="preserve">There are four complementary indicators addressing policies and legal and administrative measures (11-14). The present </w:t>
            </w:r>
            <w:r w:rsidR="001A314D">
              <w:rPr>
                <w:rFonts w:ascii="Arial" w:hAnsi="Arial" w:cs="Arial"/>
                <w:bCs/>
                <w:szCs w:val="22"/>
              </w:rPr>
              <w:t>I</w:t>
            </w:r>
            <w:r w:rsidR="004A5B2E">
              <w:rPr>
                <w:rFonts w:ascii="Arial" w:hAnsi="Arial" w:cs="Arial"/>
                <w:bCs/>
                <w:szCs w:val="22"/>
              </w:rPr>
              <w:t xml:space="preserve">ndicator 11 focuses on the </w:t>
            </w:r>
            <w:r w:rsidR="00696CB6">
              <w:rPr>
                <w:rFonts w:ascii="Arial" w:hAnsi="Arial" w:cs="Arial"/>
                <w:bCs/>
                <w:szCs w:val="22"/>
              </w:rPr>
              <w:t>sector</w:t>
            </w:r>
            <w:r w:rsidR="004A5B2E">
              <w:rPr>
                <w:rFonts w:ascii="Arial" w:hAnsi="Arial" w:cs="Arial"/>
                <w:bCs/>
                <w:szCs w:val="22"/>
              </w:rPr>
              <w:t xml:space="preserve"> of culture; Indicator 12 turns the spotlight to education; while Indicator 13 concerns all other areas of sustainable development. The fourth indicator in the set, Indicator 14, is transversal and takes in the extent to which policies and legal and administrative measures in all of these fields respect customary rights, practices and expressions. While the focus of the present indicator is on cultural </w:t>
            </w:r>
            <w:r w:rsidR="004A5B2E" w:rsidRPr="004A5B2E">
              <w:rPr>
                <w:rFonts w:ascii="Arial" w:hAnsi="Arial" w:cs="Arial"/>
                <w:bCs/>
                <w:i/>
                <w:iCs/>
                <w:szCs w:val="22"/>
              </w:rPr>
              <w:t>policies</w:t>
            </w:r>
            <w:r w:rsidR="004A5B2E">
              <w:rPr>
                <w:rFonts w:ascii="Arial" w:hAnsi="Arial" w:cs="Arial"/>
                <w:bCs/>
                <w:szCs w:val="22"/>
              </w:rPr>
              <w:t xml:space="preserve">, cultural institutions as well as their personnel, programmes and activities are the subject of Indicators 1-3, 7-10, and 15-25. </w:t>
            </w:r>
            <w:r w:rsidR="00C431A6">
              <w:rPr>
                <w:rFonts w:ascii="Arial" w:hAnsi="Arial" w:cs="Arial"/>
                <w:bCs/>
                <w:szCs w:val="22"/>
              </w:rPr>
              <w:t>Indicator 10 gives particular attention to how research and documentation are utilized in policy-making across sectors, while Indicator 19 looks at how practitioners and bearers are recognized through policies and programmes.</w:t>
            </w:r>
          </w:p>
        </w:tc>
      </w:tr>
      <w:tr w:rsidR="00896177" w:rsidRPr="00F866CD" w14:paraId="089D5740" w14:textId="77777777" w:rsidTr="009A647A">
        <w:trPr>
          <w:cantSplit/>
        </w:trPr>
        <w:tc>
          <w:tcPr>
            <w:tcW w:w="786" w:type="pct"/>
            <w:shd w:val="clear" w:color="auto" w:fill="auto"/>
          </w:tcPr>
          <w:p w14:paraId="54AA35F5" w14:textId="77777777" w:rsidR="00896177" w:rsidRPr="00F866CD" w:rsidRDefault="002C28BA" w:rsidP="00A7283F">
            <w:pPr>
              <w:spacing w:before="120"/>
              <w:rPr>
                <w:rFonts w:ascii="Arial" w:hAnsi="Arial" w:cs="Arial"/>
                <w:b/>
                <w:szCs w:val="22"/>
              </w:rPr>
            </w:pPr>
            <w:r w:rsidRPr="00F866CD">
              <w:rPr>
                <w:rFonts w:ascii="Arial" w:hAnsi="Arial" w:cs="Arial"/>
                <w:b/>
                <w:szCs w:val="22"/>
              </w:rPr>
              <w:lastRenderedPageBreak/>
              <w:t>Rationale for action</w:t>
            </w:r>
          </w:p>
        </w:tc>
        <w:tc>
          <w:tcPr>
            <w:tcW w:w="4214" w:type="pct"/>
            <w:gridSpan w:val="2"/>
            <w:shd w:val="clear" w:color="auto" w:fill="auto"/>
          </w:tcPr>
          <w:p w14:paraId="20E4E7CD" w14:textId="03CC2B5C" w:rsidR="00704766" w:rsidRPr="00F866CD" w:rsidRDefault="00696CB6" w:rsidP="00617864">
            <w:pPr>
              <w:keepLines/>
              <w:spacing w:before="120"/>
              <w:jc w:val="both"/>
              <w:rPr>
                <w:rFonts w:asciiTheme="minorBidi" w:hAnsiTheme="minorBidi" w:cstheme="minorBidi"/>
                <w:szCs w:val="22"/>
              </w:rPr>
            </w:pPr>
            <w:r>
              <w:rPr>
                <w:rFonts w:asciiTheme="minorBidi" w:hAnsiTheme="minorBidi" w:cstheme="minorBidi"/>
                <w:szCs w:val="22"/>
              </w:rPr>
              <w:t>Article 13(a) encourages States Parties to ‘</w:t>
            </w:r>
            <w:r w:rsidRPr="00696CB6">
              <w:rPr>
                <w:rFonts w:asciiTheme="minorBidi" w:hAnsiTheme="minorBidi" w:cstheme="minorBidi"/>
                <w:szCs w:val="22"/>
              </w:rPr>
              <w:t>adopt a general policy aimed at promoting the function of the intangible cultural heritage in</w:t>
            </w:r>
            <w:r>
              <w:rPr>
                <w:rFonts w:asciiTheme="minorBidi" w:hAnsiTheme="minorBidi" w:cstheme="minorBidi"/>
                <w:szCs w:val="22"/>
              </w:rPr>
              <w:t xml:space="preserve"> </w:t>
            </w:r>
            <w:r w:rsidRPr="00696CB6">
              <w:rPr>
                <w:rFonts w:asciiTheme="minorBidi" w:hAnsiTheme="minorBidi" w:cstheme="minorBidi"/>
                <w:szCs w:val="22"/>
              </w:rPr>
              <w:t>society, and at integrating the safeguarding of such heritage into planning programmes</w:t>
            </w:r>
            <w:r>
              <w:rPr>
                <w:rFonts w:asciiTheme="minorBidi" w:hAnsiTheme="minorBidi" w:cstheme="minorBidi"/>
                <w:szCs w:val="22"/>
              </w:rPr>
              <w:t xml:space="preserve">’, and a primary </w:t>
            </w:r>
            <w:r w:rsidR="0099403E">
              <w:rPr>
                <w:rFonts w:asciiTheme="minorBidi" w:hAnsiTheme="minorBidi" w:cstheme="minorBidi"/>
                <w:szCs w:val="22"/>
              </w:rPr>
              <w:t>area</w:t>
            </w:r>
            <w:r>
              <w:rPr>
                <w:rFonts w:asciiTheme="minorBidi" w:hAnsiTheme="minorBidi" w:cstheme="minorBidi"/>
                <w:szCs w:val="22"/>
              </w:rPr>
              <w:t xml:space="preserve"> of such policy-making and planning is likely to be the culture sector. </w:t>
            </w:r>
            <w:r w:rsidR="008C5FBC">
              <w:rPr>
                <w:rFonts w:asciiTheme="minorBidi" w:hAnsiTheme="minorBidi" w:cstheme="minorBidi"/>
                <w:szCs w:val="22"/>
              </w:rPr>
              <w:t>I</w:t>
            </w:r>
            <w:r w:rsidR="0099403E">
              <w:rPr>
                <w:rFonts w:asciiTheme="minorBidi" w:hAnsiTheme="minorBidi" w:cstheme="minorBidi"/>
                <w:szCs w:val="22"/>
              </w:rPr>
              <w:t xml:space="preserve">t is important to know </w:t>
            </w:r>
            <w:r w:rsidR="008C5FBC">
              <w:rPr>
                <w:rFonts w:asciiTheme="minorBidi" w:hAnsiTheme="minorBidi" w:cstheme="minorBidi"/>
                <w:szCs w:val="22"/>
              </w:rPr>
              <w:t xml:space="preserve">whether and to what extent </w:t>
            </w:r>
            <w:r w:rsidR="0099403E">
              <w:rPr>
                <w:rFonts w:asciiTheme="minorBidi" w:hAnsiTheme="minorBidi" w:cstheme="minorBidi"/>
                <w:szCs w:val="22"/>
              </w:rPr>
              <w:t>those policies and plans are actually being implemented. These may be general measures to integrate ICH into larger cultural policies (Assessment Factor 11.1) or they may take the form of strategies or action plans to safeguard ICH in general or specific elements of ICH (Assessment Factor 11.2). Keeping the focus on specific elements, whether or not inscribed, Assessment Factor 11.3 encourages State</w:t>
            </w:r>
            <w:r w:rsidR="008C5FBC">
              <w:rPr>
                <w:rFonts w:asciiTheme="minorBidi" w:hAnsiTheme="minorBidi" w:cstheme="minorBidi"/>
                <w:szCs w:val="22"/>
              </w:rPr>
              <w:t>s to</w:t>
            </w:r>
            <w:r w:rsidR="0099403E">
              <w:rPr>
                <w:rFonts w:asciiTheme="minorBidi" w:hAnsiTheme="minorBidi" w:cstheme="minorBidi"/>
                <w:szCs w:val="22"/>
              </w:rPr>
              <w:t xml:space="preserve"> provide financial and/or technical support</w:t>
            </w:r>
            <w:r w:rsidR="008C5FBC">
              <w:rPr>
                <w:rFonts w:asciiTheme="minorBidi" w:hAnsiTheme="minorBidi" w:cstheme="minorBidi"/>
                <w:szCs w:val="22"/>
              </w:rPr>
              <w:t xml:space="preserve"> for </w:t>
            </w:r>
            <w:r w:rsidR="0099403E">
              <w:rPr>
                <w:rFonts w:asciiTheme="minorBidi" w:hAnsiTheme="minorBidi" w:cstheme="minorBidi"/>
                <w:szCs w:val="22"/>
              </w:rPr>
              <w:t>safeguarding</w:t>
            </w:r>
            <w:r w:rsidR="008C5FBC">
              <w:rPr>
                <w:rFonts w:asciiTheme="minorBidi" w:hAnsiTheme="minorBidi" w:cstheme="minorBidi"/>
                <w:szCs w:val="22"/>
              </w:rPr>
              <w:t xml:space="preserve"> ICH. In doing so </w:t>
            </w:r>
            <w:r w:rsidR="0099403E">
              <w:rPr>
                <w:rFonts w:asciiTheme="minorBidi" w:hAnsiTheme="minorBidi" w:cstheme="minorBidi"/>
                <w:szCs w:val="22"/>
              </w:rPr>
              <w:t xml:space="preserve">particular attention </w:t>
            </w:r>
            <w:r w:rsidR="008C5FBC">
              <w:rPr>
                <w:rFonts w:asciiTheme="minorBidi" w:hAnsiTheme="minorBidi" w:cstheme="minorBidi"/>
                <w:szCs w:val="22"/>
              </w:rPr>
              <w:t xml:space="preserve">should be given </w:t>
            </w:r>
            <w:r w:rsidR="0099403E">
              <w:rPr>
                <w:rFonts w:asciiTheme="minorBidi" w:hAnsiTheme="minorBidi" w:cstheme="minorBidi"/>
                <w:szCs w:val="22"/>
              </w:rPr>
              <w:t xml:space="preserve">to elements that have been identified, through inventorying or other means, as being in need of urgent safeguarding. Finally, </w:t>
            </w:r>
            <w:r w:rsidR="00617864">
              <w:rPr>
                <w:rFonts w:asciiTheme="minorBidi" w:hAnsiTheme="minorBidi" w:cstheme="minorBidi"/>
                <w:szCs w:val="22"/>
              </w:rPr>
              <w:t xml:space="preserve">Assessment Factor 11.4 looks at to what extent </w:t>
            </w:r>
            <w:r w:rsidR="0099403E">
              <w:rPr>
                <w:rFonts w:asciiTheme="minorBidi" w:hAnsiTheme="minorBidi" w:cstheme="minorBidi"/>
                <w:szCs w:val="22"/>
              </w:rPr>
              <w:t xml:space="preserve">communities, groups and individuals </w:t>
            </w:r>
            <w:r w:rsidR="00617864">
              <w:rPr>
                <w:rFonts w:asciiTheme="minorBidi" w:hAnsiTheme="minorBidi" w:cstheme="minorBidi"/>
                <w:szCs w:val="22"/>
              </w:rPr>
              <w:t xml:space="preserve">are </w:t>
            </w:r>
            <w:r w:rsidR="0099403E">
              <w:rPr>
                <w:rFonts w:asciiTheme="minorBidi" w:hAnsiTheme="minorBidi" w:cstheme="minorBidi"/>
                <w:szCs w:val="22"/>
              </w:rPr>
              <w:t>actively involved in ICH safeguarding and management,</w:t>
            </w:r>
            <w:r w:rsidR="00617864">
              <w:rPr>
                <w:rFonts w:asciiTheme="minorBidi" w:hAnsiTheme="minorBidi" w:cstheme="minorBidi"/>
                <w:szCs w:val="22"/>
              </w:rPr>
              <w:t xml:space="preserve"> in line with Article 15</w:t>
            </w:r>
            <w:r w:rsidR="0099403E">
              <w:rPr>
                <w:rFonts w:asciiTheme="minorBidi" w:hAnsiTheme="minorBidi" w:cstheme="minorBidi"/>
                <w:szCs w:val="22"/>
              </w:rPr>
              <w:t>.</w:t>
            </w:r>
          </w:p>
        </w:tc>
      </w:tr>
      <w:tr w:rsidR="00704766" w:rsidRPr="00F866CD" w14:paraId="7FBA4C9B" w14:textId="77777777" w:rsidTr="009A647A">
        <w:trPr>
          <w:cantSplit/>
        </w:trPr>
        <w:tc>
          <w:tcPr>
            <w:tcW w:w="786" w:type="pct"/>
            <w:shd w:val="clear" w:color="auto" w:fill="auto"/>
          </w:tcPr>
          <w:p w14:paraId="31276D90"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t>Key terms</w:t>
            </w:r>
          </w:p>
        </w:tc>
        <w:tc>
          <w:tcPr>
            <w:tcW w:w="4214" w:type="pct"/>
            <w:gridSpan w:val="2"/>
            <w:shd w:val="clear" w:color="auto" w:fill="auto"/>
          </w:tcPr>
          <w:p w14:paraId="50A2F398" w14:textId="77777777" w:rsidR="006D324F" w:rsidRDefault="006D324F"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Policies</w:t>
            </w:r>
          </w:p>
          <w:p w14:paraId="1667F699" w14:textId="77777777" w:rsidR="006D324F" w:rsidRDefault="006D324F"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Legal measures</w:t>
            </w:r>
          </w:p>
          <w:p w14:paraId="2D6C0009" w14:textId="77777777" w:rsidR="006D324F" w:rsidRDefault="006D324F"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Administrative measures</w:t>
            </w:r>
          </w:p>
          <w:p w14:paraId="234A1271" w14:textId="77777777" w:rsidR="00704766" w:rsidRDefault="00644AB8"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Diversity (of ICH and its practitioners)</w:t>
            </w:r>
          </w:p>
          <w:p w14:paraId="6BB2433A" w14:textId="77777777" w:rsidR="00644AB8" w:rsidRDefault="00644AB8"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Elements of ICH</w:t>
            </w:r>
          </w:p>
          <w:p w14:paraId="30CA0188" w14:textId="77777777" w:rsidR="00AC3B52" w:rsidRDefault="00AC3B52"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Inscribed (whether or not inscribed)</w:t>
            </w:r>
          </w:p>
          <w:p w14:paraId="50A982D1" w14:textId="77777777" w:rsidR="00644AB8" w:rsidRDefault="00644AB8"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Participation or involvement</w:t>
            </w:r>
          </w:p>
          <w:p w14:paraId="120C5F8D" w14:textId="77777777" w:rsidR="00644AB8" w:rsidRPr="00F866CD" w:rsidRDefault="00644AB8"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Communities, groups or, in some cases, individuals</w:t>
            </w:r>
          </w:p>
        </w:tc>
      </w:tr>
    </w:tbl>
    <w:p w14:paraId="2919D2D7"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5EBA57BF" w14:textId="77777777" w:rsidR="0054175C" w:rsidRPr="00F866CD" w:rsidRDefault="0054175C" w:rsidP="00B8369A">
      <w:pPr>
        <w:keepNext/>
        <w:jc w:val="center"/>
        <w:rPr>
          <w:rFonts w:ascii="Arial" w:hAnsi="Arial" w:cs="Arial"/>
          <w:b/>
          <w:sz w:val="24"/>
        </w:rPr>
      </w:pPr>
      <w:r w:rsidRPr="00F866CD">
        <w:rPr>
          <w:rFonts w:ascii="Arial" w:hAnsi="Arial" w:cs="Arial"/>
          <w:b/>
          <w:sz w:val="24"/>
        </w:rPr>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8415"/>
      </w:tblGrid>
      <w:tr w:rsidR="009C0510" w:rsidRPr="00F866CD" w14:paraId="2F6A8BF9" w14:textId="77777777" w:rsidTr="009A647A">
        <w:tc>
          <w:tcPr>
            <w:tcW w:w="730" w:type="pct"/>
            <w:shd w:val="clear" w:color="auto" w:fill="auto"/>
          </w:tcPr>
          <w:p w14:paraId="2DC52BD4" w14:textId="77777777" w:rsidR="002C28BA" w:rsidRPr="00F866CD" w:rsidRDefault="002C28BA" w:rsidP="006B0DB6">
            <w:pPr>
              <w:spacing w:before="120"/>
              <w:rPr>
                <w:rFonts w:ascii="Arial" w:hAnsi="Arial" w:cs="Arial"/>
                <w:b/>
                <w:szCs w:val="22"/>
              </w:rPr>
            </w:pPr>
            <w:r w:rsidRPr="00F866CD">
              <w:rPr>
                <w:rFonts w:ascii="Arial" w:hAnsi="Arial" w:cs="Arial"/>
                <w:b/>
                <w:szCs w:val="22"/>
              </w:rPr>
              <w:t>Benefits of monitoring</w:t>
            </w:r>
          </w:p>
        </w:tc>
        <w:tc>
          <w:tcPr>
            <w:tcW w:w="4270" w:type="pct"/>
            <w:shd w:val="clear" w:color="auto" w:fill="auto"/>
          </w:tcPr>
          <w:p w14:paraId="002F3E02" w14:textId="12E09788" w:rsidR="002C28BA" w:rsidRPr="00621208" w:rsidRDefault="00542FCD" w:rsidP="0097797D">
            <w:pPr>
              <w:keepLines/>
              <w:spacing w:before="120"/>
              <w:jc w:val="both"/>
              <w:rPr>
                <w:rFonts w:ascii="Arial" w:hAnsi="Arial" w:cs="Arial"/>
                <w:bCs/>
                <w:szCs w:val="22"/>
              </w:rPr>
            </w:pPr>
            <w:r>
              <w:rPr>
                <w:rFonts w:ascii="Arial" w:hAnsi="Arial" w:cs="Arial"/>
                <w:bCs/>
                <w:szCs w:val="22"/>
              </w:rPr>
              <w:t>M</w:t>
            </w:r>
            <w:r w:rsidR="008F569B">
              <w:rPr>
                <w:rFonts w:ascii="Arial" w:hAnsi="Arial" w:cs="Arial"/>
                <w:bCs/>
                <w:szCs w:val="22"/>
              </w:rPr>
              <w:t xml:space="preserve">onitoring policies and legal and administrative measures </w:t>
            </w:r>
            <w:r>
              <w:rPr>
                <w:rFonts w:ascii="Arial" w:hAnsi="Arial" w:cs="Arial"/>
                <w:bCs/>
                <w:szCs w:val="22"/>
              </w:rPr>
              <w:t xml:space="preserve">is an important means of </w:t>
            </w:r>
            <w:r w:rsidR="008F569B">
              <w:rPr>
                <w:rFonts w:ascii="Arial" w:hAnsi="Arial" w:cs="Arial"/>
                <w:bCs/>
                <w:szCs w:val="22"/>
              </w:rPr>
              <w:t>demonstrat</w:t>
            </w:r>
            <w:r>
              <w:rPr>
                <w:rFonts w:ascii="Arial" w:hAnsi="Arial" w:cs="Arial"/>
                <w:bCs/>
                <w:szCs w:val="22"/>
              </w:rPr>
              <w:t>ing</w:t>
            </w:r>
            <w:r w:rsidR="008F569B">
              <w:rPr>
                <w:rFonts w:ascii="Arial" w:hAnsi="Arial" w:cs="Arial"/>
                <w:bCs/>
                <w:szCs w:val="22"/>
              </w:rPr>
              <w:t xml:space="preserve"> their </w:t>
            </w:r>
            <w:r>
              <w:rPr>
                <w:rFonts w:ascii="Arial" w:hAnsi="Arial" w:cs="Arial"/>
                <w:bCs/>
                <w:szCs w:val="22"/>
              </w:rPr>
              <w:t>effectiveness</w:t>
            </w:r>
            <w:r w:rsidR="008F569B">
              <w:rPr>
                <w:rFonts w:ascii="Arial" w:hAnsi="Arial" w:cs="Arial"/>
                <w:bCs/>
                <w:szCs w:val="22"/>
              </w:rPr>
              <w:t xml:space="preserve">. </w:t>
            </w:r>
            <w:r>
              <w:rPr>
                <w:rFonts w:ascii="Arial" w:hAnsi="Arial" w:cs="Arial"/>
                <w:bCs/>
                <w:szCs w:val="22"/>
              </w:rPr>
              <w:t>T</w:t>
            </w:r>
            <w:r w:rsidR="008F569B">
              <w:rPr>
                <w:rFonts w:ascii="Arial" w:hAnsi="Arial" w:cs="Arial"/>
                <w:bCs/>
                <w:szCs w:val="22"/>
              </w:rPr>
              <w:t xml:space="preserve">he actual experience of implementation can </w:t>
            </w:r>
            <w:r>
              <w:rPr>
                <w:rFonts w:ascii="Arial" w:hAnsi="Arial" w:cs="Arial"/>
                <w:bCs/>
                <w:szCs w:val="22"/>
              </w:rPr>
              <w:t xml:space="preserve">indicate </w:t>
            </w:r>
            <w:r w:rsidR="008F569B">
              <w:rPr>
                <w:rFonts w:ascii="Arial" w:hAnsi="Arial" w:cs="Arial"/>
                <w:bCs/>
                <w:szCs w:val="22"/>
              </w:rPr>
              <w:t>whether policies are realistic and achievable</w:t>
            </w:r>
            <w:r>
              <w:rPr>
                <w:rFonts w:ascii="Arial" w:hAnsi="Arial" w:cs="Arial"/>
                <w:bCs/>
                <w:szCs w:val="22"/>
              </w:rPr>
              <w:t>,</w:t>
            </w:r>
            <w:r w:rsidR="008F569B">
              <w:rPr>
                <w:rFonts w:ascii="Arial" w:hAnsi="Arial" w:cs="Arial"/>
                <w:bCs/>
                <w:szCs w:val="22"/>
              </w:rPr>
              <w:t xml:space="preserve"> or may need to be modified or amended. Monitoring of specific strategies and action plans can identify good practices </w:t>
            </w:r>
            <w:r>
              <w:rPr>
                <w:rFonts w:ascii="Arial" w:hAnsi="Arial" w:cs="Arial"/>
                <w:bCs/>
                <w:szCs w:val="22"/>
              </w:rPr>
              <w:t xml:space="preserve">or </w:t>
            </w:r>
            <w:r w:rsidR="008F569B">
              <w:rPr>
                <w:rFonts w:ascii="Arial" w:hAnsi="Arial" w:cs="Arial"/>
                <w:bCs/>
                <w:szCs w:val="22"/>
              </w:rPr>
              <w:t xml:space="preserve">reveal efforts that are ineffective and need to be corrected or abandoned. </w:t>
            </w:r>
            <w:r w:rsidR="003A0FFD">
              <w:rPr>
                <w:rFonts w:ascii="Arial" w:hAnsi="Arial" w:cs="Arial"/>
                <w:bCs/>
                <w:szCs w:val="22"/>
              </w:rPr>
              <w:t>It can also point to gaps in polic</w:t>
            </w:r>
            <w:r>
              <w:rPr>
                <w:rFonts w:ascii="Arial" w:hAnsi="Arial" w:cs="Arial"/>
                <w:bCs/>
                <w:szCs w:val="22"/>
              </w:rPr>
              <w:t>ies</w:t>
            </w:r>
            <w:r w:rsidR="003A0FFD">
              <w:rPr>
                <w:rFonts w:ascii="Arial" w:hAnsi="Arial" w:cs="Arial"/>
                <w:bCs/>
                <w:szCs w:val="22"/>
              </w:rPr>
              <w:t xml:space="preserve"> that </w:t>
            </w:r>
            <w:r>
              <w:rPr>
                <w:rFonts w:ascii="Arial" w:hAnsi="Arial" w:cs="Arial"/>
                <w:bCs/>
                <w:szCs w:val="22"/>
              </w:rPr>
              <w:t xml:space="preserve">might need to be </w:t>
            </w:r>
            <w:r w:rsidR="003A0FFD">
              <w:rPr>
                <w:rFonts w:ascii="Arial" w:hAnsi="Arial" w:cs="Arial"/>
                <w:bCs/>
                <w:szCs w:val="22"/>
              </w:rPr>
              <w:t>addressed.</w:t>
            </w:r>
            <w:r w:rsidR="008F569B">
              <w:rPr>
                <w:rFonts w:ascii="Arial" w:hAnsi="Arial" w:cs="Arial"/>
                <w:bCs/>
                <w:szCs w:val="22"/>
              </w:rPr>
              <w:t xml:space="preserve"> Monitoring of the policy</w:t>
            </w:r>
            <w:r>
              <w:rPr>
                <w:rFonts w:ascii="Arial" w:hAnsi="Arial" w:cs="Arial"/>
                <w:bCs/>
                <w:szCs w:val="22"/>
              </w:rPr>
              <w:t>-making</w:t>
            </w:r>
            <w:r w:rsidR="008F569B">
              <w:rPr>
                <w:rFonts w:ascii="Arial" w:hAnsi="Arial" w:cs="Arial"/>
                <w:bCs/>
                <w:szCs w:val="22"/>
              </w:rPr>
              <w:t xml:space="preserve"> process itself can reveal whether there are barriers impeding the widest possible participation of communities, groups and individuals in ICH management</w:t>
            </w:r>
            <w:r>
              <w:rPr>
                <w:rFonts w:ascii="Arial" w:hAnsi="Arial" w:cs="Arial"/>
                <w:bCs/>
                <w:szCs w:val="22"/>
              </w:rPr>
              <w:t xml:space="preserve">, and </w:t>
            </w:r>
            <w:r w:rsidR="0097797D">
              <w:rPr>
                <w:rFonts w:ascii="Arial" w:hAnsi="Arial" w:cs="Arial"/>
                <w:bCs/>
                <w:szCs w:val="22"/>
              </w:rPr>
              <w:t>may also</w:t>
            </w:r>
            <w:r>
              <w:rPr>
                <w:rFonts w:ascii="Arial" w:hAnsi="Arial" w:cs="Arial"/>
                <w:bCs/>
                <w:szCs w:val="22"/>
              </w:rPr>
              <w:t xml:space="preserve"> indicate ways to overcome them</w:t>
            </w:r>
            <w:r w:rsidR="008F569B">
              <w:rPr>
                <w:rFonts w:ascii="Arial" w:hAnsi="Arial" w:cs="Arial"/>
                <w:bCs/>
                <w:szCs w:val="22"/>
              </w:rPr>
              <w:t>. Monitoring at the global level can track how well the Convention is being integrated into the policy frameworks of States</w:t>
            </w:r>
            <w:r>
              <w:rPr>
                <w:rFonts w:ascii="Arial" w:hAnsi="Arial" w:cs="Arial"/>
                <w:bCs/>
                <w:szCs w:val="22"/>
              </w:rPr>
              <w:t xml:space="preserve"> and</w:t>
            </w:r>
            <w:r w:rsidR="008F569B">
              <w:rPr>
                <w:rFonts w:ascii="Arial" w:hAnsi="Arial" w:cs="Arial"/>
                <w:bCs/>
                <w:szCs w:val="22"/>
              </w:rPr>
              <w:t xml:space="preserve"> can identify good models of such integration.</w:t>
            </w:r>
          </w:p>
        </w:tc>
      </w:tr>
      <w:tr w:rsidR="0054175C" w:rsidRPr="00F866CD" w14:paraId="59707CE7" w14:textId="77777777" w:rsidTr="009A647A">
        <w:tc>
          <w:tcPr>
            <w:tcW w:w="730" w:type="pct"/>
            <w:shd w:val="clear" w:color="auto" w:fill="auto"/>
          </w:tcPr>
          <w:p w14:paraId="2588A09C" w14:textId="77777777" w:rsidR="0054175C" w:rsidRPr="00F866CD" w:rsidRDefault="0054175C" w:rsidP="0054175C">
            <w:pPr>
              <w:spacing w:before="120"/>
              <w:rPr>
                <w:rFonts w:ascii="Arial" w:hAnsi="Arial" w:cs="Arial"/>
                <w:b/>
                <w:szCs w:val="22"/>
              </w:rPr>
            </w:pPr>
            <w:r w:rsidRPr="00F866CD">
              <w:rPr>
                <w:rFonts w:ascii="Arial" w:hAnsi="Arial" w:cs="Arial"/>
                <w:b/>
                <w:szCs w:val="22"/>
              </w:rPr>
              <w:t>Data sources and collection</w:t>
            </w:r>
          </w:p>
        </w:tc>
        <w:tc>
          <w:tcPr>
            <w:tcW w:w="4270" w:type="pct"/>
            <w:shd w:val="clear" w:color="auto" w:fill="auto"/>
          </w:tcPr>
          <w:p w14:paraId="058637AC" w14:textId="112BD064" w:rsidR="0054175C" w:rsidRPr="00F866CD" w:rsidRDefault="00A15793" w:rsidP="0054175C">
            <w:pPr>
              <w:spacing w:before="120"/>
              <w:jc w:val="both"/>
              <w:rPr>
                <w:rFonts w:ascii="Arial" w:hAnsi="Arial" w:cs="Arial"/>
                <w:szCs w:val="22"/>
              </w:rPr>
            </w:pPr>
            <w:r>
              <w:rPr>
                <w:rFonts w:ascii="Arial" w:hAnsi="Arial" w:cs="Arial"/>
                <w:szCs w:val="22"/>
              </w:rPr>
              <w:t xml:space="preserve">Ministries of Culture are typically the institutions to formulate </w:t>
            </w:r>
            <w:r w:rsidR="009746CB">
              <w:rPr>
                <w:rFonts w:ascii="Arial" w:hAnsi="Arial" w:cs="Arial"/>
                <w:szCs w:val="22"/>
              </w:rPr>
              <w:t xml:space="preserve">policies and legal and administrative measures in the </w:t>
            </w:r>
            <w:r>
              <w:rPr>
                <w:rFonts w:ascii="Arial" w:hAnsi="Arial" w:cs="Arial"/>
                <w:szCs w:val="22"/>
              </w:rPr>
              <w:t xml:space="preserve">field of </w:t>
            </w:r>
            <w:r w:rsidR="009746CB">
              <w:rPr>
                <w:rFonts w:ascii="Arial" w:hAnsi="Arial" w:cs="Arial"/>
                <w:szCs w:val="22"/>
              </w:rPr>
              <w:t xml:space="preserve">culture. Such measures </w:t>
            </w:r>
            <w:r>
              <w:rPr>
                <w:rFonts w:ascii="Arial" w:hAnsi="Arial" w:cs="Arial"/>
                <w:szCs w:val="22"/>
              </w:rPr>
              <w:t xml:space="preserve">could </w:t>
            </w:r>
            <w:r w:rsidR="009746CB">
              <w:rPr>
                <w:rFonts w:ascii="Arial" w:hAnsi="Arial" w:cs="Arial"/>
                <w:szCs w:val="22"/>
              </w:rPr>
              <w:t xml:space="preserve">range from a national law on cultural heritage (or specifically on intangible cultural heritage) to various administrative regulations. Policies are </w:t>
            </w:r>
            <w:r>
              <w:rPr>
                <w:rFonts w:ascii="Arial" w:hAnsi="Arial" w:cs="Arial"/>
                <w:szCs w:val="22"/>
              </w:rPr>
              <w:t xml:space="preserve">generally </w:t>
            </w:r>
            <w:r w:rsidR="009746CB">
              <w:rPr>
                <w:rFonts w:ascii="Arial" w:hAnsi="Arial" w:cs="Arial"/>
                <w:szCs w:val="22"/>
              </w:rPr>
              <w:t xml:space="preserve">formulated </w:t>
            </w:r>
            <w:r>
              <w:rPr>
                <w:rFonts w:ascii="Arial" w:hAnsi="Arial" w:cs="Arial"/>
                <w:szCs w:val="22"/>
              </w:rPr>
              <w:t xml:space="preserve">in line </w:t>
            </w:r>
            <w:r w:rsidR="009746CB">
              <w:rPr>
                <w:rFonts w:ascii="Arial" w:hAnsi="Arial" w:cs="Arial"/>
                <w:szCs w:val="22"/>
              </w:rPr>
              <w:t xml:space="preserve">with such laws, and according to regular planning cycles (for instance, </w:t>
            </w:r>
            <w:proofErr w:type="gramStart"/>
            <w:r w:rsidR="009746CB">
              <w:rPr>
                <w:rFonts w:ascii="Arial" w:hAnsi="Arial" w:cs="Arial"/>
                <w:szCs w:val="22"/>
              </w:rPr>
              <w:t>five year</w:t>
            </w:r>
            <w:proofErr w:type="gramEnd"/>
            <w:r w:rsidR="009746CB">
              <w:rPr>
                <w:rFonts w:ascii="Arial" w:hAnsi="Arial" w:cs="Arial"/>
                <w:szCs w:val="22"/>
              </w:rPr>
              <w:t xml:space="preserve"> plans or ten year plans). Sub-national strategies or action plans for ICH safeguarding, including plans for specific elements, may </w:t>
            </w:r>
            <w:r>
              <w:rPr>
                <w:rFonts w:ascii="Arial" w:hAnsi="Arial" w:cs="Arial"/>
                <w:szCs w:val="22"/>
              </w:rPr>
              <w:t xml:space="preserve">also exist even if </w:t>
            </w:r>
            <w:r w:rsidR="009746CB">
              <w:rPr>
                <w:rFonts w:ascii="Arial" w:hAnsi="Arial" w:cs="Arial"/>
                <w:szCs w:val="22"/>
              </w:rPr>
              <w:t xml:space="preserve">not </w:t>
            </w:r>
            <w:r>
              <w:rPr>
                <w:rFonts w:ascii="Arial" w:hAnsi="Arial" w:cs="Arial"/>
                <w:szCs w:val="22"/>
              </w:rPr>
              <w:t xml:space="preserve">under the </w:t>
            </w:r>
            <w:r w:rsidR="009746CB">
              <w:rPr>
                <w:rFonts w:ascii="Arial" w:hAnsi="Arial" w:cs="Arial"/>
                <w:szCs w:val="22"/>
              </w:rPr>
              <w:t xml:space="preserve">direct </w:t>
            </w:r>
            <w:r>
              <w:rPr>
                <w:rFonts w:ascii="Arial" w:hAnsi="Arial" w:cs="Arial"/>
                <w:szCs w:val="22"/>
              </w:rPr>
              <w:t xml:space="preserve">oversight </w:t>
            </w:r>
            <w:r w:rsidR="009746CB">
              <w:rPr>
                <w:rFonts w:ascii="Arial" w:hAnsi="Arial" w:cs="Arial"/>
                <w:szCs w:val="22"/>
              </w:rPr>
              <w:t xml:space="preserve">of a central ministry. If the country has a consultative body or coordination mechanism (cf. Assessment Factor 1.3), that entity may also keep track of safeguarding action plans. If public financial and/or technical support is provided for safeguarding, records should be maintained by the funding body(ies). The extent to which communities, groups and individuals participate actively in the policy process </w:t>
            </w:r>
            <w:r w:rsidR="009F462D">
              <w:rPr>
                <w:rFonts w:ascii="Arial" w:hAnsi="Arial" w:cs="Arial"/>
                <w:szCs w:val="22"/>
              </w:rPr>
              <w:t>may be governed by clear guidelines or requirements for such participation, or may require more qualitative observations of the policy process.</w:t>
            </w:r>
          </w:p>
          <w:p w14:paraId="09128167" w14:textId="77777777" w:rsidR="0054175C" w:rsidRPr="00F866CD" w:rsidRDefault="00BE5B3F" w:rsidP="00617884">
            <w:pPr>
              <w:keepNext/>
              <w:keepLines/>
              <w:spacing w:before="120" w:after="60"/>
              <w:jc w:val="both"/>
              <w:rPr>
                <w:rFonts w:ascii="Arial" w:hAnsi="Arial" w:cs="Arial"/>
                <w:b/>
                <w:szCs w:val="22"/>
              </w:rPr>
            </w:pPr>
            <w:r w:rsidRPr="00F866CD">
              <w:rPr>
                <w:rFonts w:ascii="Arial" w:hAnsi="Arial" w:cs="Arial"/>
                <w:b/>
                <w:szCs w:val="22"/>
              </w:rPr>
              <w:t>P</w:t>
            </w:r>
            <w:r w:rsidR="0054175C" w:rsidRPr="00F866CD">
              <w:rPr>
                <w:rFonts w:ascii="Arial" w:hAnsi="Arial" w:cs="Arial"/>
                <w:b/>
                <w:szCs w:val="22"/>
              </w:rPr>
              <w:t>ossible data sources</w:t>
            </w:r>
          </w:p>
          <w:p w14:paraId="25FAFD93" w14:textId="77777777" w:rsidR="0054175C" w:rsidRDefault="00C0185F" w:rsidP="00617884">
            <w:pPr>
              <w:pStyle w:val="ListParagraph"/>
              <w:keepLines/>
              <w:numPr>
                <w:ilvl w:val="0"/>
                <w:numId w:val="73"/>
              </w:numPr>
              <w:spacing w:before="120"/>
              <w:jc w:val="both"/>
              <w:rPr>
                <w:rFonts w:ascii="Arial" w:hAnsi="Arial" w:cs="Arial"/>
                <w:lang w:val="en-GB"/>
              </w:rPr>
            </w:pPr>
            <w:r>
              <w:rPr>
                <w:rFonts w:ascii="Arial" w:hAnsi="Arial" w:cs="Arial"/>
                <w:lang w:val="en-GB"/>
              </w:rPr>
              <w:lastRenderedPageBreak/>
              <w:t xml:space="preserve">Official </w:t>
            </w:r>
            <w:r w:rsidR="00A15793">
              <w:rPr>
                <w:rFonts w:ascii="Arial" w:hAnsi="Arial" w:cs="Arial"/>
                <w:lang w:val="en-GB"/>
              </w:rPr>
              <w:t>gazette</w:t>
            </w:r>
            <w:r w:rsidR="00461977">
              <w:rPr>
                <w:rFonts w:ascii="Arial" w:hAnsi="Arial" w:cs="Arial"/>
                <w:lang w:val="en-GB"/>
              </w:rPr>
              <w:t>s</w:t>
            </w:r>
            <w:r w:rsidR="00A15793">
              <w:rPr>
                <w:rFonts w:ascii="Arial" w:hAnsi="Arial" w:cs="Arial"/>
                <w:lang w:val="en-GB"/>
              </w:rPr>
              <w:t>/</w:t>
            </w:r>
            <w:r>
              <w:rPr>
                <w:rFonts w:ascii="Arial" w:hAnsi="Arial" w:cs="Arial"/>
                <w:lang w:val="en-GB"/>
              </w:rPr>
              <w:t>journals or compendia of laws and legal regulations</w:t>
            </w:r>
          </w:p>
          <w:p w14:paraId="28DEA9E0" w14:textId="77777777" w:rsidR="00C0185F" w:rsidRDefault="00C0185F" w:rsidP="00BE5B3F">
            <w:pPr>
              <w:pStyle w:val="ListParagraph"/>
              <w:numPr>
                <w:ilvl w:val="0"/>
                <w:numId w:val="73"/>
              </w:numPr>
              <w:spacing w:before="120"/>
              <w:jc w:val="both"/>
              <w:rPr>
                <w:rFonts w:ascii="Arial" w:hAnsi="Arial" w:cs="Arial"/>
                <w:lang w:val="en-GB"/>
              </w:rPr>
            </w:pPr>
            <w:r>
              <w:rPr>
                <w:rFonts w:ascii="Arial" w:hAnsi="Arial" w:cs="Arial"/>
                <w:lang w:val="en-GB"/>
              </w:rPr>
              <w:t>Policy documents of the Ministry of Culture or legislative bodies</w:t>
            </w:r>
          </w:p>
          <w:p w14:paraId="0127B611" w14:textId="77777777" w:rsidR="00C0185F" w:rsidRDefault="00C0185F" w:rsidP="00BE5B3F">
            <w:pPr>
              <w:pStyle w:val="ListParagraph"/>
              <w:numPr>
                <w:ilvl w:val="0"/>
                <w:numId w:val="73"/>
              </w:numPr>
              <w:spacing w:before="120"/>
              <w:jc w:val="both"/>
              <w:rPr>
                <w:rFonts w:ascii="Arial" w:hAnsi="Arial" w:cs="Arial"/>
                <w:lang w:val="en-GB"/>
              </w:rPr>
            </w:pPr>
            <w:r>
              <w:rPr>
                <w:rFonts w:ascii="Arial" w:hAnsi="Arial" w:cs="Arial"/>
                <w:lang w:val="en-GB"/>
              </w:rPr>
              <w:t>Budgets and work plans of the Ministry of Culture and/or other funding agencies supporting ICH safeguarding</w:t>
            </w:r>
          </w:p>
          <w:p w14:paraId="6B806CC9" w14:textId="77777777" w:rsidR="00C0185F" w:rsidRDefault="00C0185F" w:rsidP="00BE5B3F">
            <w:pPr>
              <w:pStyle w:val="ListParagraph"/>
              <w:numPr>
                <w:ilvl w:val="0"/>
                <w:numId w:val="73"/>
              </w:numPr>
              <w:spacing w:before="120"/>
              <w:jc w:val="both"/>
              <w:rPr>
                <w:rFonts w:ascii="Arial" w:hAnsi="Arial" w:cs="Arial"/>
                <w:lang w:val="en-GB"/>
              </w:rPr>
            </w:pPr>
            <w:r>
              <w:rPr>
                <w:rFonts w:ascii="Arial" w:hAnsi="Arial" w:cs="Arial"/>
                <w:lang w:val="en-GB"/>
              </w:rPr>
              <w:t>Nomination files for elements proposed for inscription on the Urgent Safeguarding List or Representative List</w:t>
            </w:r>
          </w:p>
          <w:p w14:paraId="38DA4738" w14:textId="77777777" w:rsidR="009A647A" w:rsidRDefault="00C0185F" w:rsidP="00BE5B3F">
            <w:pPr>
              <w:pStyle w:val="ListParagraph"/>
              <w:numPr>
                <w:ilvl w:val="0"/>
                <w:numId w:val="73"/>
              </w:numPr>
              <w:spacing w:before="120"/>
              <w:jc w:val="both"/>
              <w:rPr>
                <w:rFonts w:ascii="Arial" w:hAnsi="Arial" w:cs="Arial"/>
                <w:lang w:val="en-GB"/>
              </w:rPr>
            </w:pPr>
            <w:r>
              <w:rPr>
                <w:rFonts w:ascii="Arial" w:hAnsi="Arial" w:cs="Arial"/>
                <w:lang w:val="en-GB"/>
              </w:rPr>
              <w:t>Nomination files for elements proposed for inclusion in a country-level list or register, if a safeguarding plan is required as part of such files</w:t>
            </w:r>
          </w:p>
          <w:p w14:paraId="28EAF973" w14:textId="77777777" w:rsidR="00C0185F" w:rsidRPr="00F866CD" w:rsidRDefault="00C0185F" w:rsidP="00BE5B3F">
            <w:pPr>
              <w:pStyle w:val="ListParagraph"/>
              <w:numPr>
                <w:ilvl w:val="0"/>
                <w:numId w:val="73"/>
              </w:numPr>
              <w:spacing w:before="120"/>
              <w:jc w:val="both"/>
              <w:rPr>
                <w:rFonts w:ascii="Arial" w:hAnsi="Arial" w:cs="Arial"/>
                <w:lang w:val="en-GB"/>
              </w:rPr>
            </w:pPr>
            <w:r>
              <w:rPr>
                <w:rFonts w:ascii="Arial" w:hAnsi="Arial" w:cs="Arial"/>
                <w:lang w:val="en-GB"/>
              </w:rPr>
              <w:t>Surveys or research carried out with communities, groups and individuals to assess their participation in policy processes</w:t>
            </w:r>
          </w:p>
        </w:tc>
      </w:tr>
    </w:tbl>
    <w:p w14:paraId="22C1172A"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7159A" w14:textId="77777777" w:rsidR="00676B1D" w:rsidRDefault="00676B1D" w:rsidP="002938F2">
      <w:r>
        <w:separator/>
      </w:r>
    </w:p>
    <w:p w14:paraId="6284893D" w14:textId="77777777" w:rsidR="00676B1D" w:rsidRDefault="00676B1D"/>
  </w:endnote>
  <w:endnote w:type="continuationSeparator" w:id="0">
    <w:p w14:paraId="21EF71C9" w14:textId="77777777" w:rsidR="00676B1D" w:rsidRDefault="00676B1D" w:rsidP="002938F2">
      <w:r>
        <w:continuationSeparator/>
      </w:r>
    </w:p>
    <w:p w14:paraId="79ECDE85" w14:textId="77777777" w:rsidR="00676B1D" w:rsidRDefault="00676B1D"/>
  </w:endnote>
  <w:endnote w:type="continuationNotice" w:id="1">
    <w:p w14:paraId="12FE6A17" w14:textId="77777777" w:rsidR="00676B1D" w:rsidRDefault="00676B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BBEC7" w14:textId="5A787B7B" w:rsidR="00C04344" w:rsidRPr="000A0709" w:rsidRDefault="00675858"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617884">
      <w:rPr>
        <w:rFonts w:ascii="Arial" w:hAnsi="Arial" w:cs="Arial"/>
        <w:noProof/>
      </w:rPr>
      <w:t>3</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C62A0" w14:textId="77777777" w:rsidR="00676B1D" w:rsidRDefault="00676B1D" w:rsidP="002938F2">
      <w:r>
        <w:separator/>
      </w:r>
    </w:p>
  </w:footnote>
  <w:footnote w:type="continuationSeparator" w:id="0">
    <w:p w14:paraId="5C7723AF" w14:textId="77777777" w:rsidR="00676B1D" w:rsidRDefault="00676B1D" w:rsidP="002938F2">
      <w:r>
        <w:continuationSeparator/>
      </w:r>
    </w:p>
    <w:p w14:paraId="61A0D3DA" w14:textId="77777777" w:rsidR="00676B1D" w:rsidRDefault="00676B1D"/>
  </w:footnote>
  <w:footnote w:type="continuationNotice" w:id="1">
    <w:p w14:paraId="1041DA54" w14:textId="77777777" w:rsidR="00676B1D" w:rsidRDefault="00676B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993F" w14:textId="77777777" w:rsidR="009A647A" w:rsidRDefault="009A6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6C33F02"/>
    <w:multiLevelType w:val="multilevel"/>
    <w:tmpl w:val="CCD463B8"/>
    <w:lvl w:ilvl="0">
      <w:start w:val="11"/>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8"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9"/>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1"/>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8"/>
  </w:num>
  <w:num w:numId="53">
    <w:abstractNumId w:val="14"/>
  </w:num>
  <w:num w:numId="54">
    <w:abstractNumId w:val="1"/>
  </w:num>
  <w:num w:numId="55">
    <w:abstractNumId w:val="33"/>
  </w:num>
  <w:num w:numId="56">
    <w:abstractNumId w:val="40"/>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6"/>
  </w:num>
  <w:num w:numId="68">
    <w:abstractNumId w:val="13"/>
  </w:num>
  <w:num w:numId="69">
    <w:abstractNumId w:val="42"/>
  </w:num>
  <w:num w:numId="70">
    <w:abstractNumId w:val="32"/>
  </w:num>
  <w:num w:numId="71">
    <w:abstractNumId w:val="27"/>
  </w:num>
  <w:num w:numId="72">
    <w:abstractNumId w:val="50"/>
  </w:num>
  <w:num w:numId="73">
    <w:abstractNumId w:val="7"/>
  </w:num>
  <w:num w:numId="74">
    <w:abstractNumId w:val="34"/>
  </w:num>
  <w:num w:numId="75">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530817"/>
    <w:rsid w:val="000016A4"/>
    <w:rsid w:val="000019DB"/>
    <w:rsid w:val="000047CC"/>
    <w:rsid w:val="00005627"/>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DA4"/>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3740"/>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73B50"/>
    <w:rsid w:val="00173E0E"/>
    <w:rsid w:val="00174B39"/>
    <w:rsid w:val="00183F6C"/>
    <w:rsid w:val="00194802"/>
    <w:rsid w:val="00194AEB"/>
    <w:rsid w:val="001A314D"/>
    <w:rsid w:val="001A431C"/>
    <w:rsid w:val="001A5519"/>
    <w:rsid w:val="001A7C3A"/>
    <w:rsid w:val="001B5C26"/>
    <w:rsid w:val="001C08BC"/>
    <w:rsid w:val="001C56BA"/>
    <w:rsid w:val="001C6D7D"/>
    <w:rsid w:val="001D00B5"/>
    <w:rsid w:val="001D3B29"/>
    <w:rsid w:val="001D59C8"/>
    <w:rsid w:val="001E4EEB"/>
    <w:rsid w:val="001E6026"/>
    <w:rsid w:val="001F216A"/>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5CB5"/>
    <w:rsid w:val="00237935"/>
    <w:rsid w:val="00237E43"/>
    <w:rsid w:val="00245E26"/>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27441"/>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794"/>
    <w:rsid w:val="00387D88"/>
    <w:rsid w:val="0039446E"/>
    <w:rsid w:val="003A0FFD"/>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58C9"/>
    <w:rsid w:val="00447C66"/>
    <w:rsid w:val="00461977"/>
    <w:rsid w:val="00462F38"/>
    <w:rsid w:val="00471B34"/>
    <w:rsid w:val="00474AFE"/>
    <w:rsid w:val="00477E66"/>
    <w:rsid w:val="00480809"/>
    <w:rsid w:val="004831C7"/>
    <w:rsid w:val="00486A5E"/>
    <w:rsid w:val="00493F92"/>
    <w:rsid w:val="004A0C2B"/>
    <w:rsid w:val="004A5B2E"/>
    <w:rsid w:val="004A610E"/>
    <w:rsid w:val="004C20E2"/>
    <w:rsid w:val="004E056C"/>
    <w:rsid w:val="004E2817"/>
    <w:rsid w:val="004E2AE8"/>
    <w:rsid w:val="004E418A"/>
    <w:rsid w:val="005016FB"/>
    <w:rsid w:val="00504256"/>
    <w:rsid w:val="00511D17"/>
    <w:rsid w:val="005157E2"/>
    <w:rsid w:val="0051699F"/>
    <w:rsid w:val="00516DE3"/>
    <w:rsid w:val="005300BF"/>
    <w:rsid w:val="00530817"/>
    <w:rsid w:val="00532631"/>
    <w:rsid w:val="005414A1"/>
    <w:rsid w:val="0054175C"/>
    <w:rsid w:val="00542FCD"/>
    <w:rsid w:val="005473CF"/>
    <w:rsid w:val="00560387"/>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17864"/>
    <w:rsid w:val="00617884"/>
    <w:rsid w:val="00621092"/>
    <w:rsid w:val="00621208"/>
    <w:rsid w:val="00632B30"/>
    <w:rsid w:val="006340A1"/>
    <w:rsid w:val="00636760"/>
    <w:rsid w:val="00644AB8"/>
    <w:rsid w:val="00644B92"/>
    <w:rsid w:val="00645B77"/>
    <w:rsid w:val="0065099D"/>
    <w:rsid w:val="006515C9"/>
    <w:rsid w:val="00651944"/>
    <w:rsid w:val="00652318"/>
    <w:rsid w:val="00652484"/>
    <w:rsid w:val="00653314"/>
    <w:rsid w:val="0067005F"/>
    <w:rsid w:val="0067015A"/>
    <w:rsid w:val="006736EC"/>
    <w:rsid w:val="00673D90"/>
    <w:rsid w:val="00675858"/>
    <w:rsid w:val="00676B1D"/>
    <w:rsid w:val="00676C1E"/>
    <w:rsid w:val="00686D60"/>
    <w:rsid w:val="00691869"/>
    <w:rsid w:val="00696CB6"/>
    <w:rsid w:val="006A0D86"/>
    <w:rsid w:val="006A49AE"/>
    <w:rsid w:val="006A56C0"/>
    <w:rsid w:val="006C0911"/>
    <w:rsid w:val="006C737A"/>
    <w:rsid w:val="006D324F"/>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3845"/>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66C3"/>
    <w:rsid w:val="00846809"/>
    <w:rsid w:val="00851458"/>
    <w:rsid w:val="00861A47"/>
    <w:rsid w:val="008629D7"/>
    <w:rsid w:val="008707FF"/>
    <w:rsid w:val="00870C94"/>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5FBC"/>
    <w:rsid w:val="008C7F60"/>
    <w:rsid w:val="008D3BF7"/>
    <w:rsid w:val="008E0DAA"/>
    <w:rsid w:val="008E194D"/>
    <w:rsid w:val="008F16C6"/>
    <w:rsid w:val="008F2A76"/>
    <w:rsid w:val="008F34A1"/>
    <w:rsid w:val="008F4F13"/>
    <w:rsid w:val="008F5052"/>
    <w:rsid w:val="008F5193"/>
    <w:rsid w:val="008F569B"/>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4BE3"/>
    <w:rsid w:val="009577E1"/>
    <w:rsid w:val="00971CA1"/>
    <w:rsid w:val="0097349C"/>
    <w:rsid w:val="009746CB"/>
    <w:rsid w:val="0097797D"/>
    <w:rsid w:val="009814C2"/>
    <w:rsid w:val="00982FFD"/>
    <w:rsid w:val="00985265"/>
    <w:rsid w:val="00985856"/>
    <w:rsid w:val="0099403E"/>
    <w:rsid w:val="009A4969"/>
    <w:rsid w:val="009A647A"/>
    <w:rsid w:val="009B1466"/>
    <w:rsid w:val="009B6973"/>
    <w:rsid w:val="009C0510"/>
    <w:rsid w:val="009C3663"/>
    <w:rsid w:val="009D098F"/>
    <w:rsid w:val="009D4547"/>
    <w:rsid w:val="009D5A49"/>
    <w:rsid w:val="009D5B48"/>
    <w:rsid w:val="009D5E38"/>
    <w:rsid w:val="009D602F"/>
    <w:rsid w:val="009D68D0"/>
    <w:rsid w:val="009E17AF"/>
    <w:rsid w:val="009F0D42"/>
    <w:rsid w:val="009F1B82"/>
    <w:rsid w:val="009F34A4"/>
    <w:rsid w:val="009F3988"/>
    <w:rsid w:val="009F462D"/>
    <w:rsid w:val="00A003D0"/>
    <w:rsid w:val="00A073FD"/>
    <w:rsid w:val="00A150C7"/>
    <w:rsid w:val="00A15793"/>
    <w:rsid w:val="00A2307A"/>
    <w:rsid w:val="00A37A40"/>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C3B52"/>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51737"/>
    <w:rsid w:val="00B51F76"/>
    <w:rsid w:val="00B6102A"/>
    <w:rsid w:val="00B6167A"/>
    <w:rsid w:val="00B62ED0"/>
    <w:rsid w:val="00B64196"/>
    <w:rsid w:val="00B66A7A"/>
    <w:rsid w:val="00B70266"/>
    <w:rsid w:val="00B74304"/>
    <w:rsid w:val="00B82F05"/>
    <w:rsid w:val="00B8369A"/>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185F"/>
    <w:rsid w:val="00C02924"/>
    <w:rsid w:val="00C04344"/>
    <w:rsid w:val="00C17FE4"/>
    <w:rsid w:val="00C21897"/>
    <w:rsid w:val="00C276EE"/>
    <w:rsid w:val="00C43146"/>
    <w:rsid w:val="00C431A6"/>
    <w:rsid w:val="00C43757"/>
    <w:rsid w:val="00C43BCE"/>
    <w:rsid w:val="00C47CF1"/>
    <w:rsid w:val="00C50A3C"/>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4434"/>
    <w:rsid w:val="00CB590B"/>
    <w:rsid w:val="00CC02C5"/>
    <w:rsid w:val="00CC2BC6"/>
    <w:rsid w:val="00CC3AAB"/>
    <w:rsid w:val="00CD2139"/>
    <w:rsid w:val="00CD324E"/>
    <w:rsid w:val="00CD4A28"/>
    <w:rsid w:val="00CD54BD"/>
    <w:rsid w:val="00CD6C36"/>
    <w:rsid w:val="00CE2586"/>
    <w:rsid w:val="00CE286C"/>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B468E"/>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64BE4"/>
    <w:rsid w:val="00E85565"/>
    <w:rsid w:val="00E8663C"/>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4E3D"/>
    <w:rsid w:val="00F67029"/>
    <w:rsid w:val="00F70858"/>
    <w:rsid w:val="00F71BBC"/>
    <w:rsid w:val="00F7397F"/>
    <w:rsid w:val="00F75949"/>
    <w:rsid w:val="00F75CF4"/>
    <w:rsid w:val="00F80A1F"/>
    <w:rsid w:val="00F866CD"/>
    <w:rsid w:val="00F941F0"/>
    <w:rsid w:val="00F97FF5"/>
    <w:rsid w:val="00FA7CE6"/>
    <w:rsid w:val="00FB01D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830709"/>
  <w15:docId w15:val="{50464EDB-4301-494B-BB2B-B26340B1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9A6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2D44-C82D-40F6-B923-6CA32E42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18</TotalTime>
  <Pages>3</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4</cp:revision>
  <dcterms:created xsi:type="dcterms:W3CDTF">2019-07-23T00:07:00Z</dcterms:created>
  <dcterms:modified xsi:type="dcterms:W3CDTF">2019-12-06T17:06:00Z</dcterms:modified>
</cp:coreProperties>
</file>