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1C9E3" w14:textId="77777777" w:rsidR="000A0709" w:rsidRPr="00F866CD" w:rsidRDefault="003B31BE" w:rsidP="00886B71">
      <w:pPr>
        <w:pageBreakBefore/>
        <w:jc w:val="center"/>
        <w:rPr>
          <w:rFonts w:ascii="Arial" w:hAnsi="Arial" w:cs="Arial"/>
          <w:b/>
          <w:bCs/>
          <w:sz w:val="24"/>
          <w:szCs w:val="28"/>
        </w:rPr>
      </w:pPr>
      <w:r>
        <w:rPr>
          <w:rFonts w:ascii="Arial" w:hAnsi="Arial" w:cs="Arial"/>
          <w:b/>
          <w:bCs/>
          <w:sz w:val="24"/>
          <w:szCs w:val="28"/>
          <w:lang w:val="fr"/>
        </w:rPr>
        <w:t>Aperçu et justification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1"/>
        <w:gridCol w:w="6483"/>
        <w:gridCol w:w="1434"/>
      </w:tblGrid>
      <w:tr w:rsidR="005473CF" w:rsidRPr="00C67961" w14:paraId="0AF449A7" w14:textId="77777777" w:rsidTr="009A647A">
        <w:trPr>
          <w:cantSplit/>
        </w:trPr>
        <w:tc>
          <w:tcPr>
            <w:tcW w:w="786" w:type="pct"/>
            <w:shd w:val="clear" w:color="auto" w:fill="auto"/>
          </w:tcPr>
          <w:p w14:paraId="455AE70D" w14:textId="77777777" w:rsidR="005473CF" w:rsidRPr="00F866CD" w:rsidRDefault="005B0FE5" w:rsidP="00DA2ECC">
            <w:pPr>
              <w:spacing w:before="120"/>
              <w:rPr>
                <w:rFonts w:ascii="Arial" w:hAnsi="Arial" w:cs="Arial"/>
                <w:b/>
                <w:szCs w:val="22"/>
              </w:rPr>
            </w:pPr>
            <w:r>
              <w:rPr>
                <w:rFonts w:ascii="Arial" w:hAnsi="Arial" w:cs="Arial"/>
                <w:b/>
                <w:bCs/>
                <w:szCs w:val="22"/>
                <w:lang w:val="fr"/>
              </w:rPr>
              <w:t>Indicateur</w:t>
            </w:r>
          </w:p>
        </w:tc>
        <w:tc>
          <w:tcPr>
            <w:tcW w:w="4214" w:type="pct"/>
            <w:gridSpan w:val="2"/>
            <w:shd w:val="clear" w:color="auto" w:fill="auto"/>
          </w:tcPr>
          <w:p w14:paraId="4B5EB28B" w14:textId="77777777" w:rsidR="005473CF" w:rsidRPr="00AE11F6" w:rsidRDefault="00530817" w:rsidP="00387794">
            <w:pPr>
              <w:keepLines/>
              <w:spacing w:before="120"/>
              <w:ind w:left="567" w:hanging="567"/>
              <w:rPr>
                <w:rFonts w:ascii="Arial" w:hAnsi="Arial" w:cs="Arial"/>
                <w:b/>
                <w:szCs w:val="22"/>
                <w:lang w:val="fr-FR"/>
              </w:rPr>
            </w:pPr>
            <w:r>
              <w:rPr>
                <w:rFonts w:ascii="Arial" w:hAnsi="Arial" w:cs="Arial"/>
                <w:b/>
                <w:bCs/>
                <w:szCs w:val="22"/>
                <w:lang w:val="fr"/>
              </w:rPr>
              <w:t>11.</w:t>
            </w:r>
            <w:r>
              <w:rPr>
                <w:rFonts w:ascii="Arial" w:hAnsi="Arial" w:cs="Arial"/>
                <w:b/>
                <w:bCs/>
                <w:szCs w:val="22"/>
                <w:lang w:val="fr"/>
              </w:rPr>
              <w:tab/>
              <w:t>Mesure dans laquelle les politiques ainsi que les mesures juridiques et administratives relatives à la culture reflètent la diversité du PCI et l’importance de sa sauvegarde et sont mises en œuvre</w:t>
            </w:r>
          </w:p>
        </w:tc>
      </w:tr>
      <w:tr w:rsidR="005B0FE5" w:rsidRPr="00C67961" w14:paraId="426ABD8A" w14:textId="77777777" w:rsidTr="009A647A">
        <w:trPr>
          <w:cantSplit/>
        </w:trPr>
        <w:tc>
          <w:tcPr>
            <w:tcW w:w="786" w:type="pct"/>
            <w:vMerge w:val="restart"/>
            <w:shd w:val="clear" w:color="auto" w:fill="auto"/>
          </w:tcPr>
          <w:p w14:paraId="58BA4643" w14:textId="3F9A4860" w:rsidR="005B0FE5" w:rsidRPr="00F866CD" w:rsidRDefault="005B0FE5" w:rsidP="00DA2ECC">
            <w:pPr>
              <w:spacing w:before="120"/>
              <w:rPr>
                <w:rFonts w:ascii="Arial" w:hAnsi="Arial" w:cs="Arial"/>
                <w:b/>
                <w:szCs w:val="22"/>
              </w:rPr>
            </w:pPr>
            <w:r>
              <w:rPr>
                <w:rFonts w:ascii="Arial" w:hAnsi="Arial" w:cs="Arial"/>
                <w:b/>
                <w:bCs/>
                <w:szCs w:val="22"/>
                <w:lang w:val="fr"/>
              </w:rPr>
              <w:t>Facteurs d'</w:t>
            </w:r>
            <w:r w:rsidR="00C33020" w:rsidRPr="00C33020">
              <w:rPr>
                <w:rFonts w:ascii="Arial" w:hAnsi="Arial" w:cs="Arial"/>
                <w:b/>
                <w:bCs/>
                <w:szCs w:val="22"/>
                <w:lang w:val="fr"/>
              </w:rPr>
              <w:t>appréciation</w:t>
            </w:r>
          </w:p>
        </w:tc>
        <w:tc>
          <w:tcPr>
            <w:tcW w:w="4214" w:type="pct"/>
            <w:gridSpan w:val="2"/>
            <w:shd w:val="clear" w:color="auto" w:fill="auto"/>
          </w:tcPr>
          <w:p w14:paraId="7D2653D3" w14:textId="77777777" w:rsidR="005B0FE5" w:rsidRPr="00AE11F6" w:rsidRDefault="005B0FE5" w:rsidP="00946D71">
            <w:pPr>
              <w:keepLines/>
              <w:spacing w:before="120"/>
              <w:jc w:val="both"/>
              <w:rPr>
                <w:rFonts w:ascii="Arial" w:hAnsi="Arial" w:cs="Arial"/>
                <w:b/>
                <w:szCs w:val="22"/>
                <w:lang w:val="fr-FR"/>
              </w:rPr>
            </w:pPr>
            <w:r>
              <w:rPr>
                <w:rFonts w:ascii="Arial" w:hAnsi="Arial" w:cs="Arial"/>
                <w:szCs w:val="22"/>
                <w:lang w:val="fr"/>
              </w:rPr>
              <w:t>Cet indicateur est évalué sur la base de quatre facteurs nationaux suivis et rapportés par chaque État partie :</w:t>
            </w:r>
          </w:p>
        </w:tc>
      </w:tr>
      <w:tr w:rsidR="00644AB8" w:rsidRPr="00F866CD" w14:paraId="1DC490A2" w14:textId="77777777" w:rsidTr="009A647A">
        <w:trPr>
          <w:cantSplit/>
        </w:trPr>
        <w:tc>
          <w:tcPr>
            <w:tcW w:w="786" w:type="pct"/>
            <w:vMerge/>
            <w:shd w:val="clear" w:color="auto" w:fill="auto"/>
          </w:tcPr>
          <w:p w14:paraId="13F62297" w14:textId="77777777" w:rsidR="00644AB8" w:rsidRPr="00AE11F6" w:rsidRDefault="00644AB8" w:rsidP="00644AB8">
            <w:pPr>
              <w:spacing w:before="120"/>
              <w:rPr>
                <w:rFonts w:ascii="Arial" w:hAnsi="Arial" w:cs="Arial"/>
                <w:b/>
                <w:szCs w:val="22"/>
                <w:lang w:val="fr-FR"/>
              </w:rPr>
            </w:pPr>
          </w:p>
        </w:tc>
        <w:tc>
          <w:tcPr>
            <w:tcW w:w="3418" w:type="pct"/>
            <w:shd w:val="clear" w:color="auto" w:fill="auto"/>
            <w:vAlign w:val="center"/>
          </w:tcPr>
          <w:p w14:paraId="0F0D10C0" w14:textId="1CD75D26" w:rsidR="00644AB8" w:rsidRPr="00AE11F6" w:rsidRDefault="00644AB8" w:rsidP="00617884">
            <w:pPr>
              <w:pStyle w:val="Paragraphedeliste"/>
              <w:keepLines/>
              <w:numPr>
                <w:ilvl w:val="1"/>
                <w:numId w:val="75"/>
              </w:numPr>
              <w:spacing w:before="120" w:after="120" w:line="240" w:lineRule="auto"/>
              <w:ind w:left="583" w:hanging="583"/>
              <w:contextualSpacing w:val="0"/>
              <w:rPr>
                <w:rFonts w:ascii="Arial" w:hAnsi="Arial" w:cs="Arial"/>
                <w:sz w:val="20"/>
                <w:szCs w:val="20"/>
                <w:lang w:val="fr-FR"/>
              </w:rPr>
            </w:pPr>
            <w:r>
              <w:rPr>
                <w:rFonts w:ascii="Arial" w:hAnsi="Arial" w:cs="Arial"/>
                <w:sz w:val="20"/>
                <w:szCs w:val="20"/>
                <w:lang w:val="fr"/>
              </w:rPr>
              <w:t>Des politiques culturelles et/ou des mesures juridiques et administratives intégrant le PCI et sa sauvegarde, et reflétant sa diversité, ont été élaborées ou révisées et sont mises en œuvre.</w:t>
            </w:r>
          </w:p>
        </w:tc>
        <w:tc>
          <w:tcPr>
            <w:tcW w:w="796" w:type="pct"/>
            <w:shd w:val="clear" w:color="auto" w:fill="auto"/>
            <w:vAlign w:val="center"/>
          </w:tcPr>
          <w:p w14:paraId="03484449" w14:textId="77777777" w:rsidR="00644AB8" w:rsidRPr="00A8072E" w:rsidRDefault="00644AB8" w:rsidP="00644AB8">
            <w:pPr>
              <w:spacing w:before="60" w:after="60"/>
              <w:rPr>
                <w:rFonts w:ascii="Arial" w:hAnsi="Arial" w:cs="Arial"/>
                <w:sz w:val="20"/>
                <w:szCs w:val="20"/>
              </w:rPr>
            </w:pPr>
            <w:r w:rsidRPr="00AE11F6">
              <w:rPr>
                <w:rFonts w:ascii="Arial" w:hAnsi="Arial" w:cs="Arial"/>
                <w:sz w:val="20"/>
                <w:szCs w:val="20"/>
                <w:lang w:val="en-US"/>
              </w:rPr>
              <w:t>Article 13(a)</w:t>
            </w:r>
          </w:p>
          <w:p w14:paraId="06705048" w14:textId="77777777" w:rsidR="00644AB8" w:rsidRPr="0074360F" w:rsidRDefault="00644AB8" w:rsidP="00644AB8">
            <w:pPr>
              <w:keepLines/>
              <w:spacing w:before="120"/>
              <w:rPr>
                <w:rFonts w:ascii="Arial" w:hAnsi="Arial" w:cs="Arial"/>
                <w:sz w:val="20"/>
                <w:szCs w:val="20"/>
              </w:rPr>
            </w:pPr>
            <w:r w:rsidRPr="00AE11F6">
              <w:rPr>
                <w:rFonts w:ascii="Arial" w:hAnsi="Arial" w:cs="Arial"/>
                <w:sz w:val="20"/>
                <w:szCs w:val="20"/>
                <w:lang w:val="en-US"/>
              </w:rPr>
              <w:t>DO 153(b)(</w:t>
            </w:r>
            <w:proofErr w:type="spellStart"/>
            <w:r w:rsidRPr="00AE11F6">
              <w:rPr>
                <w:rFonts w:ascii="Arial" w:hAnsi="Arial" w:cs="Arial"/>
                <w:sz w:val="20"/>
                <w:szCs w:val="20"/>
                <w:lang w:val="en-US"/>
              </w:rPr>
              <w:t>i</w:t>
            </w:r>
            <w:proofErr w:type="spellEnd"/>
            <w:r w:rsidRPr="00AE11F6">
              <w:rPr>
                <w:rFonts w:ascii="Arial" w:hAnsi="Arial" w:cs="Arial"/>
                <w:sz w:val="20"/>
                <w:szCs w:val="20"/>
                <w:lang w:val="en-US"/>
              </w:rPr>
              <w:t xml:space="preserve">), </w:t>
            </w:r>
            <w:r w:rsidRPr="00AE11F6">
              <w:rPr>
                <w:rFonts w:ascii="Arial" w:hAnsi="Arial" w:cs="Arial"/>
                <w:sz w:val="20"/>
                <w:szCs w:val="20"/>
                <w:lang w:val="en-US"/>
              </w:rPr>
              <w:br/>
              <w:t>DO 171(d)</w:t>
            </w:r>
          </w:p>
        </w:tc>
      </w:tr>
      <w:tr w:rsidR="00644AB8" w:rsidRPr="00F866CD" w14:paraId="730D3623" w14:textId="77777777" w:rsidTr="009A647A">
        <w:trPr>
          <w:cantSplit/>
        </w:trPr>
        <w:tc>
          <w:tcPr>
            <w:tcW w:w="786" w:type="pct"/>
            <w:vMerge/>
            <w:shd w:val="clear" w:color="auto" w:fill="auto"/>
          </w:tcPr>
          <w:p w14:paraId="18ED6359" w14:textId="77777777" w:rsidR="00644AB8" w:rsidRPr="00F866CD" w:rsidRDefault="00644AB8" w:rsidP="00644AB8">
            <w:pPr>
              <w:spacing w:before="120"/>
              <w:rPr>
                <w:rFonts w:ascii="Arial" w:hAnsi="Arial" w:cs="Arial"/>
                <w:b/>
                <w:szCs w:val="22"/>
              </w:rPr>
            </w:pPr>
          </w:p>
        </w:tc>
        <w:tc>
          <w:tcPr>
            <w:tcW w:w="3418" w:type="pct"/>
            <w:shd w:val="clear" w:color="auto" w:fill="auto"/>
            <w:vAlign w:val="center"/>
          </w:tcPr>
          <w:p w14:paraId="66090304" w14:textId="77777777" w:rsidR="00644AB8" w:rsidRPr="00AE11F6" w:rsidRDefault="00644AB8" w:rsidP="00617884">
            <w:pPr>
              <w:pStyle w:val="Paragraphedeliste"/>
              <w:keepLines/>
              <w:numPr>
                <w:ilvl w:val="1"/>
                <w:numId w:val="75"/>
              </w:numPr>
              <w:spacing w:before="120" w:after="120" w:line="240" w:lineRule="auto"/>
              <w:ind w:left="583" w:hanging="583"/>
              <w:contextualSpacing w:val="0"/>
              <w:rPr>
                <w:rFonts w:ascii="Arial" w:hAnsi="Arial" w:cs="Arial"/>
                <w:sz w:val="20"/>
                <w:szCs w:val="20"/>
                <w:lang w:val="fr-FR"/>
              </w:rPr>
            </w:pPr>
            <w:r>
              <w:rPr>
                <w:rFonts w:ascii="Arial" w:hAnsi="Arial" w:cs="Arial"/>
                <w:sz w:val="20"/>
                <w:szCs w:val="20"/>
                <w:lang w:val="fr"/>
              </w:rPr>
              <w:t>Des stratégies et/ou des plans d’action nationaux ou infranationaux de sauvegarde du PCI sont élaborés ou révisés et sont mis en œuvre, y compris des plans de sauvegarde d’éléments spécifiques, qu’ils soient inscrits ou non.</w:t>
            </w:r>
          </w:p>
        </w:tc>
        <w:tc>
          <w:tcPr>
            <w:tcW w:w="796" w:type="pct"/>
            <w:shd w:val="clear" w:color="auto" w:fill="auto"/>
            <w:vAlign w:val="center"/>
          </w:tcPr>
          <w:p w14:paraId="02C5A30F" w14:textId="77777777" w:rsidR="00644AB8" w:rsidRPr="0074360F" w:rsidRDefault="00644AB8" w:rsidP="00644AB8">
            <w:pPr>
              <w:spacing w:before="60" w:after="60"/>
              <w:rPr>
                <w:rFonts w:ascii="Arial" w:hAnsi="Arial" w:cs="Arial"/>
                <w:sz w:val="20"/>
                <w:szCs w:val="20"/>
              </w:rPr>
            </w:pPr>
            <w:r>
              <w:rPr>
                <w:rFonts w:ascii="Arial" w:hAnsi="Arial" w:cs="Arial"/>
                <w:sz w:val="20"/>
                <w:szCs w:val="20"/>
                <w:lang w:val="fr"/>
              </w:rPr>
              <w:t>DO 1, DO 2</w:t>
            </w:r>
          </w:p>
        </w:tc>
      </w:tr>
      <w:tr w:rsidR="00530817" w:rsidRPr="00C67961" w14:paraId="3CEC01C5" w14:textId="77777777" w:rsidTr="009A647A">
        <w:trPr>
          <w:cantSplit/>
        </w:trPr>
        <w:tc>
          <w:tcPr>
            <w:tcW w:w="786" w:type="pct"/>
            <w:vMerge/>
            <w:shd w:val="clear" w:color="auto" w:fill="auto"/>
          </w:tcPr>
          <w:p w14:paraId="5CE2C5B1" w14:textId="77777777" w:rsidR="00530817" w:rsidRPr="00F866CD" w:rsidRDefault="00530817" w:rsidP="00530817">
            <w:pPr>
              <w:spacing w:before="120"/>
              <w:rPr>
                <w:rFonts w:ascii="Arial" w:hAnsi="Arial" w:cs="Arial"/>
                <w:b/>
                <w:szCs w:val="22"/>
              </w:rPr>
            </w:pPr>
          </w:p>
        </w:tc>
        <w:tc>
          <w:tcPr>
            <w:tcW w:w="3418" w:type="pct"/>
            <w:shd w:val="clear" w:color="auto" w:fill="auto"/>
            <w:vAlign w:val="center"/>
          </w:tcPr>
          <w:p w14:paraId="02C6F424" w14:textId="0D1D3F38" w:rsidR="00530817" w:rsidRPr="00AE11F6" w:rsidRDefault="00530817" w:rsidP="00617884">
            <w:pPr>
              <w:pStyle w:val="Paragraphedeliste"/>
              <w:keepLines/>
              <w:numPr>
                <w:ilvl w:val="1"/>
                <w:numId w:val="75"/>
              </w:numPr>
              <w:spacing w:before="120" w:after="120" w:line="240" w:lineRule="auto"/>
              <w:ind w:left="583" w:hanging="583"/>
              <w:contextualSpacing w:val="0"/>
              <w:rPr>
                <w:rFonts w:ascii="Arial" w:hAnsi="Arial" w:cs="Arial"/>
                <w:sz w:val="20"/>
                <w:szCs w:val="20"/>
                <w:lang w:val="fr-FR"/>
              </w:rPr>
            </w:pPr>
            <w:r>
              <w:rPr>
                <w:rFonts w:ascii="Arial" w:hAnsi="Arial" w:cs="Arial"/>
                <w:sz w:val="20"/>
                <w:szCs w:val="20"/>
                <w:lang w:val="fr"/>
              </w:rPr>
              <w:t>Le soutien public, financier et/ou technique pour la sauvegarde d’éléments du PCI, qu’ils soient inscrits ou non, est fourni sur une base équitable par rapport au soutien global apporté à la culture et au patrimoine en général, tout en tenant compte de la priorité accordée à ceux identifiés comme ayant besoin d’une sauvegarde urgente.</w:t>
            </w:r>
          </w:p>
        </w:tc>
        <w:tc>
          <w:tcPr>
            <w:tcW w:w="796" w:type="pct"/>
            <w:shd w:val="clear" w:color="auto" w:fill="auto"/>
            <w:vAlign w:val="center"/>
          </w:tcPr>
          <w:p w14:paraId="2590BE94" w14:textId="77777777" w:rsidR="00530817" w:rsidRPr="00AE11F6" w:rsidRDefault="00530817" w:rsidP="00530817">
            <w:pPr>
              <w:keepLines/>
              <w:spacing w:before="120"/>
              <w:rPr>
                <w:rFonts w:ascii="Arial" w:hAnsi="Arial" w:cs="Arial"/>
                <w:sz w:val="20"/>
                <w:szCs w:val="20"/>
                <w:lang w:val="fr-FR"/>
              </w:rPr>
            </w:pPr>
          </w:p>
        </w:tc>
      </w:tr>
      <w:tr w:rsidR="00530817" w:rsidRPr="00F866CD" w14:paraId="3CA40930" w14:textId="77777777" w:rsidTr="009A647A">
        <w:trPr>
          <w:cantSplit/>
        </w:trPr>
        <w:tc>
          <w:tcPr>
            <w:tcW w:w="786" w:type="pct"/>
            <w:vMerge/>
            <w:shd w:val="clear" w:color="auto" w:fill="auto"/>
          </w:tcPr>
          <w:p w14:paraId="450CB06B" w14:textId="77777777" w:rsidR="00530817" w:rsidRPr="00AE11F6" w:rsidRDefault="00530817" w:rsidP="00530817">
            <w:pPr>
              <w:spacing w:before="120"/>
              <w:rPr>
                <w:rFonts w:ascii="Arial" w:hAnsi="Arial" w:cs="Arial"/>
                <w:b/>
                <w:szCs w:val="22"/>
                <w:lang w:val="fr-FR"/>
              </w:rPr>
            </w:pPr>
          </w:p>
        </w:tc>
        <w:tc>
          <w:tcPr>
            <w:tcW w:w="3418" w:type="pct"/>
            <w:shd w:val="clear" w:color="auto" w:fill="auto"/>
            <w:vAlign w:val="center"/>
          </w:tcPr>
          <w:p w14:paraId="12D8C826" w14:textId="360EF49A" w:rsidR="00530817" w:rsidRPr="00AE11F6" w:rsidRDefault="00530817" w:rsidP="00617884">
            <w:pPr>
              <w:pStyle w:val="Paragraphedeliste"/>
              <w:keepLines/>
              <w:numPr>
                <w:ilvl w:val="1"/>
                <w:numId w:val="75"/>
              </w:numPr>
              <w:spacing w:before="120" w:after="120" w:line="240" w:lineRule="auto"/>
              <w:ind w:left="583" w:hanging="583"/>
              <w:contextualSpacing w:val="0"/>
              <w:rPr>
                <w:rFonts w:ascii="Arial" w:hAnsi="Arial" w:cs="Arial"/>
                <w:sz w:val="20"/>
                <w:szCs w:val="20"/>
                <w:lang w:val="fr-FR"/>
              </w:rPr>
            </w:pPr>
            <w:r>
              <w:rPr>
                <w:rFonts w:ascii="Arial" w:hAnsi="Arial" w:cs="Arial"/>
                <w:sz w:val="20"/>
                <w:szCs w:val="20"/>
                <w:lang w:val="fr"/>
              </w:rPr>
              <w:t xml:space="preserve">Les politiques culturelles et/ou les mesures juridiques et administratives intégrant le PCI et sa sauvegarde sont </w:t>
            </w:r>
            <w:r w:rsidR="00832B20">
              <w:rPr>
                <w:rFonts w:ascii="Arial" w:hAnsi="Arial" w:cs="Arial"/>
                <w:sz w:val="20"/>
                <w:szCs w:val="20"/>
                <w:lang w:val="fr"/>
              </w:rPr>
              <w:t>éclairées</w:t>
            </w:r>
            <w:r>
              <w:rPr>
                <w:rFonts w:ascii="Arial" w:hAnsi="Arial" w:cs="Arial"/>
                <w:sz w:val="20"/>
                <w:szCs w:val="20"/>
                <w:lang w:val="fr"/>
              </w:rPr>
              <w:t xml:space="preserve"> par la participation active des communautés, des groupes et des individus.</w:t>
            </w:r>
          </w:p>
        </w:tc>
        <w:tc>
          <w:tcPr>
            <w:tcW w:w="796" w:type="pct"/>
            <w:shd w:val="clear" w:color="auto" w:fill="auto"/>
            <w:vAlign w:val="center"/>
          </w:tcPr>
          <w:p w14:paraId="21831407" w14:textId="77777777" w:rsidR="00530817" w:rsidRPr="0074360F" w:rsidRDefault="00B51F76" w:rsidP="00530817">
            <w:pPr>
              <w:keepLines/>
              <w:spacing w:before="120"/>
              <w:rPr>
                <w:rFonts w:ascii="Arial" w:hAnsi="Arial" w:cs="Arial"/>
                <w:sz w:val="20"/>
                <w:szCs w:val="20"/>
              </w:rPr>
            </w:pPr>
            <w:r>
              <w:rPr>
                <w:rFonts w:ascii="Arial" w:hAnsi="Arial" w:cs="Arial"/>
                <w:sz w:val="20"/>
                <w:szCs w:val="20"/>
                <w:lang w:val="fr"/>
              </w:rPr>
              <w:t>Article 15</w:t>
            </w:r>
          </w:p>
        </w:tc>
      </w:tr>
      <w:tr w:rsidR="005473CF" w:rsidRPr="00C67961" w14:paraId="645965FB" w14:textId="77777777" w:rsidTr="009A647A">
        <w:trPr>
          <w:cantSplit/>
        </w:trPr>
        <w:tc>
          <w:tcPr>
            <w:tcW w:w="786" w:type="pct"/>
            <w:shd w:val="clear" w:color="auto" w:fill="auto"/>
          </w:tcPr>
          <w:p w14:paraId="7C015C90" w14:textId="77777777" w:rsidR="005473CF" w:rsidRPr="00AE11F6" w:rsidRDefault="005473CF" w:rsidP="005473CF">
            <w:pPr>
              <w:spacing w:before="120"/>
              <w:rPr>
                <w:rFonts w:ascii="Arial" w:hAnsi="Arial" w:cs="Arial"/>
                <w:b/>
                <w:szCs w:val="22"/>
                <w:lang w:val="fr-FR"/>
              </w:rPr>
            </w:pPr>
            <w:r>
              <w:rPr>
                <w:rFonts w:ascii="Arial" w:hAnsi="Arial" w:cs="Arial"/>
                <w:b/>
                <w:bCs/>
                <w:szCs w:val="22"/>
                <w:lang w:val="fr"/>
              </w:rPr>
              <w:lastRenderedPageBreak/>
              <w:t>Relation avec les ODD et autres indicateurs</w:t>
            </w:r>
          </w:p>
        </w:tc>
        <w:tc>
          <w:tcPr>
            <w:tcW w:w="4214" w:type="pct"/>
            <w:gridSpan w:val="2"/>
            <w:shd w:val="clear" w:color="auto" w:fill="auto"/>
          </w:tcPr>
          <w:p w14:paraId="5B48F041" w14:textId="2ABE2CC1" w:rsidR="00E8663C" w:rsidRPr="00AE11F6" w:rsidRDefault="005473CF" w:rsidP="00E8663C">
            <w:pPr>
              <w:keepLines/>
              <w:spacing w:before="120"/>
              <w:jc w:val="both"/>
              <w:rPr>
                <w:rFonts w:ascii="Arial" w:hAnsi="Arial" w:cs="Arial"/>
                <w:szCs w:val="22"/>
                <w:lang w:val="fr-FR"/>
              </w:rPr>
            </w:pPr>
            <w:r>
              <w:rPr>
                <w:rFonts w:ascii="Arial" w:hAnsi="Arial" w:cs="Arial"/>
                <w:b/>
                <w:bCs/>
                <w:szCs w:val="22"/>
                <w:lang w:val="fr"/>
              </w:rPr>
              <w:t xml:space="preserve">Objectifs de développement durable : </w:t>
            </w:r>
            <w:r>
              <w:rPr>
                <w:rFonts w:ascii="Arial" w:hAnsi="Arial" w:cs="Arial"/>
                <w:szCs w:val="22"/>
                <w:lang w:val="fr"/>
              </w:rPr>
              <w:t>Si la culture est reconnue comme un catalyseur</w:t>
            </w:r>
            <w:r>
              <w:rPr>
                <w:rFonts w:ascii="Arial" w:hAnsi="Arial" w:cs="Arial"/>
                <w:b/>
                <w:bCs/>
                <w:szCs w:val="22"/>
                <w:lang w:val="fr"/>
              </w:rPr>
              <w:t xml:space="preserve"> </w:t>
            </w:r>
            <w:r>
              <w:rPr>
                <w:rFonts w:ascii="Arial" w:hAnsi="Arial" w:cs="Arial"/>
                <w:szCs w:val="22"/>
                <w:lang w:val="fr"/>
              </w:rPr>
              <w:t>des dimensions économique, sociale et environnementale du développement durable, il s'ensuit que les politiques culturelles peuvent avoir un impact sur un large éventail d'ODD. Dans ce contexte, la sauvegarde du patrimoine culturel immatériel peut contribuer aux ODD relatifs à l'agriculture durable (objectif 2), à la santé et au bien-être (objectif 3), à l'utilisation durable de l'eau (objectif 6), à la biodiversité (objectif 15) et autres. Néanmoins, le présent indicateur peut être considéré comme soutenant spécifiquement l</w:t>
            </w:r>
            <w:r w:rsidR="00977E67">
              <w:rPr>
                <w:rFonts w:ascii="Arial" w:hAnsi="Arial" w:cs="Arial"/>
                <w:szCs w:val="22"/>
                <w:lang w:val="fr"/>
              </w:rPr>
              <w:t>a cible</w:t>
            </w:r>
            <w:r>
              <w:rPr>
                <w:rFonts w:ascii="Arial" w:hAnsi="Arial" w:cs="Arial"/>
                <w:szCs w:val="22"/>
                <w:lang w:val="fr"/>
              </w:rPr>
              <w:t xml:space="preserve"> 16.7 des ODD, qui vise à « assurer une prise de décision réactive, inclusive, participative et représentative à tous les niveaux », et l</w:t>
            </w:r>
            <w:r w:rsidR="00977E67">
              <w:rPr>
                <w:rFonts w:ascii="Arial" w:hAnsi="Arial" w:cs="Arial"/>
                <w:szCs w:val="22"/>
                <w:lang w:val="fr"/>
              </w:rPr>
              <w:t>a cible</w:t>
            </w:r>
            <w:r>
              <w:rPr>
                <w:rFonts w:ascii="Arial" w:hAnsi="Arial" w:cs="Arial"/>
                <w:szCs w:val="22"/>
                <w:lang w:val="fr"/>
              </w:rPr>
              <w:t xml:space="preserve"> 17.14 des ODD, qui appelle à une cohérence politique renforcée pour le développement durable. Comme tous les indicateurs, il répond également à l</w:t>
            </w:r>
            <w:r w:rsidR="00977E67">
              <w:rPr>
                <w:rFonts w:ascii="Arial" w:hAnsi="Arial" w:cs="Arial"/>
                <w:szCs w:val="22"/>
                <w:lang w:val="fr"/>
              </w:rPr>
              <w:t>a cible</w:t>
            </w:r>
            <w:r>
              <w:rPr>
                <w:rFonts w:ascii="Arial" w:hAnsi="Arial" w:cs="Arial"/>
                <w:szCs w:val="22"/>
                <w:lang w:val="fr"/>
              </w:rPr>
              <w:t xml:space="preserve"> 11.4 des ODD, « Renforcer les efforts pour protéger et sauvegarder le patrimoine culturel et naturel mondial ». </w:t>
            </w:r>
          </w:p>
          <w:p w14:paraId="1835D5D7" w14:textId="045318D8" w:rsidR="005473CF" w:rsidRPr="00AE11F6" w:rsidRDefault="005473CF" w:rsidP="0097797D">
            <w:pPr>
              <w:keepLines/>
              <w:spacing w:before="120"/>
              <w:jc w:val="both"/>
              <w:rPr>
                <w:rFonts w:ascii="Arial" w:hAnsi="Arial" w:cs="Arial"/>
                <w:b/>
                <w:szCs w:val="22"/>
                <w:lang w:val="fr-FR"/>
              </w:rPr>
            </w:pPr>
            <w:r>
              <w:rPr>
                <w:rFonts w:ascii="Arial" w:hAnsi="Arial" w:cs="Arial"/>
                <w:b/>
                <w:bCs/>
                <w:szCs w:val="22"/>
                <w:lang w:val="fr"/>
              </w:rPr>
              <w:t>Relation avec d'autres indicateurs :</w:t>
            </w:r>
            <w:r>
              <w:rPr>
                <w:rFonts w:ascii="Arial" w:hAnsi="Arial" w:cs="Arial"/>
                <w:szCs w:val="22"/>
                <w:lang w:val="fr"/>
              </w:rPr>
              <w:t xml:space="preserve"> Il existe quatre indicateurs complémentaires concernant les politiques et les mesures juridiques et administratives (11-14). Le présent indicateur 11 se concentre sur le secteur de la culture ; l'indicateur 12 met l'accent sur l'éducation ; et l'indicateur 13 concerne tous les autres domaines du développement durable. Le quatrième indicateur de l'ensemble, l'indicateur 14, est transversal et porte sur la mesure selon laquelle les politiques et les mesures juridiques et administratives dans tous ces domaines respectent les droits, pratiques et </w:t>
            </w:r>
            <w:proofErr w:type="gramStart"/>
            <w:r>
              <w:rPr>
                <w:rFonts w:ascii="Arial" w:hAnsi="Arial" w:cs="Arial"/>
                <w:szCs w:val="22"/>
                <w:lang w:val="fr"/>
              </w:rPr>
              <w:t>expressions coutumiers</w:t>
            </w:r>
            <w:proofErr w:type="gramEnd"/>
            <w:r>
              <w:rPr>
                <w:rFonts w:ascii="Arial" w:hAnsi="Arial" w:cs="Arial"/>
                <w:szCs w:val="22"/>
                <w:lang w:val="fr"/>
              </w:rPr>
              <w:t xml:space="preserve">. Tandis que le présent indicateur est axé sur les </w:t>
            </w:r>
            <w:r>
              <w:rPr>
                <w:rFonts w:ascii="Arial" w:hAnsi="Arial" w:cs="Arial"/>
                <w:i/>
                <w:iCs/>
                <w:szCs w:val="22"/>
                <w:lang w:val="fr"/>
              </w:rPr>
              <w:t>politiques</w:t>
            </w:r>
            <w:r>
              <w:rPr>
                <w:rFonts w:ascii="Arial" w:hAnsi="Arial" w:cs="Arial"/>
                <w:szCs w:val="22"/>
                <w:lang w:val="fr"/>
              </w:rPr>
              <w:t xml:space="preserve"> culturelles, les institutions culturelles ainsi que leur personnel, leurs programmes et leurs activités font l'objet des indicateurs 1-3, 7-10 et 15-25. L'indicateur 10 accorde une attention particulière à la manière dont la recherche et la documentation sont utilisées dans l'élaboration des politiques dans tous les secteurs, tandis que l'indicateur 19 examine comment les praticiens et les porteurs sont reconnus par les politiques et programmes.</w:t>
            </w:r>
          </w:p>
        </w:tc>
      </w:tr>
      <w:tr w:rsidR="00896177" w:rsidRPr="00C67961" w14:paraId="089D5740" w14:textId="77777777" w:rsidTr="009A647A">
        <w:trPr>
          <w:cantSplit/>
        </w:trPr>
        <w:tc>
          <w:tcPr>
            <w:tcW w:w="786" w:type="pct"/>
            <w:shd w:val="clear" w:color="auto" w:fill="auto"/>
          </w:tcPr>
          <w:p w14:paraId="54AA35F5" w14:textId="77777777" w:rsidR="00896177" w:rsidRPr="00F866CD" w:rsidRDefault="002C28BA" w:rsidP="00A7283F">
            <w:pPr>
              <w:spacing w:before="120"/>
              <w:rPr>
                <w:rFonts w:ascii="Arial" w:hAnsi="Arial" w:cs="Arial"/>
                <w:b/>
                <w:szCs w:val="22"/>
              </w:rPr>
            </w:pPr>
            <w:r>
              <w:rPr>
                <w:rFonts w:ascii="Arial" w:hAnsi="Arial" w:cs="Arial"/>
                <w:b/>
                <w:bCs/>
                <w:szCs w:val="22"/>
                <w:lang w:val="fr"/>
              </w:rPr>
              <w:t>Justification de l'action</w:t>
            </w:r>
          </w:p>
        </w:tc>
        <w:tc>
          <w:tcPr>
            <w:tcW w:w="4214" w:type="pct"/>
            <w:gridSpan w:val="2"/>
            <w:shd w:val="clear" w:color="auto" w:fill="auto"/>
          </w:tcPr>
          <w:p w14:paraId="20E4E7CD" w14:textId="237D37F7" w:rsidR="00704766" w:rsidRPr="00AE11F6" w:rsidRDefault="00696CB6" w:rsidP="00617864">
            <w:pPr>
              <w:keepLines/>
              <w:spacing w:before="120"/>
              <w:jc w:val="both"/>
              <w:rPr>
                <w:rFonts w:asciiTheme="minorBidi" w:hAnsiTheme="minorBidi" w:cstheme="minorBidi"/>
                <w:szCs w:val="22"/>
                <w:lang w:val="fr-FR"/>
              </w:rPr>
            </w:pPr>
            <w:r>
              <w:rPr>
                <w:rFonts w:asciiTheme="minorBidi" w:hAnsiTheme="minorBidi" w:cstheme="minorBidi"/>
                <w:szCs w:val="22"/>
                <w:lang w:val="fr"/>
              </w:rPr>
              <w:t>L'article 13(a) encourage les États parties à « adopter une politique générale visant à mettre en valeur la fonction du patrimoine culturel immatériel dans la société et à intégrer la sauvegarde de ce patrimoine dans des programmes de planification », et l'un des principaux domaines de cette politique et de cette planification est probablement le secteur culturel. Il est important de savoir si et dans quelle mesure ces politiques et plans sont effectivement mis en œuvre. Il peut s'agir de mesures générales visant à intégrer le PCI dans des politiques culturelles plus vastes (facteur d'</w:t>
            </w:r>
            <w:r w:rsidR="00640727" w:rsidRPr="00640727">
              <w:rPr>
                <w:rFonts w:asciiTheme="minorBidi" w:hAnsiTheme="minorBidi" w:cstheme="minorBidi"/>
                <w:szCs w:val="22"/>
                <w:lang w:val="fr"/>
              </w:rPr>
              <w:t>appréciation</w:t>
            </w:r>
            <w:r>
              <w:rPr>
                <w:rFonts w:asciiTheme="minorBidi" w:hAnsiTheme="minorBidi" w:cstheme="minorBidi"/>
                <w:szCs w:val="22"/>
                <w:lang w:val="fr"/>
              </w:rPr>
              <w:t xml:space="preserve"> 11.1) ou de stratégies ou de plans d'action visant à sauvegarder le PCI en général ou des éléments spécifiques du PCI (facteur d'</w:t>
            </w:r>
            <w:r w:rsidR="00640727" w:rsidRPr="00640727">
              <w:rPr>
                <w:rFonts w:asciiTheme="minorBidi" w:hAnsiTheme="minorBidi" w:cstheme="minorBidi"/>
                <w:szCs w:val="22"/>
                <w:lang w:val="fr"/>
              </w:rPr>
              <w:t>appréciation</w:t>
            </w:r>
            <w:r>
              <w:rPr>
                <w:rFonts w:asciiTheme="minorBidi" w:hAnsiTheme="minorBidi" w:cstheme="minorBidi"/>
                <w:szCs w:val="22"/>
                <w:lang w:val="fr"/>
              </w:rPr>
              <w:t xml:space="preserve"> 11.2). En mettant l'accent sur des éléments spécifiques, inscrits ou non, le facteur d'</w:t>
            </w:r>
            <w:r w:rsidR="00640727" w:rsidRPr="00640727">
              <w:rPr>
                <w:rFonts w:asciiTheme="minorBidi" w:hAnsiTheme="minorBidi" w:cstheme="minorBidi"/>
                <w:szCs w:val="22"/>
                <w:lang w:val="fr"/>
              </w:rPr>
              <w:t>appréciation</w:t>
            </w:r>
            <w:r>
              <w:rPr>
                <w:rFonts w:asciiTheme="minorBidi" w:hAnsiTheme="minorBidi" w:cstheme="minorBidi"/>
                <w:szCs w:val="22"/>
                <w:lang w:val="fr"/>
              </w:rPr>
              <w:t xml:space="preserve"> 11.3 encourage les États à fournir un soutien financier et/ou technique pour sauvegarder le PCI. Ce faisant, une attention particulière devrait être accordée aux éléments qui ont été identifiés, par inventaire ou par d'autres moyens, comme nécessitant une sauvegarde urgente. Enfin, le facteur d'</w:t>
            </w:r>
            <w:r w:rsidR="00640727" w:rsidRPr="00640727">
              <w:rPr>
                <w:rFonts w:asciiTheme="minorBidi" w:hAnsiTheme="minorBidi" w:cstheme="minorBidi"/>
                <w:szCs w:val="22"/>
                <w:lang w:val="fr"/>
              </w:rPr>
              <w:t>appréciation</w:t>
            </w:r>
            <w:r>
              <w:rPr>
                <w:rFonts w:asciiTheme="minorBidi" w:hAnsiTheme="minorBidi" w:cstheme="minorBidi"/>
                <w:szCs w:val="22"/>
                <w:lang w:val="fr"/>
              </w:rPr>
              <w:t xml:space="preserve"> 11.4 examine dans quelle mesure les communautés, les groupes et les individus sont activement impliqués dans la sauvegarde et la gestion du PCI, conformément à l'article 15.</w:t>
            </w:r>
          </w:p>
        </w:tc>
      </w:tr>
      <w:tr w:rsidR="00704766" w:rsidRPr="00C67961" w14:paraId="7FBA4C9B" w14:textId="77777777" w:rsidTr="009A647A">
        <w:trPr>
          <w:cantSplit/>
        </w:trPr>
        <w:tc>
          <w:tcPr>
            <w:tcW w:w="786" w:type="pct"/>
            <w:shd w:val="clear" w:color="auto" w:fill="auto"/>
          </w:tcPr>
          <w:p w14:paraId="31276D90" w14:textId="77777777" w:rsidR="00704766" w:rsidRPr="00F866CD" w:rsidRDefault="00704766" w:rsidP="00BE5B3F">
            <w:pPr>
              <w:spacing w:before="120" w:after="60"/>
              <w:jc w:val="both"/>
              <w:rPr>
                <w:rFonts w:asciiTheme="minorBidi" w:hAnsiTheme="minorBidi" w:cstheme="minorBidi"/>
                <w:b/>
                <w:szCs w:val="22"/>
              </w:rPr>
            </w:pPr>
            <w:r>
              <w:rPr>
                <w:rFonts w:asciiTheme="minorBidi" w:hAnsiTheme="minorBidi" w:cstheme="minorBidi"/>
                <w:b/>
                <w:bCs/>
                <w:szCs w:val="22"/>
                <w:lang w:val="fr"/>
              </w:rPr>
              <w:t>Termes clés</w:t>
            </w:r>
          </w:p>
        </w:tc>
        <w:tc>
          <w:tcPr>
            <w:tcW w:w="4214" w:type="pct"/>
            <w:gridSpan w:val="2"/>
            <w:shd w:val="clear" w:color="auto" w:fill="auto"/>
          </w:tcPr>
          <w:p w14:paraId="50A2F398" w14:textId="77777777" w:rsidR="006D324F" w:rsidRDefault="006D324F"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Politiques</w:t>
            </w:r>
          </w:p>
          <w:p w14:paraId="1667F699" w14:textId="77777777" w:rsidR="006D324F" w:rsidRDefault="006D324F"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Mesures juridiques</w:t>
            </w:r>
          </w:p>
          <w:p w14:paraId="2D6C0009" w14:textId="77777777" w:rsidR="006D324F" w:rsidRDefault="006D324F"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Mesures administratives</w:t>
            </w:r>
          </w:p>
          <w:p w14:paraId="234A1271" w14:textId="77777777" w:rsidR="00704766" w:rsidRPr="00AE11F6" w:rsidRDefault="00644AB8" w:rsidP="00704766">
            <w:pPr>
              <w:pStyle w:val="Paragraphedeliste"/>
              <w:numPr>
                <w:ilvl w:val="0"/>
                <w:numId w:val="71"/>
              </w:numPr>
              <w:spacing w:before="120" w:after="120"/>
              <w:ind w:left="714" w:hanging="357"/>
              <w:jc w:val="both"/>
              <w:rPr>
                <w:rFonts w:asciiTheme="minorBidi" w:hAnsiTheme="minorBidi" w:cstheme="minorBidi"/>
                <w:lang w:val="fr-FR"/>
              </w:rPr>
            </w:pPr>
            <w:r>
              <w:rPr>
                <w:rFonts w:asciiTheme="minorBidi" w:hAnsiTheme="minorBidi" w:cstheme="minorBidi"/>
                <w:lang w:val="fr"/>
              </w:rPr>
              <w:t>Diversité (du PCI et de ses praticiens)</w:t>
            </w:r>
          </w:p>
          <w:p w14:paraId="6BB2433A" w14:textId="77777777" w:rsidR="00644AB8" w:rsidRDefault="00644AB8"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Éléments du PCI</w:t>
            </w:r>
          </w:p>
          <w:p w14:paraId="30CA0188" w14:textId="77777777" w:rsidR="00AC3B52" w:rsidRDefault="00AC3B52"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Inscription (inscrit ou non)</w:t>
            </w:r>
          </w:p>
          <w:p w14:paraId="50A982D1" w14:textId="77777777" w:rsidR="00644AB8" w:rsidRDefault="00644AB8"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Participation ou implication</w:t>
            </w:r>
          </w:p>
          <w:p w14:paraId="120C5F8D" w14:textId="77777777" w:rsidR="00644AB8" w:rsidRPr="00AE11F6" w:rsidRDefault="00644AB8" w:rsidP="00704766">
            <w:pPr>
              <w:pStyle w:val="Paragraphedeliste"/>
              <w:numPr>
                <w:ilvl w:val="0"/>
                <w:numId w:val="71"/>
              </w:numPr>
              <w:spacing w:before="120" w:after="120"/>
              <w:ind w:left="714" w:hanging="357"/>
              <w:jc w:val="both"/>
              <w:rPr>
                <w:rFonts w:asciiTheme="minorBidi" w:hAnsiTheme="minorBidi" w:cstheme="minorBidi"/>
                <w:lang w:val="fr-FR"/>
              </w:rPr>
            </w:pPr>
            <w:r>
              <w:rPr>
                <w:rFonts w:asciiTheme="minorBidi" w:hAnsiTheme="minorBidi" w:cstheme="minorBidi"/>
                <w:lang w:val="fr"/>
              </w:rPr>
              <w:t>Communautés, groupes ou, dans certains cas, individus</w:t>
            </w:r>
          </w:p>
        </w:tc>
      </w:tr>
    </w:tbl>
    <w:p w14:paraId="2919D2D7" w14:textId="77777777" w:rsidR="0054175C" w:rsidRPr="00AE11F6" w:rsidRDefault="0054175C" w:rsidP="0054175C">
      <w:pPr>
        <w:jc w:val="center"/>
        <w:rPr>
          <w:rFonts w:ascii="Arial" w:hAnsi="Arial" w:cs="Arial"/>
          <w:b/>
          <w:sz w:val="24"/>
          <w:lang w:val="fr-FR"/>
        </w:rPr>
        <w:sectPr w:rsidR="0054175C" w:rsidRPr="00AE11F6" w:rsidSect="000F25BA">
          <w:footerReference w:type="default" r:id="rId8"/>
          <w:pgSz w:w="11906" w:h="16838" w:code="9"/>
          <w:pgMar w:top="1418" w:right="1134" w:bottom="1134" w:left="1134" w:header="397" w:footer="284" w:gutter="0"/>
          <w:cols w:space="708"/>
          <w:docGrid w:linePitch="360"/>
        </w:sectPr>
      </w:pPr>
    </w:p>
    <w:p w14:paraId="5EBA57BF" w14:textId="77777777" w:rsidR="0054175C" w:rsidRPr="00AE11F6" w:rsidRDefault="0054175C" w:rsidP="00B8369A">
      <w:pPr>
        <w:keepNext/>
        <w:jc w:val="center"/>
        <w:rPr>
          <w:rFonts w:ascii="Arial" w:hAnsi="Arial" w:cs="Arial"/>
          <w:b/>
          <w:sz w:val="24"/>
          <w:lang w:val="fr-FR"/>
        </w:rPr>
      </w:pPr>
      <w:r>
        <w:rPr>
          <w:rFonts w:ascii="Arial" w:hAnsi="Arial" w:cs="Arial"/>
          <w:b/>
          <w:bCs/>
          <w:sz w:val="24"/>
          <w:lang w:val="fr"/>
        </w:rPr>
        <w:t>Orientations spécifiques sur le suivi et l'établissement de rapports périodiques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8"/>
        <w:gridCol w:w="8190"/>
      </w:tblGrid>
      <w:tr w:rsidR="009C0510" w:rsidRPr="00C67961" w14:paraId="2F6A8BF9" w14:textId="77777777" w:rsidTr="00152958">
        <w:tc>
          <w:tcPr>
            <w:tcW w:w="747" w:type="pct"/>
            <w:shd w:val="clear" w:color="auto" w:fill="auto"/>
          </w:tcPr>
          <w:p w14:paraId="2DC52BD4" w14:textId="77777777" w:rsidR="002C28BA" w:rsidRPr="00F866CD" w:rsidRDefault="002C28BA" w:rsidP="006B0DB6">
            <w:pPr>
              <w:spacing w:before="120"/>
              <w:rPr>
                <w:rFonts w:ascii="Arial" w:hAnsi="Arial" w:cs="Arial"/>
                <w:b/>
                <w:szCs w:val="22"/>
              </w:rPr>
            </w:pPr>
            <w:r>
              <w:rPr>
                <w:rFonts w:ascii="Arial" w:hAnsi="Arial" w:cs="Arial"/>
                <w:b/>
                <w:bCs/>
                <w:szCs w:val="22"/>
                <w:lang w:val="fr"/>
              </w:rPr>
              <w:t>Avantages du suivi</w:t>
            </w:r>
          </w:p>
        </w:tc>
        <w:tc>
          <w:tcPr>
            <w:tcW w:w="4253" w:type="pct"/>
            <w:shd w:val="clear" w:color="auto" w:fill="auto"/>
          </w:tcPr>
          <w:p w14:paraId="002F3E02" w14:textId="12E09788" w:rsidR="002C28BA" w:rsidRPr="00AE11F6" w:rsidRDefault="00542FCD" w:rsidP="0097797D">
            <w:pPr>
              <w:keepLines/>
              <w:spacing w:before="120"/>
              <w:jc w:val="both"/>
              <w:rPr>
                <w:rFonts w:ascii="Arial" w:hAnsi="Arial" w:cs="Arial"/>
                <w:bCs/>
                <w:szCs w:val="22"/>
                <w:lang w:val="fr-FR"/>
              </w:rPr>
            </w:pPr>
            <w:r>
              <w:rPr>
                <w:rFonts w:ascii="Arial" w:hAnsi="Arial" w:cs="Arial"/>
                <w:szCs w:val="22"/>
                <w:lang w:val="fr"/>
              </w:rPr>
              <w:t xml:space="preserve">Le suivi des politiques et des mesures juridiques et administratives est un moyen important de démontrer leur efficacité. L'expérience réelle de la mise en œuvre peut indiquer si les politiques sont réalistes et réalisables, ou si elles doivent être modifiées ou amendées. Le suivi de stratégies et de plans d'action spécifiques peut identifier les bonnes pratiques ou révéler des efforts inefficaces qui doivent être corrigés ou abandonnés. Il peut également mettre en évidence des lacunes dans les politiques qu'il faudra peut-être combler. Le suivi du processus d'élaboration des politiques lui-même peut révéler s'il existe des obstacles empêchant la participation </w:t>
            </w:r>
            <w:proofErr w:type="gramStart"/>
            <w:r>
              <w:rPr>
                <w:rFonts w:ascii="Arial" w:hAnsi="Arial" w:cs="Arial"/>
                <w:szCs w:val="22"/>
                <w:lang w:val="fr"/>
              </w:rPr>
              <w:t>la plus large possible</w:t>
            </w:r>
            <w:proofErr w:type="gramEnd"/>
            <w:r>
              <w:rPr>
                <w:rFonts w:ascii="Arial" w:hAnsi="Arial" w:cs="Arial"/>
                <w:szCs w:val="22"/>
                <w:lang w:val="fr"/>
              </w:rPr>
              <w:t xml:space="preserve"> des communautés, des groupes et des individus à la gestion du PCI, et peut également indiquer comment les surmonter. Le suivi au niveau mondial permet de déterminer dans quelle mesure la Convention est bien intégrée dans les cadres politiques des États et d'identifier de bons modèles de cette intégration.</w:t>
            </w:r>
          </w:p>
        </w:tc>
      </w:tr>
      <w:tr w:rsidR="0054175C" w:rsidRPr="00C67961" w14:paraId="59707CE7" w14:textId="77777777" w:rsidTr="00152958">
        <w:tc>
          <w:tcPr>
            <w:tcW w:w="747" w:type="pct"/>
            <w:shd w:val="clear" w:color="auto" w:fill="auto"/>
          </w:tcPr>
          <w:p w14:paraId="2588A09C" w14:textId="77777777" w:rsidR="0054175C" w:rsidRPr="00AE11F6" w:rsidRDefault="0054175C" w:rsidP="0054175C">
            <w:pPr>
              <w:spacing w:before="120"/>
              <w:rPr>
                <w:rFonts w:ascii="Arial" w:hAnsi="Arial" w:cs="Arial"/>
                <w:b/>
                <w:szCs w:val="22"/>
                <w:lang w:val="fr-FR"/>
              </w:rPr>
            </w:pPr>
            <w:r>
              <w:rPr>
                <w:rFonts w:ascii="Arial" w:hAnsi="Arial" w:cs="Arial"/>
                <w:b/>
                <w:bCs/>
                <w:szCs w:val="22"/>
                <w:lang w:val="fr"/>
              </w:rPr>
              <w:t>Sources et collecte des données</w:t>
            </w:r>
          </w:p>
        </w:tc>
        <w:tc>
          <w:tcPr>
            <w:tcW w:w="4253" w:type="pct"/>
            <w:shd w:val="clear" w:color="auto" w:fill="auto"/>
          </w:tcPr>
          <w:p w14:paraId="058637AC" w14:textId="3AA5CE76" w:rsidR="0054175C" w:rsidRPr="00AE11F6" w:rsidRDefault="00A15793" w:rsidP="0054175C">
            <w:pPr>
              <w:spacing w:before="120"/>
              <w:jc w:val="both"/>
              <w:rPr>
                <w:rFonts w:ascii="Arial" w:hAnsi="Arial" w:cs="Arial"/>
                <w:szCs w:val="22"/>
                <w:lang w:val="fr-FR"/>
              </w:rPr>
            </w:pPr>
            <w:r>
              <w:rPr>
                <w:rFonts w:ascii="Arial" w:hAnsi="Arial" w:cs="Arial"/>
                <w:szCs w:val="22"/>
                <w:lang w:val="fr"/>
              </w:rPr>
              <w:t>Les ministères de la Culture sont généralement les institutions chargées de formuler les politiques et les mesures juridiques et administratives dans le domaine de la culture. Ces mesures pourraient aller d'une loi nationale sur le patrimoine culturel (ou spécifiquement sur le patrimoine culturel immatériel) à diverses réglementations administratives. Les politiques sont généralement formulées conformément à ces lois et selon des cycles de planification réguliers (par exemple, plans quinquennaux ou plans décennaux). Des stratégies ou plans d'action infranationaux pour la sauvegarde du PCI, y compris des plans pour des éléments spécifiques, peuvent également exister même s'ils ne sont pas sous la supervision directe d'un ministère central. Si le pays dispose d'un organe consultatif ou d'un mécanisme de coordination (cf. Facteur d'</w:t>
            </w:r>
            <w:r w:rsidR="0066236E" w:rsidRPr="0066236E">
              <w:rPr>
                <w:rFonts w:ascii="Arial" w:hAnsi="Arial" w:cs="Arial"/>
                <w:szCs w:val="22"/>
                <w:lang w:val="fr"/>
              </w:rPr>
              <w:t>appréciation</w:t>
            </w:r>
            <w:r>
              <w:rPr>
                <w:rFonts w:ascii="Arial" w:hAnsi="Arial" w:cs="Arial"/>
                <w:szCs w:val="22"/>
                <w:lang w:val="fr"/>
              </w:rPr>
              <w:t xml:space="preserve"> 1.3), cette entité peut également assurer le suivi des plans d'action de sauvegarde. Si un soutien financier et/ou technique public est fourni pour la sauvegarde, les dossiers doivent être conservés par le ou les organismes de financement. La mesure dans laquelle les communautés, les groupes et les individus participent activement au processus d'élaboration des politiques peut être régie par des lignes directrices ou des exigences claires pour une telle participation, ou peut exiger des observations plus qualitatives du processus.</w:t>
            </w:r>
          </w:p>
          <w:p w14:paraId="09128167" w14:textId="77777777" w:rsidR="0054175C" w:rsidRPr="00F866CD" w:rsidRDefault="00BE5B3F" w:rsidP="00617884">
            <w:pPr>
              <w:keepNext/>
              <w:keepLines/>
              <w:spacing w:before="120" w:after="60"/>
              <w:jc w:val="both"/>
              <w:rPr>
                <w:rFonts w:ascii="Arial" w:hAnsi="Arial" w:cs="Arial"/>
                <w:b/>
                <w:szCs w:val="22"/>
              </w:rPr>
            </w:pPr>
            <w:r>
              <w:rPr>
                <w:rFonts w:ascii="Arial" w:hAnsi="Arial" w:cs="Arial"/>
                <w:b/>
                <w:bCs/>
                <w:szCs w:val="22"/>
                <w:lang w:val="fr"/>
              </w:rPr>
              <w:t>Sources de données possibles</w:t>
            </w:r>
          </w:p>
          <w:p w14:paraId="25FAFD93" w14:textId="77777777" w:rsidR="0054175C" w:rsidRPr="00AE11F6" w:rsidRDefault="00C0185F" w:rsidP="00617884">
            <w:pPr>
              <w:pStyle w:val="Paragraphedeliste"/>
              <w:keepLines/>
              <w:numPr>
                <w:ilvl w:val="0"/>
                <w:numId w:val="73"/>
              </w:numPr>
              <w:spacing w:before="120"/>
              <w:jc w:val="both"/>
              <w:rPr>
                <w:rFonts w:ascii="Arial" w:hAnsi="Arial" w:cs="Arial"/>
                <w:lang w:val="fr-FR"/>
              </w:rPr>
            </w:pPr>
            <w:r>
              <w:rPr>
                <w:rFonts w:ascii="Arial" w:hAnsi="Arial" w:cs="Arial"/>
                <w:lang w:val="fr"/>
              </w:rPr>
              <w:t>Journaux officiels ou recueils de lois et de règlements juridiques</w:t>
            </w:r>
          </w:p>
          <w:p w14:paraId="28DEA9E0" w14:textId="77777777" w:rsidR="00C0185F" w:rsidRPr="00AE11F6" w:rsidRDefault="00C0185F" w:rsidP="00BE5B3F">
            <w:pPr>
              <w:pStyle w:val="Paragraphedeliste"/>
              <w:numPr>
                <w:ilvl w:val="0"/>
                <w:numId w:val="73"/>
              </w:numPr>
              <w:spacing w:before="120"/>
              <w:jc w:val="both"/>
              <w:rPr>
                <w:rFonts w:ascii="Arial" w:hAnsi="Arial" w:cs="Arial"/>
                <w:lang w:val="fr-FR"/>
              </w:rPr>
            </w:pPr>
            <w:r>
              <w:rPr>
                <w:rFonts w:ascii="Arial" w:hAnsi="Arial" w:cs="Arial"/>
                <w:lang w:val="fr"/>
              </w:rPr>
              <w:t>Documents de politique générale du Ministère de la culture ou des organes législatifs</w:t>
            </w:r>
          </w:p>
          <w:p w14:paraId="0127B611" w14:textId="77777777" w:rsidR="00C0185F" w:rsidRPr="00AE11F6" w:rsidRDefault="00C0185F" w:rsidP="00BE5B3F">
            <w:pPr>
              <w:pStyle w:val="Paragraphedeliste"/>
              <w:numPr>
                <w:ilvl w:val="0"/>
                <w:numId w:val="73"/>
              </w:numPr>
              <w:spacing w:before="120"/>
              <w:jc w:val="both"/>
              <w:rPr>
                <w:rFonts w:ascii="Arial" w:hAnsi="Arial" w:cs="Arial"/>
                <w:lang w:val="fr-FR"/>
              </w:rPr>
            </w:pPr>
            <w:r>
              <w:rPr>
                <w:rFonts w:ascii="Arial" w:hAnsi="Arial" w:cs="Arial"/>
                <w:lang w:val="fr"/>
              </w:rPr>
              <w:t>Budgets et plans de travail du Ministère de la culture et/ou d'autres organismes de financement appuyant la sauvegarde du PCI</w:t>
            </w:r>
          </w:p>
          <w:p w14:paraId="6B806CC9" w14:textId="77777777" w:rsidR="00C0185F" w:rsidRPr="00AE11F6" w:rsidRDefault="00C0185F" w:rsidP="00BE5B3F">
            <w:pPr>
              <w:pStyle w:val="Paragraphedeliste"/>
              <w:numPr>
                <w:ilvl w:val="0"/>
                <w:numId w:val="73"/>
              </w:numPr>
              <w:spacing w:before="120"/>
              <w:jc w:val="both"/>
              <w:rPr>
                <w:rFonts w:ascii="Arial" w:hAnsi="Arial" w:cs="Arial"/>
                <w:lang w:val="fr-FR"/>
              </w:rPr>
            </w:pPr>
            <w:r>
              <w:rPr>
                <w:rFonts w:ascii="Arial" w:hAnsi="Arial" w:cs="Arial"/>
                <w:lang w:val="fr"/>
              </w:rPr>
              <w:t>Dossiers de candidature pour les éléments proposés pour inscription sur la Liste de sauvegarde urgente ou sur la Liste représentative</w:t>
            </w:r>
          </w:p>
          <w:p w14:paraId="38DA4738" w14:textId="77777777" w:rsidR="009A647A" w:rsidRPr="00AE11F6" w:rsidRDefault="00C0185F" w:rsidP="00BE5B3F">
            <w:pPr>
              <w:pStyle w:val="Paragraphedeliste"/>
              <w:numPr>
                <w:ilvl w:val="0"/>
                <w:numId w:val="73"/>
              </w:numPr>
              <w:spacing w:before="120"/>
              <w:jc w:val="both"/>
              <w:rPr>
                <w:rFonts w:ascii="Arial" w:hAnsi="Arial" w:cs="Arial"/>
                <w:lang w:val="fr-FR"/>
              </w:rPr>
            </w:pPr>
            <w:r>
              <w:rPr>
                <w:rFonts w:ascii="Arial" w:hAnsi="Arial" w:cs="Arial"/>
                <w:lang w:val="fr"/>
              </w:rPr>
              <w:t>Dossiers de proposition d'inscription d'éléments proposés pour inscription sur une liste ou un registre au niveau national, si un plan de sauvegarde est requis dans le cadre de ces dossiers</w:t>
            </w:r>
          </w:p>
          <w:p w14:paraId="28EAF973" w14:textId="77777777" w:rsidR="00C0185F" w:rsidRPr="00AE11F6" w:rsidRDefault="00C0185F" w:rsidP="00BE5B3F">
            <w:pPr>
              <w:pStyle w:val="Paragraphedeliste"/>
              <w:numPr>
                <w:ilvl w:val="0"/>
                <w:numId w:val="73"/>
              </w:numPr>
              <w:spacing w:before="120"/>
              <w:jc w:val="both"/>
              <w:rPr>
                <w:rFonts w:ascii="Arial" w:hAnsi="Arial" w:cs="Arial"/>
                <w:lang w:val="fr-FR"/>
              </w:rPr>
            </w:pPr>
            <w:r>
              <w:rPr>
                <w:rFonts w:ascii="Arial" w:hAnsi="Arial" w:cs="Arial"/>
                <w:lang w:val="fr"/>
              </w:rPr>
              <w:t>Enquêtes ou recherches menées auprès des communautés, des groupes et des individus pour évaluer leur participation aux processus d'élaboration des politiques</w:t>
            </w:r>
          </w:p>
        </w:tc>
      </w:tr>
    </w:tbl>
    <w:p w14:paraId="22C1172A" w14:textId="77777777" w:rsidR="00320242" w:rsidRPr="00F866CD" w:rsidRDefault="00320242" w:rsidP="00A5709F">
      <w:pPr>
        <w:rPr>
          <w:rFonts w:ascii="Arial" w:hAnsi="Arial" w:cs="Arial"/>
        </w:rPr>
      </w:pPr>
    </w:p>
    <w:sectPr w:rsidR="00320242" w:rsidRPr="00F866CD"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81418" w14:textId="77777777" w:rsidR="009745F3" w:rsidRDefault="009745F3" w:rsidP="002938F2">
      <w:r>
        <w:separator/>
      </w:r>
    </w:p>
    <w:p w14:paraId="3767A4F3" w14:textId="77777777" w:rsidR="009745F3" w:rsidRDefault="009745F3"/>
  </w:endnote>
  <w:endnote w:type="continuationSeparator" w:id="0">
    <w:p w14:paraId="2D1841D9" w14:textId="77777777" w:rsidR="009745F3" w:rsidRDefault="009745F3" w:rsidP="002938F2">
      <w:r>
        <w:continuationSeparator/>
      </w:r>
    </w:p>
    <w:p w14:paraId="16A2E4BF" w14:textId="77777777" w:rsidR="009745F3" w:rsidRDefault="009745F3"/>
  </w:endnote>
  <w:endnote w:type="continuationNotice" w:id="1">
    <w:p w14:paraId="40C39061" w14:textId="77777777" w:rsidR="009745F3" w:rsidRDefault="009745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BBEC7" w14:textId="5A787B7B" w:rsidR="00C04344" w:rsidRPr="000A0709" w:rsidRDefault="00675858" w:rsidP="000A0709">
    <w:pPr>
      <w:pStyle w:val="Pieddepage"/>
      <w:jc w:val="center"/>
      <w:rPr>
        <w:rFonts w:ascii="Arial" w:hAnsi="Arial"/>
      </w:rPr>
    </w:pPr>
    <w:r>
      <w:rPr>
        <w:rFonts w:ascii="Arial" w:hAnsi="Arial" w:cs="Arial"/>
        <w:lang w:val="fr"/>
      </w:rPr>
      <w:fldChar w:fldCharType="begin"/>
    </w:r>
    <w:r>
      <w:rPr>
        <w:rFonts w:ascii="Arial" w:hAnsi="Arial" w:cs="Arial"/>
        <w:lang w:val="fr"/>
      </w:rPr>
      <w:instrText xml:space="preserve"> PAGE   \* MERGEFORMAT </w:instrText>
    </w:r>
    <w:r>
      <w:rPr>
        <w:rFonts w:ascii="Arial" w:hAnsi="Arial" w:cs="Arial"/>
        <w:lang w:val="fr"/>
      </w:rPr>
      <w:fldChar w:fldCharType="separate"/>
    </w:r>
    <w:r>
      <w:rPr>
        <w:rFonts w:ascii="Arial" w:hAnsi="Arial" w:cs="Arial"/>
        <w:noProof/>
        <w:lang w:val="fr"/>
      </w:rPr>
      <w:t>3</w:t>
    </w:r>
    <w:r>
      <w:rPr>
        <w:rFonts w:ascii="Arial" w:hAnsi="Arial" w:cs="Arial"/>
        <w:noProof/>
        <w:lang w:val="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027D8" w14:textId="77777777" w:rsidR="009745F3" w:rsidRDefault="009745F3" w:rsidP="002938F2">
      <w:r>
        <w:separator/>
      </w:r>
    </w:p>
  </w:footnote>
  <w:footnote w:type="continuationSeparator" w:id="0">
    <w:p w14:paraId="40FA3080" w14:textId="77777777" w:rsidR="009745F3" w:rsidRDefault="009745F3" w:rsidP="002938F2">
      <w:r>
        <w:continuationSeparator/>
      </w:r>
    </w:p>
    <w:p w14:paraId="59236A67" w14:textId="77777777" w:rsidR="009745F3" w:rsidRDefault="009745F3"/>
  </w:footnote>
  <w:footnote w:type="continuationNotice" w:id="1">
    <w:p w14:paraId="5F465484" w14:textId="77777777" w:rsidR="009745F3" w:rsidRDefault="009745F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2"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3"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3"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6"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7"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9"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2"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4"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6"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6C33F02"/>
    <w:multiLevelType w:val="multilevel"/>
    <w:tmpl w:val="CCD463B8"/>
    <w:lvl w:ilvl="0">
      <w:start w:val="11"/>
      <w:numFmt w:val="decimal"/>
      <w:lvlText w:val="%1"/>
      <w:lvlJc w:val="left"/>
      <w:pPr>
        <w:ind w:left="375" w:hanging="375"/>
      </w:pPr>
      <w:rPr>
        <w:rFonts w:hint="default"/>
      </w:rPr>
    </w:lvl>
    <w:lvl w:ilvl="1">
      <w:start w:val="1"/>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8"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9"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3"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3"/>
  </w:num>
  <w:num w:numId="2">
    <w:abstractNumId w:val="25"/>
  </w:num>
  <w:num w:numId="3">
    <w:abstractNumId w:val="11"/>
  </w:num>
  <w:num w:numId="4">
    <w:abstractNumId w:val="55"/>
  </w:num>
  <w:num w:numId="5">
    <w:abstractNumId w:val="46"/>
  </w:num>
  <w:num w:numId="6">
    <w:abstractNumId w:val="4"/>
  </w:num>
  <w:num w:numId="7">
    <w:abstractNumId w:val="15"/>
  </w:num>
  <w:num w:numId="8">
    <w:abstractNumId w:val="24"/>
  </w:num>
  <w:num w:numId="9">
    <w:abstractNumId w:val="49"/>
  </w:num>
  <w:num w:numId="10">
    <w:abstractNumId w:val="24"/>
  </w:num>
  <w:num w:numId="11">
    <w:abstractNumId w:val="24"/>
  </w:num>
  <w:num w:numId="12">
    <w:abstractNumId w:val="24"/>
  </w:num>
  <w:num w:numId="13">
    <w:abstractNumId w:val="24"/>
  </w:num>
  <w:num w:numId="14">
    <w:abstractNumId w:val="24"/>
  </w:num>
  <w:num w:numId="15">
    <w:abstractNumId w:val="24"/>
  </w:num>
  <w:num w:numId="16">
    <w:abstractNumId w:val="22"/>
  </w:num>
  <w:num w:numId="17">
    <w:abstractNumId w:val="39"/>
  </w:num>
  <w:num w:numId="18">
    <w:abstractNumId w:val="24"/>
  </w:num>
  <w:num w:numId="19">
    <w:abstractNumId w:val="24"/>
  </w:num>
  <w:num w:numId="20">
    <w:abstractNumId w:val="24"/>
  </w:num>
  <w:num w:numId="21">
    <w:abstractNumId w:val="24"/>
  </w:num>
  <w:num w:numId="22">
    <w:abstractNumId w:val="24"/>
  </w:num>
  <w:num w:numId="23">
    <w:abstractNumId w:val="24"/>
  </w:num>
  <w:num w:numId="24">
    <w:abstractNumId w:val="24"/>
  </w:num>
  <w:num w:numId="25">
    <w:abstractNumId w:val="24"/>
  </w:num>
  <w:num w:numId="26">
    <w:abstractNumId w:val="53"/>
  </w:num>
  <w:num w:numId="27">
    <w:abstractNumId w:val="24"/>
  </w:num>
  <w:num w:numId="28">
    <w:abstractNumId w:val="24"/>
  </w:num>
  <w:num w:numId="29">
    <w:abstractNumId w:val="24"/>
  </w:num>
  <w:num w:numId="30">
    <w:abstractNumId w:val="24"/>
  </w:num>
  <w:num w:numId="31">
    <w:abstractNumId w:val="10"/>
  </w:num>
  <w:num w:numId="32">
    <w:abstractNumId w:val="8"/>
  </w:num>
  <w:num w:numId="33">
    <w:abstractNumId w:val="16"/>
  </w:num>
  <w:num w:numId="34">
    <w:abstractNumId w:val="47"/>
  </w:num>
  <w:num w:numId="35">
    <w:abstractNumId w:val="20"/>
  </w:num>
  <w:num w:numId="36">
    <w:abstractNumId w:val="41"/>
  </w:num>
  <w:num w:numId="37">
    <w:abstractNumId w:val="17"/>
  </w:num>
  <w:num w:numId="38">
    <w:abstractNumId w:val="9"/>
  </w:num>
  <w:num w:numId="39">
    <w:abstractNumId w:val="6"/>
  </w:num>
  <w:num w:numId="40">
    <w:abstractNumId w:val="19"/>
  </w:num>
  <w:num w:numId="41">
    <w:abstractNumId w:val="54"/>
  </w:num>
  <w:num w:numId="42">
    <w:abstractNumId w:val="51"/>
  </w:num>
  <w:num w:numId="43">
    <w:abstractNumId w:val="28"/>
  </w:num>
  <w:num w:numId="44">
    <w:abstractNumId w:val="12"/>
  </w:num>
  <w:num w:numId="45">
    <w:abstractNumId w:val="52"/>
  </w:num>
  <w:num w:numId="46">
    <w:abstractNumId w:val="5"/>
  </w:num>
  <w:num w:numId="47">
    <w:abstractNumId w:val="35"/>
  </w:num>
  <w:num w:numId="48">
    <w:abstractNumId w:val="56"/>
  </w:num>
  <w:num w:numId="49">
    <w:abstractNumId w:val="31"/>
  </w:num>
  <w:num w:numId="50">
    <w:abstractNumId w:val="29"/>
  </w:num>
  <w:num w:numId="51">
    <w:abstractNumId w:val="26"/>
  </w:num>
  <w:num w:numId="52">
    <w:abstractNumId w:val="38"/>
  </w:num>
  <w:num w:numId="53">
    <w:abstractNumId w:val="14"/>
  </w:num>
  <w:num w:numId="54">
    <w:abstractNumId w:val="1"/>
  </w:num>
  <w:num w:numId="55">
    <w:abstractNumId w:val="33"/>
  </w:num>
  <w:num w:numId="56">
    <w:abstractNumId w:val="40"/>
  </w:num>
  <w:num w:numId="57">
    <w:abstractNumId w:val="0"/>
  </w:num>
  <w:num w:numId="58">
    <w:abstractNumId w:val="3"/>
  </w:num>
  <w:num w:numId="59">
    <w:abstractNumId w:val="44"/>
  </w:num>
  <w:num w:numId="60">
    <w:abstractNumId w:val="2"/>
  </w:num>
  <w:num w:numId="61">
    <w:abstractNumId w:val="30"/>
  </w:num>
  <w:num w:numId="62">
    <w:abstractNumId w:val="21"/>
  </w:num>
  <w:num w:numId="63">
    <w:abstractNumId w:val="48"/>
  </w:num>
  <w:num w:numId="64">
    <w:abstractNumId w:val="18"/>
  </w:num>
  <w:num w:numId="65">
    <w:abstractNumId w:val="23"/>
  </w:num>
  <w:num w:numId="66">
    <w:abstractNumId w:val="45"/>
  </w:num>
  <w:num w:numId="67">
    <w:abstractNumId w:val="36"/>
  </w:num>
  <w:num w:numId="68">
    <w:abstractNumId w:val="13"/>
  </w:num>
  <w:num w:numId="69">
    <w:abstractNumId w:val="42"/>
  </w:num>
  <w:num w:numId="70">
    <w:abstractNumId w:val="32"/>
  </w:num>
  <w:num w:numId="71">
    <w:abstractNumId w:val="27"/>
  </w:num>
  <w:num w:numId="72">
    <w:abstractNumId w:val="50"/>
  </w:num>
  <w:num w:numId="73">
    <w:abstractNumId w:val="7"/>
  </w:num>
  <w:num w:numId="74">
    <w:abstractNumId w:val="34"/>
  </w:num>
  <w:num w:numId="75">
    <w:abstractNumId w:val="3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817"/>
    <w:rsid w:val="000016A4"/>
    <w:rsid w:val="000019DB"/>
    <w:rsid w:val="000047CC"/>
    <w:rsid w:val="00005627"/>
    <w:rsid w:val="00005BA5"/>
    <w:rsid w:val="00005BFA"/>
    <w:rsid w:val="00006F66"/>
    <w:rsid w:val="00010E2D"/>
    <w:rsid w:val="000120FD"/>
    <w:rsid w:val="00013A65"/>
    <w:rsid w:val="0001506E"/>
    <w:rsid w:val="00015B9D"/>
    <w:rsid w:val="0001601A"/>
    <w:rsid w:val="00021831"/>
    <w:rsid w:val="00022C19"/>
    <w:rsid w:val="00031A37"/>
    <w:rsid w:val="00036843"/>
    <w:rsid w:val="00047E58"/>
    <w:rsid w:val="00054DA4"/>
    <w:rsid w:val="00054FDC"/>
    <w:rsid w:val="000632E2"/>
    <w:rsid w:val="0007203D"/>
    <w:rsid w:val="000729D2"/>
    <w:rsid w:val="00073D20"/>
    <w:rsid w:val="00074E7D"/>
    <w:rsid w:val="000755E1"/>
    <w:rsid w:val="0007681B"/>
    <w:rsid w:val="000769F1"/>
    <w:rsid w:val="00083694"/>
    <w:rsid w:val="00085541"/>
    <w:rsid w:val="00092AE6"/>
    <w:rsid w:val="00093063"/>
    <w:rsid w:val="000A0709"/>
    <w:rsid w:val="000A0F0D"/>
    <w:rsid w:val="000A112A"/>
    <w:rsid w:val="000A21DA"/>
    <w:rsid w:val="000A34CE"/>
    <w:rsid w:val="000C03BF"/>
    <w:rsid w:val="000C15BD"/>
    <w:rsid w:val="000C3740"/>
    <w:rsid w:val="000C65E4"/>
    <w:rsid w:val="000C7EE0"/>
    <w:rsid w:val="000D1EBC"/>
    <w:rsid w:val="000D260B"/>
    <w:rsid w:val="000D345F"/>
    <w:rsid w:val="000D7375"/>
    <w:rsid w:val="000E2EE7"/>
    <w:rsid w:val="000F25BA"/>
    <w:rsid w:val="000F2B3F"/>
    <w:rsid w:val="000F7E6F"/>
    <w:rsid w:val="00106B72"/>
    <w:rsid w:val="00106D19"/>
    <w:rsid w:val="0011334A"/>
    <w:rsid w:val="00115830"/>
    <w:rsid w:val="00116489"/>
    <w:rsid w:val="0011750D"/>
    <w:rsid w:val="00121B41"/>
    <w:rsid w:val="001301DF"/>
    <w:rsid w:val="001412DE"/>
    <w:rsid w:val="00142D78"/>
    <w:rsid w:val="00144A4D"/>
    <w:rsid w:val="00151351"/>
    <w:rsid w:val="00152958"/>
    <w:rsid w:val="00156788"/>
    <w:rsid w:val="001609A1"/>
    <w:rsid w:val="00162554"/>
    <w:rsid w:val="00163F68"/>
    <w:rsid w:val="00173B50"/>
    <w:rsid w:val="00173E0E"/>
    <w:rsid w:val="00174B39"/>
    <w:rsid w:val="00183F6C"/>
    <w:rsid w:val="00194802"/>
    <w:rsid w:val="00194AEB"/>
    <w:rsid w:val="001A314D"/>
    <w:rsid w:val="001A431C"/>
    <w:rsid w:val="001A5519"/>
    <w:rsid w:val="001A7C3A"/>
    <w:rsid w:val="001B5C26"/>
    <w:rsid w:val="001C08BC"/>
    <w:rsid w:val="001C56BA"/>
    <w:rsid w:val="001C6D7D"/>
    <w:rsid w:val="001D00B5"/>
    <w:rsid w:val="001D3B29"/>
    <w:rsid w:val="001D59C8"/>
    <w:rsid w:val="001E4EEB"/>
    <w:rsid w:val="001E6026"/>
    <w:rsid w:val="001F216A"/>
    <w:rsid w:val="001F3696"/>
    <w:rsid w:val="001F37CA"/>
    <w:rsid w:val="0020163D"/>
    <w:rsid w:val="00203AD7"/>
    <w:rsid w:val="002042CC"/>
    <w:rsid w:val="00204B37"/>
    <w:rsid w:val="002074D6"/>
    <w:rsid w:val="00210CBC"/>
    <w:rsid w:val="002119C5"/>
    <w:rsid w:val="00222AF2"/>
    <w:rsid w:val="00223C3B"/>
    <w:rsid w:val="00224346"/>
    <w:rsid w:val="0022597C"/>
    <w:rsid w:val="00226582"/>
    <w:rsid w:val="00230F77"/>
    <w:rsid w:val="00232E4E"/>
    <w:rsid w:val="00234AE4"/>
    <w:rsid w:val="00235CB5"/>
    <w:rsid w:val="00237935"/>
    <w:rsid w:val="00237E43"/>
    <w:rsid w:val="00245E26"/>
    <w:rsid w:val="002539EA"/>
    <w:rsid w:val="002542FD"/>
    <w:rsid w:val="00254B4E"/>
    <w:rsid w:val="00254CA1"/>
    <w:rsid w:val="0026007A"/>
    <w:rsid w:val="002638C0"/>
    <w:rsid w:val="00265E42"/>
    <w:rsid w:val="00266B45"/>
    <w:rsid w:val="0027198B"/>
    <w:rsid w:val="00273658"/>
    <w:rsid w:val="00281AA4"/>
    <w:rsid w:val="00282A9D"/>
    <w:rsid w:val="00286C0C"/>
    <w:rsid w:val="00287687"/>
    <w:rsid w:val="00290D5F"/>
    <w:rsid w:val="002938F2"/>
    <w:rsid w:val="00293CCC"/>
    <w:rsid w:val="002A195D"/>
    <w:rsid w:val="002B43D6"/>
    <w:rsid w:val="002B6B98"/>
    <w:rsid w:val="002C28BA"/>
    <w:rsid w:val="002C3B8F"/>
    <w:rsid w:val="002C444C"/>
    <w:rsid w:val="002C5021"/>
    <w:rsid w:val="002C5280"/>
    <w:rsid w:val="002C5C29"/>
    <w:rsid w:val="002D396D"/>
    <w:rsid w:val="002D71D4"/>
    <w:rsid w:val="002E113D"/>
    <w:rsid w:val="002F17E1"/>
    <w:rsid w:val="003043A9"/>
    <w:rsid w:val="0030454E"/>
    <w:rsid w:val="00320242"/>
    <w:rsid w:val="00322A3A"/>
    <w:rsid w:val="00324A32"/>
    <w:rsid w:val="00325D6E"/>
    <w:rsid w:val="00327441"/>
    <w:rsid w:val="00334977"/>
    <w:rsid w:val="00337194"/>
    <w:rsid w:val="00342EE8"/>
    <w:rsid w:val="00344D78"/>
    <w:rsid w:val="00346517"/>
    <w:rsid w:val="00351CCB"/>
    <w:rsid w:val="0035648A"/>
    <w:rsid w:val="00362B41"/>
    <w:rsid w:val="00363995"/>
    <w:rsid w:val="00364E5E"/>
    <w:rsid w:val="00370E9B"/>
    <w:rsid w:val="00377E4B"/>
    <w:rsid w:val="00383BA9"/>
    <w:rsid w:val="003845B0"/>
    <w:rsid w:val="00385B34"/>
    <w:rsid w:val="00386C08"/>
    <w:rsid w:val="00387794"/>
    <w:rsid w:val="00387D88"/>
    <w:rsid w:val="0039446E"/>
    <w:rsid w:val="003A0FFD"/>
    <w:rsid w:val="003A260A"/>
    <w:rsid w:val="003A2BC4"/>
    <w:rsid w:val="003B31BE"/>
    <w:rsid w:val="003B504D"/>
    <w:rsid w:val="003C7065"/>
    <w:rsid w:val="003D2E0D"/>
    <w:rsid w:val="003D5113"/>
    <w:rsid w:val="003D5BFC"/>
    <w:rsid w:val="003D6E10"/>
    <w:rsid w:val="003E0C0F"/>
    <w:rsid w:val="003E0E28"/>
    <w:rsid w:val="003E19D5"/>
    <w:rsid w:val="003E76A8"/>
    <w:rsid w:val="003F5B90"/>
    <w:rsid w:val="00404856"/>
    <w:rsid w:val="00406ED7"/>
    <w:rsid w:val="004108B6"/>
    <w:rsid w:val="0041110F"/>
    <w:rsid w:val="0041300C"/>
    <w:rsid w:val="00414B68"/>
    <w:rsid w:val="00430ED2"/>
    <w:rsid w:val="00434773"/>
    <w:rsid w:val="004367F5"/>
    <w:rsid w:val="004458C9"/>
    <w:rsid w:val="00447C66"/>
    <w:rsid w:val="00461977"/>
    <w:rsid w:val="00462F38"/>
    <w:rsid w:val="00471B34"/>
    <w:rsid w:val="00474AFE"/>
    <w:rsid w:val="00477E66"/>
    <w:rsid w:val="00480809"/>
    <w:rsid w:val="004831C7"/>
    <w:rsid w:val="00486A5E"/>
    <w:rsid w:val="00493F92"/>
    <w:rsid w:val="004A0C2B"/>
    <w:rsid w:val="004A5B2E"/>
    <w:rsid w:val="004A610E"/>
    <w:rsid w:val="004C20E2"/>
    <w:rsid w:val="004E056C"/>
    <w:rsid w:val="004E2817"/>
    <w:rsid w:val="004E2AE8"/>
    <w:rsid w:val="004E418A"/>
    <w:rsid w:val="005016FB"/>
    <w:rsid w:val="00504256"/>
    <w:rsid w:val="00511D17"/>
    <w:rsid w:val="005157E2"/>
    <w:rsid w:val="0051699F"/>
    <w:rsid w:val="00516DE3"/>
    <w:rsid w:val="005300BF"/>
    <w:rsid w:val="00530817"/>
    <w:rsid w:val="00532631"/>
    <w:rsid w:val="005414A1"/>
    <w:rsid w:val="0054175C"/>
    <w:rsid w:val="00542FCD"/>
    <w:rsid w:val="005473CF"/>
    <w:rsid w:val="00560387"/>
    <w:rsid w:val="00570355"/>
    <w:rsid w:val="00574530"/>
    <w:rsid w:val="00581423"/>
    <w:rsid w:val="00582F4C"/>
    <w:rsid w:val="0058407A"/>
    <w:rsid w:val="00594539"/>
    <w:rsid w:val="005A1BCE"/>
    <w:rsid w:val="005A65BD"/>
    <w:rsid w:val="005A7D00"/>
    <w:rsid w:val="005B0FE5"/>
    <w:rsid w:val="005B357C"/>
    <w:rsid w:val="005B4A0B"/>
    <w:rsid w:val="005B53C6"/>
    <w:rsid w:val="005C0015"/>
    <w:rsid w:val="005C0052"/>
    <w:rsid w:val="005C05F4"/>
    <w:rsid w:val="005C0660"/>
    <w:rsid w:val="005C44A6"/>
    <w:rsid w:val="005C7D6A"/>
    <w:rsid w:val="005D2DDA"/>
    <w:rsid w:val="005E3A3E"/>
    <w:rsid w:val="005E6A2B"/>
    <w:rsid w:val="005E7C7C"/>
    <w:rsid w:val="00601DD6"/>
    <w:rsid w:val="006032AE"/>
    <w:rsid w:val="00603F71"/>
    <w:rsid w:val="00605202"/>
    <w:rsid w:val="00617864"/>
    <w:rsid w:val="00617884"/>
    <w:rsid w:val="00621092"/>
    <w:rsid w:val="00621208"/>
    <w:rsid w:val="00632B30"/>
    <w:rsid w:val="006340A1"/>
    <w:rsid w:val="00636760"/>
    <w:rsid w:val="00640727"/>
    <w:rsid w:val="00644AB8"/>
    <w:rsid w:val="00644B92"/>
    <w:rsid w:val="00645B77"/>
    <w:rsid w:val="0065099D"/>
    <w:rsid w:val="006515C9"/>
    <w:rsid w:val="00651944"/>
    <w:rsid w:val="00652318"/>
    <w:rsid w:val="00652484"/>
    <w:rsid w:val="00653314"/>
    <w:rsid w:val="0066236E"/>
    <w:rsid w:val="0067005F"/>
    <w:rsid w:val="0067015A"/>
    <w:rsid w:val="006736EC"/>
    <w:rsid w:val="00673D90"/>
    <w:rsid w:val="00675858"/>
    <w:rsid w:val="00676B1D"/>
    <w:rsid w:val="00676C1E"/>
    <w:rsid w:val="00686D60"/>
    <w:rsid w:val="00691869"/>
    <w:rsid w:val="00696CB6"/>
    <w:rsid w:val="006A0D86"/>
    <w:rsid w:val="006A49AE"/>
    <w:rsid w:val="006A56C0"/>
    <w:rsid w:val="006C0911"/>
    <w:rsid w:val="006C737A"/>
    <w:rsid w:val="006D324F"/>
    <w:rsid w:val="006D46FB"/>
    <w:rsid w:val="006E29C0"/>
    <w:rsid w:val="006E752A"/>
    <w:rsid w:val="006E7CF0"/>
    <w:rsid w:val="006F3E83"/>
    <w:rsid w:val="006F4B83"/>
    <w:rsid w:val="006F7F47"/>
    <w:rsid w:val="00701458"/>
    <w:rsid w:val="00701D7E"/>
    <w:rsid w:val="00704766"/>
    <w:rsid w:val="007119B8"/>
    <w:rsid w:val="0072415E"/>
    <w:rsid w:val="007247D7"/>
    <w:rsid w:val="007250E3"/>
    <w:rsid w:val="007277C8"/>
    <w:rsid w:val="00732057"/>
    <w:rsid w:val="007368A2"/>
    <w:rsid w:val="007418AE"/>
    <w:rsid w:val="00742DD1"/>
    <w:rsid w:val="0074360F"/>
    <w:rsid w:val="00743845"/>
    <w:rsid w:val="00746204"/>
    <w:rsid w:val="00747715"/>
    <w:rsid w:val="00747F86"/>
    <w:rsid w:val="00750138"/>
    <w:rsid w:val="00753DA3"/>
    <w:rsid w:val="007610D3"/>
    <w:rsid w:val="007629DB"/>
    <w:rsid w:val="00764F50"/>
    <w:rsid w:val="00767871"/>
    <w:rsid w:val="00770A92"/>
    <w:rsid w:val="00774D9C"/>
    <w:rsid w:val="00776A63"/>
    <w:rsid w:val="00790C65"/>
    <w:rsid w:val="0079316B"/>
    <w:rsid w:val="007A0565"/>
    <w:rsid w:val="007A0EAA"/>
    <w:rsid w:val="007A1247"/>
    <w:rsid w:val="007A1E0A"/>
    <w:rsid w:val="007A6F91"/>
    <w:rsid w:val="007A7D45"/>
    <w:rsid w:val="007B4ADA"/>
    <w:rsid w:val="007C105C"/>
    <w:rsid w:val="007C1B00"/>
    <w:rsid w:val="007D0F1D"/>
    <w:rsid w:val="007D2881"/>
    <w:rsid w:val="007D31CE"/>
    <w:rsid w:val="007D3AD8"/>
    <w:rsid w:val="007D5BB7"/>
    <w:rsid w:val="007D6A69"/>
    <w:rsid w:val="007E0621"/>
    <w:rsid w:val="007E4E37"/>
    <w:rsid w:val="007F4B07"/>
    <w:rsid w:val="008029A6"/>
    <w:rsid w:val="008147BA"/>
    <w:rsid w:val="008269B0"/>
    <w:rsid w:val="0083067E"/>
    <w:rsid w:val="00832357"/>
    <w:rsid w:val="00832B20"/>
    <w:rsid w:val="0083488D"/>
    <w:rsid w:val="008466C3"/>
    <w:rsid w:val="00846809"/>
    <w:rsid w:val="00851458"/>
    <w:rsid w:val="00861A47"/>
    <w:rsid w:val="008629D7"/>
    <w:rsid w:val="008707FF"/>
    <w:rsid w:val="008724E5"/>
    <w:rsid w:val="00877AC5"/>
    <w:rsid w:val="00877F27"/>
    <w:rsid w:val="0088173A"/>
    <w:rsid w:val="00881EB9"/>
    <w:rsid w:val="008848E9"/>
    <w:rsid w:val="00884C09"/>
    <w:rsid w:val="00885596"/>
    <w:rsid w:val="00885B33"/>
    <w:rsid w:val="00886B71"/>
    <w:rsid w:val="00890B6C"/>
    <w:rsid w:val="0089499E"/>
    <w:rsid w:val="00896177"/>
    <w:rsid w:val="008A0BE3"/>
    <w:rsid w:val="008A2566"/>
    <w:rsid w:val="008A6663"/>
    <w:rsid w:val="008B6B4C"/>
    <w:rsid w:val="008B7346"/>
    <w:rsid w:val="008C5FBC"/>
    <w:rsid w:val="008C7F60"/>
    <w:rsid w:val="008D3BF7"/>
    <w:rsid w:val="008E0DAA"/>
    <w:rsid w:val="008E194D"/>
    <w:rsid w:val="008F16C6"/>
    <w:rsid w:val="008F2A76"/>
    <w:rsid w:val="008F34A1"/>
    <w:rsid w:val="008F4F13"/>
    <w:rsid w:val="008F5052"/>
    <w:rsid w:val="008F5193"/>
    <w:rsid w:val="008F569B"/>
    <w:rsid w:val="0090187D"/>
    <w:rsid w:val="00903C3D"/>
    <w:rsid w:val="0090710F"/>
    <w:rsid w:val="00910B12"/>
    <w:rsid w:val="00911179"/>
    <w:rsid w:val="009121CE"/>
    <w:rsid w:val="009127D8"/>
    <w:rsid w:val="00916F7B"/>
    <w:rsid w:val="00917A4D"/>
    <w:rsid w:val="00921F65"/>
    <w:rsid w:val="0092574C"/>
    <w:rsid w:val="009342E8"/>
    <w:rsid w:val="009357B4"/>
    <w:rsid w:val="00946D71"/>
    <w:rsid w:val="00954BE3"/>
    <w:rsid w:val="009577E1"/>
    <w:rsid w:val="00971CA1"/>
    <w:rsid w:val="0097349C"/>
    <w:rsid w:val="009745F3"/>
    <w:rsid w:val="009746CB"/>
    <w:rsid w:val="0097797D"/>
    <w:rsid w:val="00977E67"/>
    <w:rsid w:val="009814C2"/>
    <w:rsid w:val="00982FFD"/>
    <w:rsid w:val="009851B5"/>
    <w:rsid w:val="00985265"/>
    <w:rsid w:val="00985856"/>
    <w:rsid w:val="0099403E"/>
    <w:rsid w:val="009A4969"/>
    <w:rsid w:val="009A647A"/>
    <w:rsid w:val="009B1466"/>
    <w:rsid w:val="009B6973"/>
    <w:rsid w:val="009C0510"/>
    <w:rsid w:val="009C3663"/>
    <w:rsid w:val="009D098F"/>
    <w:rsid w:val="009D4547"/>
    <w:rsid w:val="009D5A49"/>
    <w:rsid w:val="009D5B48"/>
    <w:rsid w:val="009D5E38"/>
    <w:rsid w:val="009D602F"/>
    <w:rsid w:val="009D68D0"/>
    <w:rsid w:val="009E17AF"/>
    <w:rsid w:val="009F0D42"/>
    <w:rsid w:val="009F1B82"/>
    <w:rsid w:val="009F34A4"/>
    <w:rsid w:val="009F3988"/>
    <w:rsid w:val="009F462D"/>
    <w:rsid w:val="00A003D0"/>
    <w:rsid w:val="00A073FD"/>
    <w:rsid w:val="00A150C7"/>
    <w:rsid w:val="00A15793"/>
    <w:rsid w:val="00A2307A"/>
    <w:rsid w:val="00A37A40"/>
    <w:rsid w:val="00A462C6"/>
    <w:rsid w:val="00A519A2"/>
    <w:rsid w:val="00A51BDC"/>
    <w:rsid w:val="00A535B7"/>
    <w:rsid w:val="00A5709F"/>
    <w:rsid w:val="00A616C4"/>
    <w:rsid w:val="00A61F20"/>
    <w:rsid w:val="00A64796"/>
    <w:rsid w:val="00A66CD4"/>
    <w:rsid w:val="00A70883"/>
    <w:rsid w:val="00A77AEB"/>
    <w:rsid w:val="00A81F0A"/>
    <w:rsid w:val="00A85C7A"/>
    <w:rsid w:val="00A86042"/>
    <w:rsid w:val="00AA36F9"/>
    <w:rsid w:val="00AA444A"/>
    <w:rsid w:val="00AB1528"/>
    <w:rsid w:val="00AC3B52"/>
    <w:rsid w:val="00AD6BD4"/>
    <w:rsid w:val="00AE11F6"/>
    <w:rsid w:val="00AE1B18"/>
    <w:rsid w:val="00AE1D83"/>
    <w:rsid w:val="00AE2DFB"/>
    <w:rsid w:val="00AE3061"/>
    <w:rsid w:val="00AF15BA"/>
    <w:rsid w:val="00AF1C32"/>
    <w:rsid w:val="00AF65C6"/>
    <w:rsid w:val="00B11AE3"/>
    <w:rsid w:val="00B121A6"/>
    <w:rsid w:val="00B300B8"/>
    <w:rsid w:val="00B32A28"/>
    <w:rsid w:val="00B33904"/>
    <w:rsid w:val="00B3751E"/>
    <w:rsid w:val="00B427FE"/>
    <w:rsid w:val="00B51737"/>
    <w:rsid w:val="00B51F76"/>
    <w:rsid w:val="00B6102A"/>
    <w:rsid w:val="00B6167A"/>
    <w:rsid w:val="00B62ED0"/>
    <w:rsid w:val="00B64196"/>
    <w:rsid w:val="00B66A7A"/>
    <w:rsid w:val="00B70266"/>
    <w:rsid w:val="00B74304"/>
    <w:rsid w:val="00B82F05"/>
    <w:rsid w:val="00B8369A"/>
    <w:rsid w:val="00B87142"/>
    <w:rsid w:val="00B8750E"/>
    <w:rsid w:val="00B92374"/>
    <w:rsid w:val="00B924C8"/>
    <w:rsid w:val="00B95E33"/>
    <w:rsid w:val="00B973B5"/>
    <w:rsid w:val="00B97FD1"/>
    <w:rsid w:val="00BA6367"/>
    <w:rsid w:val="00BB1062"/>
    <w:rsid w:val="00BB28EF"/>
    <w:rsid w:val="00BB5DEE"/>
    <w:rsid w:val="00BC002E"/>
    <w:rsid w:val="00BC393F"/>
    <w:rsid w:val="00BC75FC"/>
    <w:rsid w:val="00BD59BD"/>
    <w:rsid w:val="00BE5B3F"/>
    <w:rsid w:val="00BF351F"/>
    <w:rsid w:val="00BF3F50"/>
    <w:rsid w:val="00BF6F37"/>
    <w:rsid w:val="00C0185F"/>
    <w:rsid w:val="00C02924"/>
    <w:rsid w:val="00C04344"/>
    <w:rsid w:val="00C17FE4"/>
    <w:rsid w:val="00C21897"/>
    <w:rsid w:val="00C276EE"/>
    <w:rsid w:val="00C33020"/>
    <w:rsid w:val="00C43146"/>
    <w:rsid w:val="00C431A6"/>
    <w:rsid w:val="00C43757"/>
    <w:rsid w:val="00C43BCE"/>
    <w:rsid w:val="00C47CF1"/>
    <w:rsid w:val="00C50A3C"/>
    <w:rsid w:val="00C52006"/>
    <w:rsid w:val="00C53AB4"/>
    <w:rsid w:val="00C542F1"/>
    <w:rsid w:val="00C572B3"/>
    <w:rsid w:val="00C57CA1"/>
    <w:rsid w:val="00C6300B"/>
    <w:rsid w:val="00C6426B"/>
    <w:rsid w:val="00C6478B"/>
    <w:rsid w:val="00C67961"/>
    <w:rsid w:val="00C87194"/>
    <w:rsid w:val="00C90629"/>
    <w:rsid w:val="00C90C51"/>
    <w:rsid w:val="00CA3ED6"/>
    <w:rsid w:val="00CA7CF4"/>
    <w:rsid w:val="00CB0F37"/>
    <w:rsid w:val="00CB1135"/>
    <w:rsid w:val="00CB4434"/>
    <w:rsid w:val="00CB590B"/>
    <w:rsid w:val="00CC02C5"/>
    <w:rsid w:val="00CC2BC6"/>
    <w:rsid w:val="00CC3AAB"/>
    <w:rsid w:val="00CD2139"/>
    <w:rsid w:val="00CD324E"/>
    <w:rsid w:val="00CD4A28"/>
    <w:rsid w:val="00CD54BD"/>
    <w:rsid w:val="00CD6C36"/>
    <w:rsid w:val="00CE2586"/>
    <w:rsid w:val="00CE286C"/>
    <w:rsid w:val="00CF05D7"/>
    <w:rsid w:val="00CF34A6"/>
    <w:rsid w:val="00CF3F93"/>
    <w:rsid w:val="00D020F3"/>
    <w:rsid w:val="00D04515"/>
    <w:rsid w:val="00D065AD"/>
    <w:rsid w:val="00D22831"/>
    <w:rsid w:val="00D404B7"/>
    <w:rsid w:val="00D44509"/>
    <w:rsid w:val="00D448CB"/>
    <w:rsid w:val="00D47226"/>
    <w:rsid w:val="00D47ED5"/>
    <w:rsid w:val="00D61779"/>
    <w:rsid w:val="00D73DB6"/>
    <w:rsid w:val="00D809E5"/>
    <w:rsid w:val="00D81948"/>
    <w:rsid w:val="00D90819"/>
    <w:rsid w:val="00D93291"/>
    <w:rsid w:val="00D9501F"/>
    <w:rsid w:val="00DB468E"/>
    <w:rsid w:val="00DB50D5"/>
    <w:rsid w:val="00DC5537"/>
    <w:rsid w:val="00DD11EE"/>
    <w:rsid w:val="00DD52A0"/>
    <w:rsid w:val="00DE5590"/>
    <w:rsid w:val="00DE6364"/>
    <w:rsid w:val="00DF1D9E"/>
    <w:rsid w:val="00DF3DA3"/>
    <w:rsid w:val="00DF5DA4"/>
    <w:rsid w:val="00E06492"/>
    <w:rsid w:val="00E065CE"/>
    <w:rsid w:val="00E06A00"/>
    <w:rsid w:val="00E13E03"/>
    <w:rsid w:val="00E22B99"/>
    <w:rsid w:val="00E24A9D"/>
    <w:rsid w:val="00E258D9"/>
    <w:rsid w:val="00E35B8C"/>
    <w:rsid w:val="00E439CA"/>
    <w:rsid w:val="00E46DDB"/>
    <w:rsid w:val="00E473F3"/>
    <w:rsid w:val="00E5219B"/>
    <w:rsid w:val="00E56905"/>
    <w:rsid w:val="00E64BE4"/>
    <w:rsid w:val="00E85565"/>
    <w:rsid w:val="00E8663C"/>
    <w:rsid w:val="00E87F91"/>
    <w:rsid w:val="00E94BC6"/>
    <w:rsid w:val="00EA0563"/>
    <w:rsid w:val="00EA198F"/>
    <w:rsid w:val="00EA2EA1"/>
    <w:rsid w:val="00EA3CB9"/>
    <w:rsid w:val="00EA59EB"/>
    <w:rsid w:val="00EA67F3"/>
    <w:rsid w:val="00EB48F8"/>
    <w:rsid w:val="00ED0C60"/>
    <w:rsid w:val="00ED3D26"/>
    <w:rsid w:val="00ED5218"/>
    <w:rsid w:val="00EE1D9D"/>
    <w:rsid w:val="00EF0BCB"/>
    <w:rsid w:val="00EF0E74"/>
    <w:rsid w:val="00EF2549"/>
    <w:rsid w:val="00F00E8A"/>
    <w:rsid w:val="00F16242"/>
    <w:rsid w:val="00F17FCB"/>
    <w:rsid w:val="00F226CC"/>
    <w:rsid w:val="00F2691E"/>
    <w:rsid w:val="00F279DD"/>
    <w:rsid w:val="00F3242E"/>
    <w:rsid w:val="00F33650"/>
    <w:rsid w:val="00F348F9"/>
    <w:rsid w:val="00F37E4B"/>
    <w:rsid w:val="00F4144E"/>
    <w:rsid w:val="00F41B00"/>
    <w:rsid w:val="00F473CB"/>
    <w:rsid w:val="00F50245"/>
    <w:rsid w:val="00F63DDA"/>
    <w:rsid w:val="00F64E3D"/>
    <w:rsid w:val="00F67029"/>
    <w:rsid w:val="00F70858"/>
    <w:rsid w:val="00F71BBC"/>
    <w:rsid w:val="00F7397F"/>
    <w:rsid w:val="00F75949"/>
    <w:rsid w:val="00F75CF4"/>
    <w:rsid w:val="00F80A1F"/>
    <w:rsid w:val="00F866CD"/>
    <w:rsid w:val="00F941F0"/>
    <w:rsid w:val="00F97FF5"/>
    <w:rsid w:val="00FA7CE6"/>
    <w:rsid w:val="00FB01D6"/>
    <w:rsid w:val="00FB1313"/>
    <w:rsid w:val="00FC2238"/>
    <w:rsid w:val="00FC2459"/>
    <w:rsid w:val="00FC268E"/>
    <w:rsid w:val="00FC2BFD"/>
    <w:rsid w:val="00FC309D"/>
    <w:rsid w:val="00FC47E0"/>
    <w:rsid w:val="00FD1C42"/>
    <w:rsid w:val="00FD1E96"/>
    <w:rsid w:val="00FD1FE7"/>
    <w:rsid w:val="00FD6442"/>
    <w:rsid w:val="00FE15F6"/>
    <w:rsid w:val="00FE1F8A"/>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30709"/>
  <w15:docId w15:val="{50464EDB-4301-494B-BB2B-B26340B1D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Titre2">
    <w:name w:val="heading 2"/>
    <w:basedOn w:val="Normal"/>
    <w:next w:val="Normal"/>
    <w:link w:val="Titre2Car"/>
    <w:uiPriority w:val="9"/>
    <w:qFormat/>
    <w:rsid w:val="00564DDB"/>
    <w:pPr>
      <w:keepNext/>
      <w:spacing w:before="240" w:after="60"/>
      <w:outlineLvl w:val="1"/>
    </w:pPr>
    <w:rPr>
      <w:rFonts w:ascii="Cambria" w:hAnsi="Cambria"/>
      <w:b/>
      <w:bCs/>
      <w:i/>
      <w:iCs/>
      <w:sz w:val="28"/>
      <w:szCs w:val="28"/>
    </w:rPr>
  </w:style>
  <w:style w:type="paragraph" w:styleId="Titre4">
    <w:name w:val="heading 4"/>
    <w:aliases w:val="GA Heading"/>
    <w:basedOn w:val="Normal"/>
    <w:next w:val="Normal"/>
    <w:link w:val="Titre4C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724E5"/>
    <w:pPr>
      <w:tabs>
        <w:tab w:val="center" w:pos="4536"/>
        <w:tab w:val="right" w:pos="9072"/>
      </w:tabs>
      <w:spacing w:after="0"/>
    </w:pPr>
  </w:style>
  <w:style w:type="character" w:customStyle="1" w:styleId="En-tteCar">
    <w:name w:val="En-tête Car"/>
    <w:link w:val="En-tte"/>
    <w:uiPriority w:val="99"/>
    <w:rsid w:val="008724E5"/>
    <w:rPr>
      <w:lang w:val="en-GB"/>
    </w:rPr>
  </w:style>
  <w:style w:type="paragraph" w:styleId="Pieddepage">
    <w:name w:val="footer"/>
    <w:basedOn w:val="Normal"/>
    <w:link w:val="PieddepageCar"/>
    <w:uiPriority w:val="99"/>
    <w:unhideWhenUsed/>
    <w:rsid w:val="008724E5"/>
    <w:pPr>
      <w:tabs>
        <w:tab w:val="center" w:pos="4536"/>
        <w:tab w:val="right" w:pos="9072"/>
      </w:tabs>
      <w:spacing w:after="0"/>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pPr>
      <w:spacing w:after="0"/>
    </w:pPr>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GA Heading Car"/>
    <w:link w:val="Titre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character" w:styleId="Marquedecommentaire">
    <w:name w:val="annotation reference"/>
    <w:uiPriority w:val="99"/>
    <w:rsid w:val="00B11AE3"/>
    <w:rPr>
      <w:sz w:val="16"/>
      <w:szCs w:val="16"/>
    </w:rPr>
  </w:style>
  <w:style w:type="paragraph" w:styleId="Commentaire">
    <w:name w:val="annotation text"/>
    <w:basedOn w:val="Normal"/>
    <w:link w:val="CommentaireCar"/>
    <w:uiPriority w:val="99"/>
    <w:rsid w:val="00B11AE3"/>
    <w:rPr>
      <w:sz w:val="20"/>
      <w:szCs w:val="20"/>
    </w:rPr>
  </w:style>
  <w:style w:type="character" w:customStyle="1" w:styleId="CommentaireCar">
    <w:name w:val="Commentaire Car"/>
    <w:link w:val="Commentaire"/>
    <w:uiPriority w:val="99"/>
    <w:rsid w:val="00B11AE3"/>
    <w:rPr>
      <w:rFonts w:ascii="Times New Roman" w:eastAsia="Times New Roman" w:hAnsi="Times New Roman"/>
      <w:lang w:val="en-GB"/>
    </w:rPr>
  </w:style>
  <w:style w:type="paragraph" w:styleId="Objetducommentaire">
    <w:name w:val="annotation subject"/>
    <w:basedOn w:val="Commentaire"/>
    <w:next w:val="Commentaire"/>
    <w:link w:val="ObjetducommentaireCar"/>
    <w:uiPriority w:val="99"/>
    <w:rsid w:val="00B11AE3"/>
    <w:rPr>
      <w:b/>
      <w:bCs/>
    </w:rPr>
  </w:style>
  <w:style w:type="character" w:customStyle="1" w:styleId="ObjetducommentaireCar">
    <w:name w:val="Objet du commentaire Car"/>
    <w:link w:val="Objetducommentaire"/>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Lienhypertexte">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Notedebasdepage">
    <w:name w:val="footnote text"/>
    <w:basedOn w:val="Normal"/>
    <w:link w:val="NotedebasdepageCar"/>
    <w:uiPriority w:val="99"/>
    <w:unhideWhenUsed/>
    <w:rsid w:val="00210CBC"/>
    <w:pPr>
      <w:spacing w:after="0"/>
    </w:pPr>
    <w:rPr>
      <w:sz w:val="20"/>
      <w:szCs w:val="20"/>
    </w:rPr>
  </w:style>
  <w:style w:type="character" w:customStyle="1" w:styleId="NotedebasdepageCar">
    <w:name w:val="Note de bas de page Car"/>
    <w:link w:val="Notedebasdepage"/>
    <w:uiPriority w:val="99"/>
    <w:rsid w:val="00210CBC"/>
    <w:rPr>
      <w:rFonts w:ascii="Times New Roman" w:eastAsia="Times New Roman" w:hAnsi="Times New Roman"/>
      <w:lang w:val="en-GB"/>
    </w:rPr>
  </w:style>
  <w:style w:type="character" w:styleId="Appelnotedebasdep">
    <w:name w:val="footnote reference"/>
    <w:uiPriority w:val="99"/>
    <w:semiHidden/>
    <w:unhideWhenUsed/>
    <w:rsid w:val="00210CBC"/>
    <w:rPr>
      <w:vertAlign w:val="superscript"/>
    </w:rPr>
  </w:style>
  <w:style w:type="character" w:styleId="Lienhypertextesuivivisit">
    <w:name w:val="FollowedHyperlink"/>
    <w:semiHidden/>
    <w:unhideWhenUsed/>
    <w:rsid w:val="00B62ED0"/>
    <w:rPr>
      <w:color w:val="800080"/>
      <w:u w:val="single"/>
    </w:rPr>
  </w:style>
  <w:style w:type="paragraph" w:styleId="R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Paragraphedeliste">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auNormal"/>
    <w:next w:val="Grilledutableau"/>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D47226"/>
    <w:pPr>
      <w:spacing w:after="0"/>
    </w:pPr>
    <w:rPr>
      <w:rFonts w:ascii="Calibri" w:eastAsia="Calibri" w:hAnsi="Calibri"/>
      <w:sz w:val="20"/>
      <w:szCs w:val="20"/>
      <w:lang w:val="en-US" w:eastAsia="en-US"/>
    </w:rPr>
  </w:style>
  <w:style w:type="character" w:customStyle="1" w:styleId="NotedefinCar">
    <w:name w:val="Note de fin Car"/>
    <w:link w:val="Notedefin"/>
    <w:uiPriority w:val="99"/>
    <w:semiHidden/>
    <w:rsid w:val="00D47226"/>
    <w:rPr>
      <w:rFonts w:ascii="Calibri" w:eastAsia="Calibri" w:hAnsi="Calibri" w:cs="Times New Roman"/>
      <w:lang w:val="en-US" w:eastAsia="en-US"/>
    </w:rPr>
  </w:style>
  <w:style w:type="character" w:styleId="Appeldenotedefin">
    <w:name w:val="endnote reference"/>
    <w:uiPriority w:val="99"/>
    <w:semiHidden/>
    <w:unhideWhenUsed/>
    <w:rsid w:val="00D47226"/>
    <w:rPr>
      <w:vertAlign w:val="superscript"/>
    </w:rPr>
  </w:style>
  <w:style w:type="character" w:customStyle="1" w:styleId="UnresolvedMention1">
    <w:name w:val="Unresolved Mention1"/>
    <w:basedOn w:val="Policepardfaut"/>
    <w:uiPriority w:val="99"/>
    <w:semiHidden/>
    <w:unhideWhenUsed/>
    <w:rsid w:val="009C0510"/>
    <w:rPr>
      <w:color w:val="605E5C"/>
      <w:shd w:val="clear" w:color="auto" w:fill="E1DFDD"/>
    </w:rPr>
  </w:style>
  <w:style w:type="character" w:customStyle="1" w:styleId="UnresolvedMention2">
    <w:name w:val="Unresolved Mention2"/>
    <w:basedOn w:val="Policepardfaut"/>
    <w:uiPriority w:val="99"/>
    <w:semiHidden/>
    <w:unhideWhenUsed/>
    <w:rsid w:val="00704766"/>
    <w:rPr>
      <w:color w:val="605E5C"/>
      <w:shd w:val="clear" w:color="auto" w:fill="E1DFDD"/>
    </w:rPr>
  </w:style>
  <w:style w:type="paragraph" w:customStyle="1" w:styleId="Footnote">
    <w:name w:val="Footnote"/>
    <w:basedOn w:val="Notedefin"/>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 w:type="character" w:customStyle="1" w:styleId="UnresolvedMention20">
    <w:name w:val="Unresolved Mention2"/>
    <w:basedOn w:val="Policepardfaut"/>
    <w:uiPriority w:val="99"/>
    <w:semiHidden/>
    <w:unhideWhenUsed/>
    <w:rsid w:val="009A6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ED71A-A9C0-4AAE-B95C-A800955B3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Template>
  <TotalTime>1</TotalTime>
  <Pages>4</Pages>
  <Words>1307</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Adelaida Shabanaj</cp:lastModifiedBy>
  <cp:revision>3</cp:revision>
  <dcterms:created xsi:type="dcterms:W3CDTF">2021-05-10T14:30:00Z</dcterms:created>
  <dcterms:modified xsi:type="dcterms:W3CDTF">2021-05-10T14:30:00Z</dcterms:modified>
</cp:coreProperties>
</file>