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028D" w14:textId="77777777" w:rsidR="00FE2CDC" w:rsidRPr="00E5279B" w:rsidRDefault="00FE2CDC" w:rsidP="00130917">
      <w:pPr>
        <w:pageBreakBefore/>
        <w:bidi/>
        <w:jc w:val="center"/>
        <w:rPr>
          <w:b/>
          <w:bCs/>
          <w:sz w:val="24"/>
          <w:szCs w:val="28"/>
        </w:rPr>
      </w:pPr>
      <w:r w:rsidRPr="00E5279B">
        <w:rPr>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6B0EA8" w14:paraId="48225DE9" w14:textId="77777777" w:rsidTr="00FE2CDC">
        <w:trPr>
          <w:cantSplit/>
        </w:trPr>
        <w:tc>
          <w:tcPr>
            <w:tcW w:w="786" w:type="pct"/>
            <w:shd w:val="clear" w:color="auto" w:fill="auto"/>
          </w:tcPr>
          <w:p w14:paraId="6CE6AE7D" w14:textId="014225B3" w:rsidR="005473CF" w:rsidRPr="009277E8" w:rsidRDefault="00FE2CDC" w:rsidP="00130917">
            <w:pPr>
              <w:bidi/>
              <w:spacing w:before="120"/>
              <w:jc w:val="both"/>
              <w:rPr>
                <w:rFonts w:asciiTheme="majorBidi" w:hAnsiTheme="majorBidi" w:cstheme="majorBidi"/>
                <w:b/>
                <w:sz w:val="24"/>
              </w:rPr>
            </w:pPr>
            <w:r w:rsidRPr="009277E8">
              <w:rPr>
                <w:rFonts w:asciiTheme="majorBidi" w:hAnsiTheme="majorBidi" w:cstheme="majorBidi"/>
                <w:b/>
                <w:bCs/>
                <w:sz w:val="24"/>
                <w:rtl/>
                <w:lang w:bidi="ar-EG"/>
              </w:rPr>
              <w:t>المؤشر</w:t>
            </w:r>
          </w:p>
        </w:tc>
        <w:tc>
          <w:tcPr>
            <w:tcW w:w="4214" w:type="pct"/>
            <w:gridSpan w:val="2"/>
            <w:shd w:val="clear" w:color="auto" w:fill="auto"/>
          </w:tcPr>
          <w:p w14:paraId="68C0D117" w14:textId="0A9C43B8" w:rsidR="005473CF" w:rsidRPr="009277E8" w:rsidRDefault="006B0EA8" w:rsidP="00130917">
            <w:pPr>
              <w:pStyle w:val="ListParagraph"/>
              <w:keepLines/>
              <w:numPr>
                <w:ilvl w:val="0"/>
                <w:numId w:val="77"/>
              </w:numPr>
              <w:bidi/>
              <w:spacing w:before="120"/>
              <w:jc w:val="both"/>
              <w:rPr>
                <w:rFonts w:asciiTheme="majorBidi" w:hAnsiTheme="majorBidi" w:cstheme="majorBidi"/>
                <w:bCs/>
                <w:sz w:val="24"/>
                <w:szCs w:val="24"/>
              </w:rPr>
            </w:pPr>
            <w:r w:rsidRPr="009277E8">
              <w:rPr>
                <w:rFonts w:asciiTheme="majorBidi" w:hAnsiTheme="majorBidi" w:cstheme="majorBidi"/>
                <w:bCs/>
                <w:sz w:val="24"/>
                <w:szCs w:val="24"/>
                <w:rtl/>
              </w:rPr>
              <w:t>مدى عكس السياسات والتدابير القانونية والإدارية في مجال التعليم لتنوّع التراث الثقافي غير المادي وأهمية صونه ومدى تنفيذها</w:t>
            </w:r>
          </w:p>
        </w:tc>
      </w:tr>
      <w:tr w:rsidR="005B0FE5" w:rsidRPr="006B0EA8" w14:paraId="47CEECEF" w14:textId="77777777" w:rsidTr="00FE2CDC">
        <w:trPr>
          <w:cantSplit/>
        </w:trPr>
        <w:tc>
          <w:tcPr>
            <w:tcW w:w="786" w:type="pct"/>
            <w:vMerge w:val="restart"/>
            <w:shd w:val="clear" w:color="auto" w:fill="auto"/>
          </w:tcPr>
          <w:p w14:paraId="69798577" w14:textId="075826F5" w:rsidR="005B0FE5" w:rsidRPr="009277E8" w:rsidRDefault="00FE2CDC" w:rsidP="00130917">
            <w:pPr>
              <w:bidi/>
              <w:spacing w:before="120"/>
              <w:jc w:val="both"/>
              <w:rPr>
                <w:rFonts w:asciiTheme="majorBidi" w:hAnsiTheme="majorBidi" w:cstheme="majorBidi"/>
                <w:b/>
                <w:sz w:val="24"/>
              </w:rPr>
            </w:pPr>
            <w:r w:rsidRPr="009277E8">
              <w:rPr>
                <w:rFonts w:asciiTheme="majorBidi" w:hAnsiTheme="majorBidi" w:cstheme="majorBidi"/>
                <w:b/>
                <w:bCs/>
                <w:sz w:val="24"/>
                <w:rtl/>
              </w:rPr>
              <w:t>عوامل التقييم الشامل</w:t>
            </w:r>
          </w:p>
        </w:tc>
        <w:tc>
          <w:tcPr>
            <w:tcW w:w="4214" w:type="pct"/>
            <w:gridSpan w:val="2"/>
            <w:shd w:val="clear" w:color="auto" w:fill="auto"/>
          </w:tcPr>
          <w:p w14:paraId="76020D8E" w14:textId="740A3F0E" w:rsidR="005B0FE5" w:rsidRPr="009277E8" w:rsidRDefault="00FE2CDC" w:rsidP="00130917">
            <w:pPr>
              <w:keepLines/>
              <w:bidi/>
              <w:spacing w:before="120"/>
              <w:jc w:val="both"/>
              <w:rPr>
                <w:rFonts w:asciiTheme="majorBidi" w:hAnsiTheme="majorBidi" w:cstheme="majorBidi"/>
                <w:b/>
                <w:sz w:val="24"/>
              </w:rPr>
            </w:pPr>
            <w:r w:rsidRPr="009277E8">
              <w:rPr>
                <w:rFonts w:asciiTheme="majorBidi" w:hAnsiTheme="majorBidi" w:cstheme="majorBidi"/>
                <w:sz w:val="24"/>
                <w:rtl/>
              </w:rPr>
              <w:t>يتم تقييم هذا المؤشر على أساس ثلاثة عوامل على ال</w:t>
            </w:r>
            <w:r w:rsidR="00286873" w:rsidRPr="009277E8">
              <w:rPr>
                <w:rFonts w:asciiTheme="majorBidi" w:hAnsiTheme="majorBidi" w:cstheme="majorBidi"/>
                <w:sz w:val="24"/>
                <w:rtl/>
              </w:rPr>
              <w:t>صعيد</w:t>
            </w:r>
            <w:r w:rsidRPr="009277E8">
              <w:rPr>
                <w:rFonts w:asciiTheme="majorBidi" w:hAnsiTheme="majorBidi" w:cstheme="majorBidi"/>
                <w:sz w:val="24"/>
                <w:rtl/>
              </w:rPr>
              <w:t xml:space="preserve"> القطري ترصدها كل دولة طرف </w:t>
            </w:r>
            <w:r w:rsidR="00E20E75" w:rsidRPr="009277E8">
              <w:rPr>
                <w:rFonts w:asciiTheme="majorBidi" w:hAnsiTheme="majorBidi" w:cstheme="majorBidi"/>
                <w:sz w:val="24"/>
                <w:rtl/>
                <w:lang w:bidi="ar-EG"/>
              </w:rPr>
              <w:t>وت</w:t>
            </w:r>
            <w:r w:rsidR="00795C2A">
              <w:rPr>
                <w:rFonts w:asciiTheme="majorBidi" w:hAnsiTheme="majorBidi" w:cstheme="majorBidi" w:hint="cs"/>
                <w:sz w:val="24"/>
                <w:rtl/>
                <w:lang w:bidi="ar-EG"/>
              </w:rPr>
              <w:t xml:space="preserve">عد </w:t>
            </w:r>
            <w:proofErr w:type="spellStart"/>
            <w:r w:rsidR="00795C2A">
              <w:rPr>
                <w:rFonts w:asciiTheme="majorBidi" w:hAnsiTheme="majorBidi" w:cstheme="majorBidi" w:hint="cs"/>
                <w:sz w:val="24"/>
                <w:rtl/>
                <w:lang w:bidi="ar-EG"/>
              </w:rPr>
              <w:t>التقرير</w:t>
            </w:r>
            <w:r w:rsidR="00E20E75" w:rsidRPr="009277E8">
              <w:rPr>
                <w:rFonts w:asciiTheme="majorBidi" w:hAnsiTheme="majorBidi" w:cstheme="majorBidi"/>
                <w:sz w:val="24"/>
                <w:rtl/>
                <w:lang w:bidi="ar-EG"/>
              </w:rPr>
              <w:t>عنها</w:t>
            </w:r>
            <w:proofErr w:type="spellEnd"/>
            <w:r w:rsidRPr="009277E8">
              <w:rPr>
                <w:rFonts w:asciiTheme="majorBidi" w:hAnsiTheme="majorBidi" w:cstheme="majorBidi"/>
                <w:sz w:val="24"/>
                <w:rtl/>
              </w:rPr>
              <w:t>:</w:t>
            </w:r>
          </w:p>
        </w:tc>
      </w:tr>
      <w:tr w:rsidR="00625E30" w:rsidRPr="006B0EA8" w14:paraId="420D4AB0" w14:textId="77777777" w:rsidTr="00FE2CDC">
        <w:trPr>
          <w:cantSplit/>
        </w:trPr>
        <w:tc>
          <w:tcPr>
            <w:tcW w:w="786" w:type="pct"/>
            <w:vMerge/>
            <w:shd w:val="clear" w:color="auto" w:fill="auto"/>
          </w:tcPr>
          <w:p w14:paraId="68645979" w14:textId="77777777" w:rsidR="00625E30" w:rsidRPr="009277E8" w:rsidRDefault="00625E30" w:rsidP="00130917">
            <w:pPr>
              <w:bidi/>
              <w:spacing w:before="120"/>
              <w:jc w:val="both"/>
              <w:rPr>
                <w:rFonts w:asciiTheme="majorBidi" w:hAnsiTheme="majorBidi" w:cstheme="majorBidi"/>
                <w:b/>
                <w:sz w:val="24"/>
              </w:rPr>
            </w:pPr>
          </w:p>
        </w:tc>
        <w:tc>
          <w:tcPr>
            <w:tcW w:w="3418" w:type="pct"/>
            <w:shd w:val="clear" w:color="auto" w:fill="auto"/>
            <w:vAlign w:val="center"/>
          </w:tcPr>
          <w:p w14:paraId="70440DED" w14:textId="7D814135" w:rsidR="00625E30" w:rsidRPr="009277E8" w:rsidRDefault="0071792D" w:rsidP="00130917">
            <w:pPr>
              <w:keepLines/>
              <w:bidi/>
              <w:spacing w:before="120"/>
              <w:jc w:val="both"/>
              <w:rPr>
                <w:rFonts w:asciiTheme="majorBidi" w:hAnsiTheme="majorBidi" w:cstheme="majorBidi"/>
                <w:sz w:val="24"/>
              </w:rPr>
            </w:pPr>
            <w:r w:rsidRPr="009277E8">
              <w:rPr>
                <w:rFonts w:asciiTheme="majorBidi" w:hAnsiTheme="majorBidi" w:cstheme="majorBidi"/>
                <w:sz w:val="24"/>
                <w:rtl/>
              </w:rPr>
              <w:t>12-1 وضع أو تنقيح السياسات و/أو التدابير القانونية والإدارية الخاصة بالتعليم وتنفيذها، لضمان الاعتراف بالتراث الثقافي غير المادي واحترامه وتعزيزه.</w:t>
            </w:r>
          </w:p>
        </w:tc>
        <w:tc>
          <w:tcPr>
            <w:tcW w:w="796" w:type="pct"/>
            <w:shd w:val="clear" w:color="auto" w:fill="auto"/>
            <w:vAlign w:val="center"/>
          </w:tcPr>
          <w:p w14:paraId="7DD72758" w14:textId="76FD9341" w:rsidR="00625E30" w:rsidRPr="009277E8" w:rsidRDefault="008F23BB" w:rsidP="00130917">
            <w:pPr>
              <w:keepLines/>
              <w:bidi/>
              <w:spacing w:before="120"/>
              <w:jc w:val="both"/>
              <w:rPr>
                <w:rFonts w:asciiTheme="majorBidi" w:hAnsiTheme="majorBidi" w:cstheme="majorBidi"/>
                <w:sz w:val="24"/>
              </w:rPr>
            </w:pPr>
            <w:r w:rsidRPr="009277E8">
              <w:rPr>
                <w:rFonts w:asciiTheme="majorBidi" w:hAnsiTheme="majorBidi" w:cstheme="majorBidi"/>
                <w:sz w:val="24"/>
                <w:rtl/>
              </w:rPr>
              <w:t>المادة 14 (أ) (2)</w:t>
            </w:r>
          </w:p>
        </w:tc>
      </w:tr>
      <w:tr w:rsidR="00625E30" w:rsidRPr="006B0EA8" w14:paraId="597DACA4" w14:textId="77777777" w:rsidTr="00FE2CDC">
        <w:trPr>
          <w:cantSplit/>
        </w:trPr>
        <w:tc>
          <w:tcPr>
            <w:tcW w:w="786" w:type="pct"/>
            <w:vMerge/>
            <w:shd w:val="clear" w:color="auto" w:fill="auto"/>
          </w:tcPr>
          <w:p w14:paraId="12F71530" w14:textId="77777777" w:rsidR="00625E30" w:rsidRPr="009277E8" w:rsidRDefault="00625E30" w:rsidP="00130917">
            <w:pPr>
              <w:bidi/>
              <w:spacing w:before="120"/>
              <w:jc w:val="both"/>
              <w:rPr>
                <w:rFonts w:asciiTheme="majorBidi" w:hAnsiTheme="majorBidi" w:cstheme="majorBidi"/>
                <w:b/>
                <w:sz w:val="24"/>
              </w:rPr>
            </w:pPr>
          </w:p>
        </w:tc>
        <w:tc>
          <w:tcPr>
            <w:tcW w:w="3418" w:type="pct"/>
            <w:shd w:val="clear" w:color="auto" w:fill="auto"/>
            <w:vAlign w:val="center"/>
          </w:tcPr>
          <w:p w14:paraId="2BF47E59" w14:textId="652D8050" w:rsidR="00625E30" w:rsidRPr="009277E8" w:rsidRDefault="0071792D" w:rsidP="00130917">
            <w:pPr>
              <w:keepLines/>
              <w:bidi/>
              <w:spacing w:before="120"/>
              <w:jc w:val="both"/>
              <w:rPr>
                <w:rFonts w:asciiTheme="majorBidi" w:hAnsiTheme="majorBidi" w:cstheme="majorBidi"/>
                <w:sz w:val="24"/>
              </w:rPr>
            </w:pPr>
            <w:r w:rsidRPr="009277E8">
              <w:rPr>
                <w:rFonts w:asciiTheme="majorBidi" w:hAnsiTheme="majorBidi" w:cstheme="majorBidi"/>
                <w:sz w:val="24"/>
                <w:rtl/>
              </w:rPr>
              <w:t>12-2 وضع أو تنقيح السياسات و/أو التدابير القانونية والإدارية للتعليم وتنفيذها من أجل تعزيز نقل التراث الثقافي غير المادي وممارسته.</w:t>
            </w:r>
          </w:p>
        </w:tc>
        <w:tc>
          <w:tcPr>
            <w:tcW w:w="796" w:type="pct"/>
            <w:shd w:val="clear" w:color="auto" w:fill="auto"/>
            <w:vAlign w:val="center"/>
          </w:tcPr>
          <w:p w14:paraId="5D9FE0BD" w14:textId="49ADF52F" w:rsidR="00625E30" w:rsidRPr="009277E8" w:rsidRDefault="008F23BB" w:rsidP="00130917">
            <w:pPr>
              <w:bidi/>
              <w:spacing w:before="60" w:after="60"/>
              <w:jc w:val="both"/>
              <w:rPr>
                <w:rFonts w:asciiTheme="majorBidi" w:hAnsiTheme="majorBidi" w:cstheme="majorBidi"/>
                <w:sz w:val="24"/>
              </w:rPr>
            </w:pPr>
            <w:r w:rsidRPr="009277E8">
              <w:rPr>
                <w:rFonts w:asciiTheme="majorBidi" w:hAnsiTheme="majorBidi" w:cstheme="majorBidi"/>
                <w:sz w:val="24"/>
                <w:rtl/>
              </w:rPr>
              <w:t>المادة 14 (أ) (2)</w:t>
            </w:r>
          </w:p>
        </w:tc>
      </w:tr>
      <w:tr w:rsidR="00625E30" w:rsidRPr="006B0EA8" w14:paraId="3C23265E" w14:textId="77777777" w:rsidTr="00FE2CDC">
        <w:trPr>
          <w:cantSplit/>
        </w:trPr>
        <w:tc>
          <w:tcPr>
            <w:tcW w:w="786" w:type="pct"/>
            <w:vMerge/>
            <w:shd w:val="clear" w:color="auto" w:fill="auto"/>
          </w:tcPr>
          <w:p w14:paraId="455504B1" w14:textId="77777777" w:rsidR="00625E30" w:rsidRPr="009277E8" w:rsidRDefault="00625E30" w:rsidP="00130917">
            <w:pPr>
              <w:bidi/>
              <w:spacing w:before="120"/>
              <w:jc w:val="both"/>
              <w:rPr>
                <w:rFonts w:asciiTheme="majorBidi" w:hAnsiTheme="majorBidi" w:cstheme="majorBidi"/>
                <w:b/>
                <w:sz w:val="24"/>
              </w:rPr>
            </w:pPr>
          </w:p>
        </w:tc>
        <w:tc>
          <w:tcPr>
            <w:tcW w:w="3418" w:type="pct"/>
            <w:shd w:val="clear" w:color="auto" w:fill="auto"/>
            <w:vAlign w:val="center"/>
          </w:tcPr>
          <w:p w14:paraId="69A1D077" w14:textId="1483B719" w:rsidR="00625E30" w:rsidRPr="009277E8" w:rsidRDefault="0071792D" w:rsidP="00130917">
            <w:pPr>
              <w:keepLines/>
              <w:bidi/>
              <w:spacing w:before="120"/>
              <w:jc w:val="both"/>
              <w:rPr>
                <w:rFonts w:asciiTheme="majorBidi" w:hAnsiTheme="majorBidi" w:cstheme="majorBidi"/>
                <w:sz w:val="24"/>
              </w:rPr>
            </w:pPr>
            <w:r w:rsidRPr="009277E8">
              <w:rPr>
                <w:rFonts w:asciiTheme="majorBidi" w:hAnsiTheme="majorBidi" w:cstheme="majorBidi"/>
                <w:sz w:val="24"/>
                <w:rtl/>
              </w:rPr>
              <w:t>12-3 تعزيز السياسات و/أو التدابير القانونية والإدارية للتعليم باللغة الأم والتعليم متعدّد اللغات.</w:t>
            </w:r>
          </w:p>
        </w:tc>
        <w:tc>
          <w:tcPr>
            <w:tcW w:w="796" w:type="pct"/>
            <w:shd w:val="clear" w:color="auto" w:fill="auto"/>
            <w:vAlign w:val="center"/>
          </w:tcPr>
          <w:p w14:paraId="7113A120" w14:textId="77777777" w:rsidR="009509B5" w:rsidRPr="009277E8" w:rsidRDefault="009509B5" w:rsidP="00130917">
            <w:pPr>
              <w:bidi/>
              <w:spacing w:before="60" w:after="60"/>
              <w:jc w:val="both"/>
              <w:rPr>
                <w:rFonts w:asciiTheme="majorBidi" w:hAnsiTheme="majorBidi" w:cstheme="majorBidi"/>
                <w:sz w:val="24"/>
              </w:rPr>
            </w:pPr>
            <w:r w:rsidRPr="009277E8">
              <w:rPr>
                <w:rFonts w:asciiTheme="majorBidi" w:hAnsiTheme="majorBidi" w:cstheme="majorBidi"/>
                <w:sz w:val="24"/>
                <w:rtl/>
              </w:rPr>
              <w:t>المادة 14 (أ) (2)</w:t>
            </w:r>
          </w:p>
          <w:p w14:paraId="1EE46C80" w14:textId="5780B950" w:rsidR="00625E30" w:rsidRPr="009277E8" w:rsidRDefault="009509B5" w:rsidP="00130917">
            <w:pPr>
              <w:keepLines/>
              <w:bidi/>
              <w:spacing w:before="120"/>
              <w:jc w:val="both"/>
              <w:rPr>
                <w:rFonts w:asciiTheme="majorBidi" w:hAnsiTheme="majorBidi" w:cstheme="majorBidi"/>
                <w:sz w:val="24"/>
              </w:rPr>
            </w:pPr>
            <w:r w:rsidRPr="009277E8">
              <w:rPr>
                <w:rFonts w:asciiTheme="majorBidi" w:hAnsiTheme="majorBidi" w:cstheme="majorBidi"/>
                <w:sz w:val="24"/>
                <w:rtl/>
              </w:rPr>
              <w:t xml:space="preserve">التوجيه </w:t>
            </w:r>
            <w:r w:rsidR="00E27BEB" w:rsidRPr="009277E8">
              <w:rPr>
                <w:rFonts w:asciiTheme="majorBidi" w:hAnsiTheme="majorBidi" w:cstheme="majorBidi"/>
                <w:sz w:val="24"/>
                <w:rtl/>
              </w:rPr>
              <w:t>التنفيذي</w:t>
            </w:r>
            <w:r w:rsidRPr="009277E8">
              <w:rPr>
                <w:rFonts w:asciiTheme="majorBidi" w:hAnsiTheme="majorBidi" w:cstheme="majorBidi"/>
                <w:sz w:val="24"/>
                <w:rtl/>
              </w:rPr>
              <w:t xml:space="preserve"> 107</w:t>
            </w:r>
          </w:p>
        </w:tc>
      </w:tr>
      <w:tr w:rsidR="005473CF" w:rsidRPr="006B0EA8" w14:paraId="6CAD9720" w14:textId="77777777" w:rsidTr="00FE2CDC">
        <w:trPr>
          <w:cantSplit/>
        </w:trPr>
        <w:tc>
          <w:tcPr>
            <w:tcW w:w="786" w:type="pct"/>
            <w:shd w:val="clear" w:color="auto" w:fill="auto"/>
          </w:tcPr>
          <w:p w14:paraId="2B83C302" w14:textId="449CAE0F" w:rsidR="005473CF" w:rsidRPr="009277E8" w:rsidRDefault="00FE2CDC" w:rsidP="00130917">
            <w:pPr>
              <w:bidi/>
              <w:spacing w:before="120"/>
              <w:jc w:val="both"/>
              <w:rPr>
                <w:rFonts w:asciiTheme="majorBidi" w:hAnsiTheme="majorBidi" w:cstheme="majorBidi"/>
                <w:b/>
                <w:sz w:val="24"/>
              </w:rPr>
            </w:pPr>
            <w:r w:rsidRPr="009277E8">
              <w:rPr>
                <w:rFonts w:asciiTheme="majorBidi" w:hAnsiTheme="majorBidi" w:cstheme="majorBidi"/>
                <w:b/>
                <w:bCs/>
                <w:sz w:val="24"/>
                <w:rtl/>
              </w:rPr>
              <w:t>العلاقة مع أهداف التنمية المستدامة والمؤشرات الأخرى</w:t>
            </w:r>
          </w:p>
        </w:tc>
        <w:tc>
          <w:tcPr>
            <w:tcW w:w="4214" w:type="pct"/>
            <w:gridSpan w:val="2"/>
            <w:shd w:val="clear" w:color="auto" w:fill="auto"/>
          </w:tcPr>
          <w:p w14:paraId="78DCFBEA" w14:textId="04C35F7D" w:rsidR="005473CF" w:rsidRPr="009277E8" w:rsidRDefault="00CA377D" w:rsidP="00130917">
            <w:pPr>
              <w:keepLines/>
              <w:bidi/>
              <w:spacing w:before="120"/>
              <w:jc w:val="both"/>
              <w:rPr>
                <w:rFonts w:asciiTheme="majorBidi" w:hAnsiTheme="majorBidi" w:cstheme="majorBidi"/>
                <w:sz w:val="24"/>
              </w:rPr>
            </w:pPr>
            <w:r w:rsidRPr="009277E8">
              <w:rPr>
                <w:rFonts w:asciiTheme="majorBidi" w:hAnsiTheme="majorBidi" w:cstheme="majorBidi"/>
                <w:b/>
                <w:bCs/>
                <w:sz w:val="24"/>
                <w:rtl/>
              </w:rPr>
              <w:t xml:space="preserve">أهداف التنمية المستدامة: </w:t>
            </w:r>
            <w:r w:rsidRPr="009277E8">
              <w:rPr>
                <w:rFonts w:asciiTheme="majorBidi" w:hAnsiTheme="majorBidi" w:cstheme="majorBidi"/>
                <w:sz w:val="24"/>
                <w:rtl/>
              </w:rPr>
              <w:t>من خلال تعزيز</w:t>
            </w:r>
            <w:r w:rsidR="00E731EC" w:rsidRPr="009277E8">
              <w:rPr>
                <w:rFonts w:asciiTheme="majorBidi" w:hAnsiTheme="majorBidi" w:cstheme="majorBidi" w:hint="cs"/>
                <w:sz w:val="24"/>
                <w:rtl/>
                <w:lang w:bidi="ar-EG"/>
              </w:rPr>
              <w:t xml:space="preserve"> إدراج</w:t>
            </w:r>
            <w:r w:rsidRPr="009277E8">
              <w:rPr>
                <w:rFonts w:asciiTheme="majorBidi" w:hAnsiTheme="majorBidi" w:cstheme="majorBidi"/>
                <w:sz w:val="24"/>
                <w:rtl/>
              </w:rPr>
              <w:t xml:space="preserve"> صون التراث الثقافي غير المادي في عمليات السياسات، يساهم هذا المؤشر في هدف</w:t>
            </w:r>
            <w:r w:rsidR="00E731EC" w:rsidRPr="009277E8">
              <w:rPr>
                <w:rFonts w:asciiTheme="majorBidi" w:hAnsiTheme="majorBidi" w:cstheme="majorBidi" w:hint="cs"/>
                <w:sz w:val="24"/>
                <w:rtl/>
              </w:rPr>
              <w:t xml:space="preserve"> </w:t>
            </w:r>
            <w:r w:rsidR="00E731EC" w:rsidRPr="009277E8">
              <w:rPr>
                <w:rFonts w:asciiTheme="majorBidi" w:hAnsiTheme="majorBidi" w:cstheme="majorBidi"/>
                <w:sz w:val="24"/>
                <w:rtl/>
              </w:rPr>
              <w:t>التنمية المستدامة</w:t>
            </w:r>
            <w:r w:rsidRPr="009277E8">
              <w:rPr>
                <w:rFonts w:asciiTheme="majorBidi" w:hAnsiTheme="majorBidi" w:cstheme="majorBidi"/>
                <w:sz w:val="24"/>
                <w:rtl/>
              </w:rPr>
              <w:t xml:space="preserve"> 1 (القضاء على الفقر بجميع أشكاله في كل مكان) و</w:t>
            </w:r>
            <w:r w:rsidR="003A7929" w:rsidRPr="009277E8">
              <w:rPr>
                <w:rFonts w:asciiTheme="majorBidi" w:hAnsiTheme="majorBidi" w:cstheme="majorBidi" w:hint="cs"/>
                <w:sz w:val="24"/>
                <w:rtl/>
              </w:rPr>
              <w:t>ب</w:t>
            </w:r>
            <w:r w:rsidRPr="009277E8">
              <w:rPr>
                <w:rFonts w:asciiTheme="majorBidi" w:hAnsiTheme="majorBidi" w:cstheme="majorBidi"/>
                <w:sz w:val="24"/>
                <w:rtl/>
              </w:rPr>
              <w:t>التحديد الغاية</w:t>
            </w:r>
            <w:r w:rsidR="0089531D" w:rsidRPr="009277E8">
              <w:rPr>
                <w:rFonts w:asciiTheme="majorBidi" w:hAnsiTheme="majorBidi" w:cstheme="majorBidi" w:hint="cs"/>
                <w:sz w:val="24"/>
                <w:rtl/>
              </w:rPr>
              <w:t xml:space="preserve"> 1</w:t>
            </w:r>
            <w:r w:rsidR="0089531D" w:rsidRPr="009277E8">
              <w:rPr>
                <w:rFonts w:asciiTheme="majorBidi" w:hAnsiTheme="majorBidi" w:cstheme="majorBidi"/>
                <w:sz w:val="24"/>
                <w:rtl/>
              </w:rPr>
              <w:t>(أ)</w:t>
            </w:r>
            <w:r w:rsidR="0089531D" w:rsidRPr="009277E8">
              <w:rPr>
                <w:rFonts w:asciiTheme="majorBidi" w:hAnsiTheme="majorBidi" w:cstheme="majorBidi" w:hint="cs"/>
                <w:sz w:val="24"/>
                <w:rtl/>
              </w:rPr>
              <w:t xml:space="preserve"> </w:t>
            </w:r>
            <w:r w:rsidR="003A7929" w:rsidRPr="009277E8">
              <w:rPr>
                <w:rFonts w:asciiTheme="majorBidi" w:hAnsiTheme="majorBidi" w:cstheme="majorBidi" w:hint="cs"/>
                <w:sz w:val="24"/>
                <w:rtl/>
              </w:rPr>
              <w:t>من أهداف التنمية المستدامة</w:t>
            </w:r>
            <w:r w:rsidRPr="009277E8">
              <w:rPr>
                <w:rFonts w:asciiTheme="majorBidi" w:hAnsiTheme="majorBidi" w:cstheme="majorBidi"/>
                <w:sz w:val="24"/>
                <w:rtl/>
              </w:rPr>
              <w:t xml:space="preserve">، التي تشير إلى تنفيذ برامج وسياسات للقضاء على فقر. ومن خلال التركيز على السياسة التعليمية، يدعم المؤشر الحالي مباشرة الغاية 4-7 من أهداف التنمية المستدامة، والتي </w:t>
            </w:r>
            <w:r w:rsidR="0089531D" w:rsidRPr="009277E8">
              <w:rPr>
                <w:rFonts w:asciiTheme="majorBidi" w:hAnsiTheme="majorBidi" w:cstheme="majorBidi" w:hint="cs"/>
                <w:sz w:val="24"/>
                <w:rtl/>
              </w:rPr>
              <w:t>تتناول</w:t>
            </w:r>
            <w:r w:rsidRPr="009277E8">
              <w:rPr>
                <w:rFonts w:asciiTheme="majorBidi" w:hAnsiTheme="majorBidi" w:cstheme="majorBidi"/>
                <w:sz w:val="24"/>
                <w:rtl/>
              </w:rPr>
              <w:t xml:space="preserve"> التعليم من أجل التنمية المستدامة و"تقدير التنوع الثقافي وتقدير مساهمة الثقافة في التنمية المستدامة". كما أنه يدعم الغاية 17-14 من أهداف التنمية المستدامة، ال</w:t>
            </w:r>
            <w:r w:rsidR="0089531D" w:rsidRPr="009277E8">
              <w:rPr>
                <w:rFonts w:asciiTheme="majorBidi" w:hAnsiTheme="majorBidi" w:cstheme="majorBidi" w:hint="cs"/>
                <w:sz w:val="24"/>
                <w:rtl/>
              </w:rPr>
              <w:t>ت</w:t>
            </w:r>
            <w:r w:rsidRPr="009277E8">
              <w:rPr>
                <w:rFonts w:asciiTheme="majorBidi" w:hAnsiTheme="majorBidi" w:cstheme="majorBidi"/>
                <w:sz w:val="24"/>
                <w:rtl/>
              </w:rPr>
              <w:t xml:space="preserve">ي </w:t>
            </w:r>
            <w:r w:rsidR="0089531D" w:rsidRPr="009277E8">
              <w:rPr>
                <w:rFonts w:asciiTheme="majorBidi" w:hAnsiTheme="majorBidi" w:cstheme="majorBidi" w:hint="cs"/>
                <w:sz w:val="24"/>
                <w:rtl/>
              </w:rPr>
              <w:t>ت</w:t>
            </w:r>
            <w:r w:rsidRPr="009277E8">
              <w:rPr>
                <w:rFonts w:asciiTheme="majorBidi" w:hAnsiTheme="majorBidi" w:cstheme="majorBidi"/>
                <w:sz w:val="24"/>
                <w:rtl/>
              </w:rPr>
              <w:t>دعو إلى تعزيز اتساق السياسات من أجل تحقيق التنمية المستدامة. وعلى غرار جميع المؤشرات، فإنه يستجيب للغاية 11-4 من أهداف التنمية المستدامة، "تعزيز الجهود الرامية إلى حماية وصون التراث الثقافي والطبيعي العالمي".</w:t>
            </w:r>
          </w:p>
          <w:p w14:paraId="50B93831" w14:textId="73881095" w:rsidR="005473CF" w:rsidRPr="009277E8" w:rsidRDefault="00397605" w:rsidP="00130917">
            <w:pPr>
              <w:keepLines/>
              <w:bidi/>
              <w:spacing w:before="120"/>
              <w:jc w:val="both"/>
              <w:rPr>
                <w:rFonts w:asciiTheme="majorBidi" w:hAnsiTheme="majorBidi" w:cstheme="majorBidi"/>
                <w:b/>
                <w:sz w:val="24"/>
              </w:rPr>
            </w:pPr>
            <w:r w:rsidRPr="009277E8">
              <w:rPr>
                <w:rFonts w:asciiTheme="majorBidi" w:hAnsiTheme="majorBidi" w:cstheme="majorBidi"/>
                <w:bCs/>
                <w:sz w:val="24"/>
                <w:rtl/>
              </w:rPr>
              <w:t>العلاقة بالمؤشرات الأخرى:</w:t>
            </w:r>
            <w:r w:rsidRPr="009277E8">
              <w:rPr>
                <w:rFonts w:asciiTheme="majorBidi" w:hAnsiTheme="majorBidi" w:cstheme="majorBidi"/>
                <w:b/>
                <w:sz w:val="24"/>
                <w:rtl/>
              </w:rPr>
              <w:t xml:space="preserve"> ي</w:t>
            </w:r>
            <w:r w:rsidR="001E6933" w:rsidRPr="009277E8">
              <w:rPr>
                <w:rFonts w:asciiTheme="majorBidi" w:hAnsiTheme="majorBidi" w:cstheme="majorBidi" w:hint="cs"/>
                <w:b/>
                <w:sz w:val="24"/>
                <w:rtl/>
              </w:rPr>
              <w:t xml:space="preserve">تناول </w:t>
            </w:r>
            <w:r w:rsidRPr="009277E8">
              <w:rPr>
                <w:rFonts w:asciiTheme="majorBidi" w:hAnsiTheme="majorBidi" w:cstheme="majorBidi"/>
                <w:b/>
                <w:sz w:val="24"/>
                <w:rtl/>
              </w:rPr>
              <w:t>المؤشر الحالي، من بين المؤشرات الأربعة المتعلقة بالتراث الثقافي غير المادي والسياس</w:t>
            </w:r>
            <w:r w:rsidR="001E6933" w:rsidRPr="009277E8">
              <w:rPr>
                <w:rFonts w:asciiTheme="majorBidi" w:hAnsiTheme="majorBidi" w:cstheme="majorBidi" w:hint="cs"/>
                <w:b/>
                <w:sz w:val="24"/>
                <w:rtl/>
              </w:rPr>
              <w:t>ة</w:t>
            </w:r>
            <w:r w:rsidRPr="009277E8">
              <w:rPr>
                <w:rFonts w:asciiTheme="majorBidi" w:hAnsiTheme="majorBidi" w:cstheme="majorBidi"/>
                <w:b/>
                <w:sz w:val="24"/>
                <w:rtl/>
              </w:rPr>
              <w:t xml:space="preserve"> (المؤشرات 11-14)، السياسات والتدابير القانونية والإدارية في قطاع التعليم. ومن خلال التركيز على بُعد السياس</w:t>
            </w:r>
            <w:r w:rsidR="00E04D8A" w:rsidRPr="009277E8">
              <w:rPr>
                <w:rFonts w:asciiTheme="majorBidi" w:hAnsiTheme="majorBidi" w:cstheme="majorBidi" w:hint="cs"/>
                <w:b/>
                <w:sz w:val="24"/>
                <w:rtl/>
              </w:rPr>
              <w:t>ة</w:t>
            </w:r>
            <w:r w:rsidRPr="009277E8">
              <w:rPr>
                <w:rFonts w:asciiTheme="majorBidi" w:hAnsiTheme="majorBidi" w:cstheme="majorBidi"/>
                <w:b/>
                <w:sz w:val="24"/>
                <w:rtl/>
              </w:rPr>
              <w:t>، يُكمل هذا المؤشر المؤشرات 4-6 التي تتناول برامج التعليم وأنشطته.</w:t>
            </w:r>
          </w:p>
        </w:tc>
      </w:tr>
      <w:tr w:rsidR="00896177" w:rsidRPr="006B0EA8" w14:paraId="7CF3300A" w14:textId="77777777" w:rsidTr="00FE2CDC">
        <w:trPr>
          <w:cantSplit/>
        </w:trPr>
        <w:tc>
          <w:tcPr>
            <w:tcW w:w="786" w:type="pct"/>
            <w:shd w:val="clear" w:color="auto" w:fill="auto"/>
          </w:tcPr>
          <w:p w14:paraId="5A8B92F8" w14:textId="469F6A3E" w:rsidR="00896177" w:rsidRPr="009277E8" w:rsidRDefault="00FE2CDC" w:rsidP="00130917">
            <w:pPr>
              <w:bidi/>
              <w:spacing w:before="120"/>
              <w:jc w:val="both"/>
              <w:rPr>
                <w:rFonts w:asciiTheme="majorBidi" w:hAnsiTheme="majorBidi" w:cstheme="majorBidi"/>
                <w:b/>
                <w:sz w:val="24"/>
              </w:rPr>
            </w:pPr>
            <w:r w:rsidRPr="009277E8">
              <w:rPr>
                <w:rFonts w:asciiTheme="majorBidi" w:hAnsiTheme="majorBidi" w:cstheme="majorBidi"/>
                <w:b/>
                <w:bCs/>
                <w:sz w:val="24"/>
                <w:rtl/>
              </w:rPr>
              <w:t xml:space="preserve">الأسس المنطقية </w:t>
            </w:r>
            <w:r w:rsidR="002E6FC7" w:rsidRPr="009277E8">
              <w:rPr>
                <w:rFonts w:asciiTheme="majorBidi" w:hAnsiTheme="majorBidi" w:cstheme="majorBidi" w:hint="cs"/>
                <w:b/>
                <w:bCs/>
                <w:sz w:val="24"/>
                <w:rtl/>
              </w:rPr>
              <w:t>للإجراءات</w:t>
            </w:r>
          </w:p>
        </w:tc>
        <w:tc>
          <w:tcPr>
            <w:tcW w:w="4214" w:type="pct"/>
            <w:gridSpan w:val="2"/>
            <w:shd w:val="clear" w:color="auto" w:fill="auto"/>
          </w:tcPr>
          <w:p w14:paraId="3792271C" w14:textId="1040459D" w:rsidR="001D792C" w:rsidRPr="009277E8" w:rsidRDefault="00D61606" w:rsidP="00130917">
            <w:pPr>
              <w:keepLines/>
              <w:bidi/>
              <w:spacing w:before="120"/>
              <w:jc w:val="both"/>
              <w:rPr>
                <w:rFonts w:asciiTheme="majorBidi" w:hAnsiTheme="majorBidi" w:cstheme="majorBidi"/>
                <w:sz w:val="24"/>
              </w:rPr>
            </w:pPr>
            <w:r w:rsidRPr="009277E8">
              <w:rPr>
                <w:rFonts w:asciiTheme="majorBidi" w:hAnsiTheme="majorBidi" w:cstheme="majorBidi"/>
                <w:sz w:val="24"/>
                <w:rtl/>
              </w:rPr>
              <w:t>في الاتفاقية، ي</w:t>
            </w:r>
            <w:r w:rsidR="005F1D41" w:rsidRPr="009277E8">
              <w:rPr>
                <w:rFonts w:asciiTheme="majorBidi" w:hAnsiTheme="majorBidi" w:cstheme="majorBidi" w:hint="cs"/>
                <w:sz w:val="24"/>
                <w:rtl/>
              </w:rPr>
              <w:t>ُ</w:t>
            </w:r>
            <w:r w:rsidRPr="009277E8">
              <w:rPr>
                <w:rFonts w:asciiTheme="majorBidi" w:hAnsiTheme="majorBidi" w:cstheme="majorBidi"/>
                <w:sz w:val="24"/>
                <w:rtl/>
              </w:rPr>
              <w:t>ولى التعليم اهتمامًا خاصًا باعتباره وسيلة لضمان احترام التراث الثقافي غير المادي و</w:t>
            </w:r>
            <w:r w:rsidR="00D7679B" w:rsidRPr="009277E8">
              <w:rPr>
                <w:rFonts w:asciiTheme="majorBidi" w:hAnsiTheme="majorBidi" w:cstheme="majorBidi"/>
                <w:sz w:val="24"/>
                <w:rtl/>
              </w:rPr>
              <w:t>التوعية</w:t>
            </w:r>
            <w:r w:rsidR="002C307B" w:rsidRPr="009277E8">
              <w:rPr>
                <w:rFonts w:asciiTheme="majorBidi" w:hAnsiTheme="majorBidi" w:cstheme="majorBidi"/>
                <w:sz w:val="24"/>
                <w:rtl/>
              </w:rPr>
              <w:t xml:space="preserve"> </w:t>
            </w:r>
            <w:r w:rsidRPr="009277E8">
              <w:rPr>
                <w:rFonts w:asciiTheme="majorBidi" w:hAnsiTheme="majorBidi" w:cstheme="majorBidi"/>
                <w:sz w:val="24"/>
                <w:rtl/>
              </w:rPr>
              <w:t xml:space="preserve">بأهميته (المادة 1) فضلاً عن كونه موضعًا مهمًا لصون التراث الثقافي غير المادي من خلال دعم نقله (المادة 2-3). كما تؤكد المادة 14(أ) من الاتفاقية على استحسان "برامج تعليمية وتدريبية محددة في إطار الجماعات والمجموعات المعنية" كوسيلة "لضمان الاعتراف بالتراث الثقافي غير المادي واحترامه والنهوض به في المجتمع". ويعد وضع مجموعة من السياسات و/أو التدابير القانونية والإدارية ذات الصلة أساسًا مهمًا لتصميم برامج وأنشطة فعالة ومستدامة للتراث الثقافي غير المادي في قطاع </w:t>
            </w:r>
            <w:r w:rsidR="005604FB" w:rsidRPr="009277E8">
              <w:rPr>
                <w:rFonts w:asciiTheme="majorBidi" w:hAnsiTheme="majorBidi" w:cstheme="majorBidi" w:hint="cs"/>
                <w:sz w:val="24"/>
                <w:rtl/>
              </w:rPr>
              <w:t>التعليم</w:t>
            </w:r>
            <w:r w:rsidR="005604FB" w:rsidRPr="009277E8">
              <w:rPr>
                <w:rFonts w:asciiTheme="majorBidi" w:hAnsiTheme="majorBidi" w:cstheme="majorBidi" w:hint="eastAsia"/>
                <w:sz w:val="24"/>
                <w:rtl/>
              </w:rPr>
              <w:t>،</w:t>
            </w:r>
            <w:r w:rsidRPr="009277E8">
              <w:rPr>
                <w:rFonts w:asciiTheme="majorBidi" w:hAnsiTheme="majorBidi" w:cstheme="majorBidi"/>
                <w:sz w:val="24"/>
                <w:rtl/>
              </w:rPr>
              <w:t xml:space="preserve"> وإعدادها</w:t>
            </w:r>
            <w:r w:rsidR="005604FB" w:rsidRPr="009277E8">
              <w:rPr>
                <w:rFonts w:asciiTheme="majorBidi" w:hAnsiTheme="majorBidi" w:cstheme="majorBidi" w:hint="cs"/>
                <w:sz w:val="24"/>
                <w:rtl/>
              </w:rPr>
              <w:t>،</w:t>
            </w:r>
            <w:r w:rsidRPr="009277E8">
              <w:rPr>
                <w:rFonts w:asciiTheme="majorBidi" w:hAnsiTheme="majorBidi" w:cstheme="majorBidi"/>
                <w:sz w:val="24"/>
                <w:rtl/>
              </w:rPr>
              <w:t xml:space="preserve"> وتقديمها</w:t>
            </w:r>
            <w:r w:rsidR="005604FB" w:rsidRPr="009277E8">
              <w:rPr>
                <w:rFonts w:asciiTheme="majorBidi" w:hAnsiTheme="majorBidi" w:cstheme="majorBidi" w:hint="cs"/>
                <w:sz w:val="24"/>
                <w:rtl/>
              </w:rPr>
              <w:t>،،</w:t>
            </w:r>
            <w:r w:rsidRPr="009277E8">
              <w:rPr>
                <w:rFonts w:asciiTheme="majorBidi" w:hAnsiTheme="majorBidi" w:cstheme="majorBidi"/>
                <w:sz w:val="24"/>
                <w:rtl/>
              </w:rPr>
              <w:t xml:space="preserve"> وتنفيذها.</w:t>
            </w:r>
          </w:p>
        </w:tc>
      </w:tr>
      <w:tr w:rsidR="00704766" w:rsidRPr="006B0EA8" w14:paraId="3D34D580" w14:textId="77777777" w:rsidTr="00FE2CDC">
        <w:trPr>
          <w:cantSplit/>
        </w:trPr>
        <w:tc>
          <w:tcPr>
            <w:tcW w:w="786" w:type="pct"/>
            <w:shd w:val="clear" w:color="auto" w:fill="auto"/>
          </w:tcPr>
          <w:p w14:paraId="2DBE99B9" w14:textId="68024DB3" w:rsidR="00704766" w:rsidRPr="009277E8" w:rsidRDefault="00FE2CDC" w:rsidP="00130917">
            <w:pPr>
              <w:bidi/>
              <w:spacing w:before="120" w:after="60"/>
              <w:jc w:val="both"/>
              <w:rPr>
                <w:rFonts w:asciiTheme="majorBidi" w:hAnsiTheme="majorBidi" w:cstheme="majorBidi"/>
                <w:b/>
                <w:sz w:val="24"/>
              </w:rPr>
            </w:pPr>
            <w:r w:rsidRPr="009277E8">
              <w:rPr>
                <w:rFonts w:asciiTheme="majorBidi" w:hAnsiTheme="majorBidi" w:cstheme="majorBidi"/>
                <w:b/>
                <w:bCs/>
                <w:sz w:val="24"/>
                <w:rtl/>
              </w:rPr>
              <w:t>المصطلحات الرئيسية</w:t>
            </w:r>
          </w:p>
        </w:tc>
        <w:tc>
          <w:tcPr>
            <w:tcW w:w="4214" w:type="pct"/>
            <w:gridSpan w:val="2"/>
            <w:shd w:val="clear" w:color="auto" w:fill="auto"/>
          </w:tcPr>
          <w:p w14:paraId="7F2C272B" w14:textId="754916B2" w:rsidR="00292B4D" w:rsidRPr="009277E8" w:rsidRDefault="002E6FC7"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سياسات</w:t>
            </w:r>
          </w:p>
          <w:p w14:paraId="5BE78C43" w14:textId="23F7ACA4" w:rsidR="00292B4D" w:rsidRPr="009277E8" w:rsidRDefault="002E6FC7"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326265" w:rsidRPr="009277E8">
              <w:rPr>
                <w:rFonts w:asciiTheme="majorBidi" w:hAnsiTheme="majorBidi" w:cstheme="majorBidi"/>
                <w:sz w:val="24"/>
                <w:szCs w:val="24"/>
                <w:rtl/>
                <w:lang w:val="en-GB"/>
              </w:rPr>
              <w:t xml:space="preserve">تدابير </w:t>
            </w: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قانونية</w:t>
            </w:r>
          </w:p>
          <w:p w14:paraId="5CFCD8E7" w14:textId="29A0F590" w:rsidR="00292B4D" w:rsidRPr="009277E8" w:rsidRDefault="002E6FC7"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326265" w:rsidRPr="009277E8">
              <w:rPr>
                <w:rFonts w:asciiTheme="majorBidi" w:hAnsiTheme="majorBidi" w:cstheme="majorBidi"/>
                <w:sz w:val="24"/>
                <w:szCs w:val="24"/>
                <w:rtl/>
                <w:lang w:val="en-GB"/>
              </w:rPr>
              <w:t xml:space="preserve">تدابير </w:t>
            </w: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إدارية</w:t>
            </w:r>
          </w:p>
          <w:p w14:paraId="6B1A0BB4" w14:textId="2BD0C663" w:rsidR="00292B4D" w:rsidRPr="009277E8" w:rsidRDefault="00292B4D"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sz w:val="24"/>
                <w:szCs w:val="24"/>
                <w:rtl/>
                <w:lang w:val="en-GB"/>
              </w:rPr>
              <w:t>تنوع (التراث الثقافي غير المادي وممارسيه)</w:t>
            </w:r>
          </w:p>
          <w:p w14:paraId="613FE6E8" w14:textId="559D3126" w:rsidR="00292B4D" w:rsidRPr="009277E8" w:rsidRDefault="002E6FC7"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326265" w:rsidRPr="009277E8">
              <w:rPr>
                <w:rFonts w:asciiTheme="majorBidi" w:hAnsiTheme="majorBidi" w:cstheme="majorBidi"/>
                <w:sz w:val="24"/>
                <w:szCs w:val="24"/>
                <w:rtl/>
                <w:lang w:val="en-GB"/>
              </w:rPr>
              <w:t xml:space="preserve">تعليم </w:t>
            </w: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نظامي</w:t>
            </w:r>
          </w:p>
          <w:p w14:paraId="6B8A4F7C" w14:textId="0FF0F2AD" w:rsidR="00292B4D" w:rsidRPr="009277E8" w:rsidRDefault="00DE426F"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اعتراف بالتراث الثقافي غير المادي</w:t>
            </w:r>
          </w:p>
          <w:p w14:paraId="341835E5" w14:textId="4C93CEE7" w:rsidR="00292B4D" w:rsidRPr="009277E8" w:rsidRDefault="00292B4D"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sz w:val="24"/>
                <w:szCs w:val="24"/>
                <w:rtl/>
                <w:lang w:val="en-GB"/>
              </w:rPr>
              <w:t>احترام التراث الثقافي غير المادي</w:t>
            </w:r>
          </w:p>
          <w:p w14:paraId="1FD8509C" w14:textId="2899C540" w:rsidR="00292B4D" w:rsidRPr="009277E8" w:rsidRDefault="00DE426F"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bidi="ar-EG"/>
              </w:rPr>
              <w:t>ال</w:t>
            </w:r>
            <w:r w:rsidR="00D07BCA" w:rsidRPr="009277E8">
              <w:rPr>
                <w:rFonts w:asciiTheme="majorBidi" w:hAnsiTheme="majorBidi" w:cstheme="majorBidi"/>
                <w:sz w:val="24"/>
                <w:szCs w:val="24"/>
                <w:rtl/>
                <w:lang w:val="en-GB" w:bidi="ar-EG"/>
              </w:rPr>
              <w:t>نهوض</w:t>
            </w:r>
            <w:r w:rsidR="00292B4D" w:rsidRPr="009277E8">
              <w:rPr>
                <w:rFonts w:asciiTheme="majorBidi" w:hAnsiTheme="majorBidi" w:cstheme="majorBidi"/>
                <w:sz w:val="24"/>
                <w:szCs w:val="24"/>
                <w:rtl/>
                <w:lang w:val="en-GB"/>
              </w:rPr>
              <w:t xml:space="preserve"> </w:t>
            </w:r>
            <w:r w:rsidR="00D07BCA" w:rsidRPr="009277E8">
              <w:rPr>
                <w:rFonts w:asciiTheme="majorBidi" w:hAnsiTheme="majorBidi" w:cstheme="majorBidi"/>
                <w:sz w:val="24"/>
                <w:szCs w:val="24"/>
                <w:rtl/>
                <w:lang w:val="en-GB"/>
              </w:rPr>
              <w:t>ب</w:t>
            </w:r>
            <w:r w:rsidR="00292B4D" w:rsidRPr="009277E8">
              <w:rPr>
                <w:rFonts w:asciiTheme="majorBidi" w:hAnsiTheme="majorBidi" w:cstheme="majorBidi"/>
                <w:sz w:val="24"/>
                <w:szCs w:val="24"/>
                <w:rtl/>
                <w:lang w:val="en-GB"/>
              </w:rPr>
              <w:t>التراث الثقافي غير المادي</w:t>
            </w:r>
          </w:p>
          <w:p w14:paraId="48992FE9" w14:textId="07E58F0E" w:rsidR="00292B4D" w:rsidRPr="009277E8" w:rsidRDefault="002E6FC7" w:rsidP="00130917">
            <w:pPr>
              <w:pStyle w:val="ListParagraph"/>
              <w:numPr>
                <w:ilvl w:val="0"/>
                <w:numId w:val="71"/>
              </w:numPr>
              <w:bidi/>
              <w:spacing w:before="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تعليم باللغة الأم</w:t>
            </w:r>
          </w:p>
          <w:p w14:paraId="1E264514" w14:textId="5BE7BFE2" w:rsidR="00BA0330" w:rsidRPr="009277E8" w:rsidRDefault="002E6FC7" w:rsidP="00130917">
            <w:pPr>
              <w:pStyle w:val="ListParagraph"/>
              <w:numPr>
                <w:ilvl w:val="0"/>
                <w:numId w:val="71"/>
              </w:numPr>
              <w:bidi/>
              <w:spacing w:before="120" w:after="120"/>
              <w:jc w:val="both"/>
              <w:rPr>
                <w:rFonts w:asciiTheme="majorBidi" w:hAnsiTheme="majorBidi" w:cstheme="majorBidi"/>
                <w:sz w:val="24"/>
                <w:szCs w:val="24"/>
                <w:lang w:val="en-GB"/>
              </w:rPr>
            </w:pPr>
            <w:r w:rsidRPr="009277E8">
              <w:rPr>
                <w:rFonts w:asciiTheme="majorBidi" w:hAnsiTheme="majorBidi" w:cstheme="majorBidi" w:hint="cs"/>
                <w:sz w:val="24"/>
                <w:szCs w:val="24"/>
                <w:rtl/>
                <w:lang w:val="en-GB"/>
              </w:rPr>
              <w:t>ال</w:t>
            </w:r>
            <w:r w:rsidR="00292B4D" w:rsidRPr="009277E8">
              <w:rPr>
                <w:rFonts w:asciiTheme="majorBidi" w:hAnsiTheme="majorBidi" w:cstheme="majorBidi"/>
                <w:sz w:val="24"/>
                <w:szCs w:val="24"/>
                <w:rtl/>
                <w:lang w:val="en-GB"/>
              </w:rPr>
              <w:t>تعليم متعدد اللغات</w:t>
            </w:r>
          </w:p>
        </w:tc>
      </w:tr>
    </w:tbl>
    <w:p w14:paraId="30B78B24" w14:textId="1919D093" w:rsidR="0054175C" w:rsidRPr="00720F16" w:rsidRDefault="009277E8" w:rsidP="002F4D5A">
      <w:pPr>
        <w:bidi/>
        <w:spacing w:after="0"/>
        <w:rPr>
          <w:rFonts w:asciiTheme="majorBidi" w:hAnsiTheme="majorBidi" w:cstheme="majorBidi"/>
          <w:bCs/>
          <w:sz w:val="28"/>
          <w:szCs w:val="28"/>
        </w:rPr>
      </w:pPr>
      <w:r>
        <w:rPr>
          <w:rFonts w:asciiTheme="majorBidi" w:hAnsiTheme="majorBidi" w:cstheme="majorBidi"/>
          <w:bCs/>
          <w:sz w:val="28"/>
          <w:szCs w:val="28"/>
          <w:rtl/>
        </w:rPr>
        <w:br w:type="page"/>
      </w:r>
      <w:r w:rsidR="00FE2CDC" w:rsidRPr="00720F16">
        <w:rPr>
          <w:rFonts w:asciiTheme="majorBidi" w:hAnsiTheme="majorBidi" w:cstheme="majorBidi"/>
          <w:bCs/>
          <w:sz w:val="28"/>
          <w:szCs w:val="28"/>
          <w:rtl/>
        </w:rPr>
        <w:lastRenderedPageBreak/>
        <w:t>التوجيهات المحددة بشأن الرصد و</w:t>
      </w:r>
      <w:r w:rsidR="005248E2" w:rsidRPr="00720F16">
        <w:rPr>
          <w:rFonts w:asciiTheme="majorBidi" w:hAnsiTheme="majorBidi" w:cstheme="majorBidi" w:hint="cs"/>
          <w:bCs/>
          <w:sz w:val="28"/>
          <w:szCs w:val="28"/>
          <w:rtl/>
        </w:rPr>
        <w:t>ال</w:t>
      </w:r>
      <w:r w:rsidR="00A117C2">
        <w:rPr>
          <w:rFonts w:asciiTheme="majorBidi" w:hAnsiTheme="majorBidi" w:cstheme="majorBidi" w:hint="cs"/>
          <w:bCs/>
          <w:sz w:val="28"/>
          <w:szCs w:val="28"/>
          <w:rtl/>
        </w:rPr>
        <w:t>تقرير</w:t>
      </w:r>
      <w:r w:rsidR="00FE2CDC" w:rsidRPr="00720F16">
        <w:rPr>
          <w:rFonts w:asciiTheme="majorBidi" w:hAnsiTheme="majorBidi" w:cstheme="majorBidi"/>
          <w:bCs/>
          <w:sz w:val="28"/>
          <w:szCs w:val="28"/>
          <w:rtl/>
        </w:rPr>
        <w:t xml:space="preserve"> 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933ED5" w14:paraId="16C4A4BB" w14:textId="77777777" w:rsidTr="00FE2CDC">
        <w:tc>
          <w:tcPr>
            <w:tcW w:w="730" w:type="pct"/>
            <w:shd w:val="clear" w:color="auto" w:fill="auto"/>
          </w:tcPr>
          <w:p w14:paraId="0C61BE5F" w14:textId="7EC2A51B" w:rsidR="002C28BA" w:rsidRPr="00933ED5" w:rsidRDefault="00FE2CDC" w:rsidP="00130917">
            <w:pPr>
              <w:bidi/>
              <w:spacing w:before="120"/>
              <w:rPr>
                <w:rFonts w:asciiTheme="majorBidi" w:hAnsiTheme="majorBidi" w:cstheme="majorBidi"/>
                <w:b/>
                <w:sz w:val="24"/>
              </w:rPr>
            </w:pPr>
            <w:r w:rsidRPr="00933ED5">
              <w:rPr>
                <w:rFonts w:asciiTheme="majorBidi" w:hAnsiTheme="majorBidi" w:cstheme="majorBidi"/>
                <w:b/>
                <w:bCs/>
                <w:sz w:val="24"/>
                <w:rtl/>
              </w:rPr>
              <w:t>فوائد الرصد</w:t>
            </w:r>
          </w:p>
        </w:tc>
        <w:tc>
          <w:tcPr>
            <w:tcW w:w="4270" w:type="pct"/>
            <w:shd w:val="clear" w:color="auto" w:fill="auto"/>
          </w:tcPr>
          <w:p w14:paraId="1CD0F145" w14:textId="696E74DF" w:rsidR="00E62FDD" w:rsidRPr="00933ED5" w:rsidRDefault="00141E93" w:rsidP="00130917">
            <w:pPr>
              <w:keepLines/>
              <w:bidi/>
              <w:spacing w:before="120"/>
              <w:jc w:val="both"/>
              <w:rPr>
                <w:rFonts w:asciiTheme="majorBidi" w:hAnsiTheme="majorBidi" w:cstheme="majorBidi"/>
                <w:b/>
                <w:sz w:val="24"/>
              </w:rPr>
            </w:pPr>
            <w:r w:rsidRPr="00933ED5">
              <w:rPr>
                <w:rFonts w:asciiTheme="majorBidi" w:hAnsiTheme="majorBidi" w:cstheme="majorBidi"/>
                <w:b/>
                <w:sz w:val="24"/>
                <w:rtl/>
              </w:rPr>
              <w:t xml:space="preserve">وعلى غرار السياسات و/أو التدابير القانونية والإدارية في قطاع الثقافة (المؤشر 11)، يعد رصد سياسات التعليم والتدابير القانونية والإدارية أمرًا ضروريًا لتقييم قيمتها وفعاليتها. وعلاوة على ذلك، </w:t>
            </w:r>
            <w:r w:rsidR="00933ED5">
              <w:rPr>
                <w:rFonts w:asciiTheme="majorBidi" w:hAnsiTheme="majorBidi" w:cstheme="majorBidi" w:hint="cs"/>
                <w:b/>
                <w:sz w:val="24"/>
                <w:rtl/>
              </w:rPr>
              <w:t>يمكن أن</w:t>
            </w:r>
            <w:r w:rsidRPr="00933ED5">
              <w:rPr>
                <w:rFonts w:asciiTheme="majorBidi" w:hAnsiTheme="majorBidi" w:cstheme="majorBidi"/>
                <w:b/>
                <w:sz w:val="24"/>
                <w:rtl/>
              </w:rPr>
              <w:t xml:space="preserve"> يشير تنفيذها الفعلي إلى ما إذا كانت السياسات والتدابير واقعية وقابلة للتحقيق أم قد تحتاج إلى تعديل أو ت</w:t>
            </w:r>
            <w:r w:rsidR="00933ED5">
              <w:rPr>
                <w:rFonts w:asciiTheme="majorBidi" w:hAnsiTheme="majorBidi" w:cstheme="majorBidi" w:hint="cs"/>
                <w:b/>
                <w:sz w:val="24"/>
                <w:rtl/>
              </w:rPr>
              <w:t>غيير</w:t>
            </w:r>
            <w:r w:rsidRPr="00933ED5">
              <w:rPr>
                <w:rFonts w:asciiTheme="majorBidi" w:hAnsiTheme="majorBidi" w:cstheme="majorBidi"/>
                <w:b/>
                <w:sz w:val="24"/>
                <w:rtl/>
              </w:rPr>
              <w:t xml:space="preserve"> لتناسب </w:t>
            </w:r>
            <w:r w:rsidR="003D28F0">
              <w:rPr>
                <w:rFonts w:asciiTheme="majorBidi" w:hAnsiTheme="majorBidi" w:cstheme="majorBidi" w:hint="cs"/>
                <w:b/>
                <w:sz w:val="24"/>
                <w:rtl/>
              </w:rPr>
              <w:t>حقائق</w:t>
            </w:r>
            <w:r w:rsidRPr="00933ED5">
              <w:rPr>
                <w:rFonts w:asciiTheme="majorBidi" w:hAnsiTheme="majorBidi" w:cstheme="majorBidi"/>
                <w:b/>
                <w:sz w:val="24"/>
                <w:rtl/>
              </w:rPr>
              <w:t xml:space="preserve"> البلد بصورة أفضل. و</w:t>
            </w:r>
            <w:r w:rsidR="003D28F0">
              <w:rPr>
                <w:rFonts w:asciiTheme="majorBidi" w:hAnsiTheme="majorBidi" w:cstheme="majorBidi" w:hint="cs"/>
                <w:b/>
                <w:sz w:val="24"/>
                <w:rtl/>
              </w:rPr>
              <w:t>يمكن أن</w:t>
            </w:r>
            <w:r w:rsidRPr="00933ED5">
              <w:rPr>
                <w:rFonts w:asciiTheme="majorBidi" w:hAnsiTheme="majorBidi" w:cstheme="majorBidi"/>
                <w:b/>
                <w:sz w:val="24"/>
                <w:rtl/>
              </w:rPr>
              <w:t xml:space="preserve"> يساعد رصد أطر السياسات الأوسع نطاقًا البرامج والأنشطة الفردية المشمولة (راجع المؤشرات 4-6)، لتحقيق أكبر </w:t>
            </w:r>
            <w:r w:rsidR="00D7679B" w:rsidRPr="00933ED5">
              <w:rPr>
                <w:rFonts w:asciiTheme="majorBidi" w:hAnsiTheme="majorBidi" w:cstheme="majorBidi"/>
                <w:b/>
                <w:sz w:val="24"/>
                <w:rtl/>
              </w:rPr>
              <w:t>أثر</w:t>
            </w:r>
            <w:r w:rsidRPr="00933ED5">
              <w:rPr>
                <w:rFonts w:asciiTheme="majorBidi" w:hAnsiTheme="majorBidi" w:cstheme="majorBidi"/>
                <w:b/>
                <w:sz w:val="24"/>
                <w:rtl/>
              </w:rPr>
              <w:t xml:space="preserve"> </w:t>
            </w:r>
            <w:r w:rsidR="003D28F0">
              <w:rPr>
                <w:rFonts w:asciiTheme="majorBidi" w:hAnsiTheme="majorBidi" w:cstheme="majorBidi" w:hint="cs"/>
                <w:b/>
                <w:sz w:val="24"/>
                <w:rtl/>
              </w:rPr>
              <w:t>منها</w:t>
            </w:r>
            <w:r w:rsidRPr="00933ED5">
              <w:rPr>
                <w:rFonts w:asciiTheme="majorBidi" w:hAnsiTheme="majorBidi" w:cstheme="majorBidi"/>
                <w:b/>
                <w:sz w:val="24"/>
                <w:rtl/>
              </w:rPr>
              <w:t>. وعلى ال</w:t>
            </w:r>
            <w:r w:rsidR="00286873" w:rsidRPr="00933ED5">
              <w:rPr>
                <w:rFonts w:asciiTheme="majorBidi" w:hAnsiTheme="majorBidi" w:cstheme="majorBidi"/>
                <w:b/>
                <w:sz w:val="24"/>
                <w:rtl/>
              </w:rPr>
              <w:t>صعيد</w:t>
            </w:r>
            <w:r w:rsidRPr="00933ED5">
              <w:rPr>
                <w:rFonts w:asciiTheme="majorBidi" w:hAnsiTheme="majorBidi" w:cstheme="majorBidi"/>
                <w:b/>
                <w:sz w:val="24"/>
                <w:rtl/>
              </w:rPr>
              <w:t xml:space="preserve"> العالمي، </w:t>
            </w:r>
            <w:r w:rsidR="000C410F">
              <w:rPr>
                <w:rFonts w:asciiTheme="majorBidi" w:hAnsiTheme="majorBidi" w:cstheme="majorBidi" w:hint="cs"/>
                <w:b/>
                <w:sz w:val="24"/>
                <w:rtl/>
              </w:rPr>
              <w:t>يمكن أن</w:t>
            </w:r>
            <w:r w:rsidRPr="00933ED5">
              <w:rPr>
                <w:rFonts w:asciiTheme="majorBidi" w:hAnsiTheme="majorBidi" w:cstheme="majorBidi"/>
                <w:b/>
                <w:sz w:val="24"/>
                <w:rtl/>
              </w:rPr>
              <w:t xml:space="preserve"> يحدد هذا المؤشر النماذج الجيدة التي يمكن تكييفها مع سياقات السياسات المحددة للدول المختلفة، و</w:t>
            </w:r>
            <w:r w:rsidR="000C410F">
              <w:rPr>
                <w:rFonts w:asciiTheme="majorBidi" w:hAnsiTheme="majorBidi" w:cstheme="majorBidi" w:hint="cs"/>
                <w:b/>
                <w:sz w:val="24"/>
                <w:rtl/>
              </w:rPr>
              <w:t>يمكن أن</w:t>
            </w:r>
            <w:r w:rsidRPr="00933ED5">
              <w:rPr>
                <w:rFonts w:asciiTheme="majorBidi" w:hAnsiTheme="majorBidi" w:cstheme="majorBidi"/>
                <w:b/>
                <w:sz w:val="24"/>
                <w:rtl/>
              </w:rPr>
              <w:t xml:space="preserve"> يشير إلى احتياجات للتعاون الدولي الذي يهدف إلى تعزيز هذه الجهود.</w:t>
            </w:r>
          </w:p>
        </w:tc>
      </w:tr>
      <w:tr w:rsidR="0054175C" w:rsidRPr="00933ED5" w14:paraId="30A54348" w14:textId="77777777" w:rsidTr="00FE2CDC">
        <w:tc>
          <w:tcPr>
            <w:tcW w:w="730" w:type="pct"/>
            <w:shd w:val="clear" w:color="auto" w:fill="auto"/>
          </w:tcPr>
          <w:p w14:paraId="10F06A69" w14:textId="476BFFB3" w:rsidR="0054175C" w:rsidRPr="00933ED5" w:rsidRDefault="00FE2CDC" w:rsidP="00130917">
            <w:pPr>
              <w:bidi/>
              <w:spacing w:before="120"/>
              <w:rPr>
                <w:rFonts w:asciiTheme="majorBidi" w:hAnsiTheme="majorBidi" w:cstheme="majorBidi"/>
                <w:b/>
                <w:sz w:val="24"/>
              </w:rPr>
            </w:pPr>
            <w:r w:rsidRPr="00933ED5">
              <w:rPr>
                <w:rFonts w:asciiTheme="majorBidi" w:hAnsiTheme="majorBidi" w:cstheme="majorBidi"/>
                <w:b/>
                <w:bCs/>
                <w:sz w:val="24"/>
                <w:rtl/>
              </w:rPr>
              <w:t>مصادر البيانات وجمعها</w:t>
            </w:r>
          </w:p>
        </w:tc>
        <w:tc>
          <w:tcPr>
            <w:tcW w:w="4270" w:type="pct"/>
            <w:shd w:val="clear" w:color="auto" w:fill="auto"/>
          </w:tcPr>
          <w:p w14:paraId="0FC4ABFF" w14:textId="585A4C61" w:rsidR="00890613" w:rsidRPr="00933ED5" w:rsidRDefault="00890613" w:rsidP="00130917">
            <w:pPr>
              <w:keepNext/>
              <w:bidi/>
              <w:spacing w:before="120" w:after="60"/>
              <w:jc w:val="both"/>
              <w:rPr>
                <w:rFonts w:asciiTheme="majorBidi" w:hAnsiTheme="majorBidi" w:cstheme="majorBidi"/>
                <w:sz w:val="24"/>
                <w:rtl/>
              </w:rPr>
            </w:pPr>
            <w:r w:rsidRPr="00933ED5">
              <w:rPr>
                <w:rFonts w:asciiTheme="majorBidi" w:hAnsiTheme="majorBidi" w:cstheme="majorBidi"/>
                <w:sz w:val="24"/>
                <w:rtl/>
              </w:rPr>
              <w:t>قد يرغب المسؤولون عن الرصد و</w:t>
            </w:r>
            <w:r w:rsidR="003E3E56">
              <w:rPr>
                <w:rFonts w:asciiTheme="majorBidi" w:hAnsiTheme="majorBidi" w:cstheme="majorBidi" w:hint="cs"/>
                <w:sz w:val="24"/>
                <w:rtl/>
              </w:rPr>
              <w:t>اعداد التقرير</w:t>
            </w:r>
            <w:r w:rsidR="002D732E">
              <w:rPr>
                <w:rFonts w:asciiTheme="majorBidi" w:hAnsiTheme="majorBidi" w:cstheme="majorBidi" w:hint="cs"/>
                <w:sz w:val="24"/>
                <w:rtl/>
              </w:rPr>
              <w:t xml:space="preserve"> </w:t>
            </w:r>
            <w:r w:rsidRPr="00933ED5">
              <w:rPr>
                <w:rFonts w:asciiTheme="majorBidi" w:hAnsiTheme="majorBidi" w:cstheme="majorBidi"/>
                <w:sz w:val="24"/>
                <w:rtl/>
              </w:rPr>
              <w:t xml:space="preserve">في العمل </w:t>
            </w:r>
            <w:r w:rsidR="002D732E">
              <w:rPr>
                <w:rFonts w:asciiTheme="majorBidi" w:hAnsiTheme="majorBidi" w:cstheme="majorBidi" w:hint="cs"/>
                <w:sz w:val="24"/>
                <w:rtl/>
              </w:rPr>
              <w:t>عن كثب</w:t>
            </w:r>
            <w:r w:rsidRPr="00933ED5">
              <w:rPr>
                <w:rFonts w:asciiTheme="majorBidi" w:hAnsiTheme="majorBidi" w:cstheme="majorBidi"/>
                <w:sz w:val="24"/>
                <w:rtl/>
              </w:rPr>
              <w:t xml:space="preserve"> مع نظرائهم في وزارة التربية والتعليم و/أو وزارة التعليم العالي. وعلى أعلى </w:t>
            </w:r>
            <w:r w:rsidR="002D732E">
              <w:rPr>
                <w:rFonts w:asciiTheme="majorBidi" w:hAnsiTheme="majorBidi" w:cstheme="majorBidi" w:hint="cs"/>
                <w:sz w:val="24"/>
                <w:rtl/>
              </w:rPr>
              <w:t>صعيد</w:t>
            </w:r>
            <w:r w:rsidRPr="00933ED5">
              <w:rPr>
                <w:rFonts w:asciiTheme="majorBidi" w:hAnsiTheme="majorBidi" w:cstheme="majorBidi"/>
                <w:sz w:val="24"/>
                <w:rtl/>
              </w:rPr>
              <w:t>، قد تُنشر قوانين التعليم والسياسات الرئيسية في جريدة رسمية؛ وقد تُنشر المزيد من التدابير القانونية والإدارية المحددة على الموقع الإلكتروني الخاص بالوزارة المعنية. إذا كان</w:t>
            </w:r>
            <w:r w:rsidR="002D732E">
              <w:rPr>
                <w:rFonts w:asciiTheme="majorBidi" w:hAnsiTheme="majorBidi" w:cstheme="majorBidi" w:hint="cs"/>
                <w:sz w:val="24"/>
                <w:rtl/>
              </w:rPr>
              <w:t xml:space="preserve"> لدى </w:t>
            </w:r>
            <w:r w:rsidR="003E3E56">
              <w:rPr>
                <w:rFonts w:asciiTheme="majorBidi" w:hAnsiTheme="majorBidi" w:cstheme="majorBidi" w:hint="cs"/>
                <w:sz w:val="24"/>
                <w:rtl/>
              </w:rPr>
              <w:t>ال</w:t>
            </w:r>
            <w:r w:rsidRPr="00933ED5">
              <w:rPr>
                <w:rFonts w:asciiTheme="majorBidi" w:hAnsiTheme="majorBidi" w:cstheme="majorBidi"/>
                <w:sz w:val="24"/>
                <w:rtl/>
              </w:rPr>
              <w:t xml:space="preserve">بلد هيئة استشارية أو آلية تنسيق تضم أعضاء من قطاع التعليم، </w:t>
            </w:r>
            <w:r w:rsidR="002D732E">
              <w:rPr>
                <w:rFonts w:asciiTheme="majorBidi" w:hAnsiTheme="majorBidi" w:cstheme="majorBidi" w:hint="cs"/>
                <w:sz w:val="24"/>
                <w:rtl/>
              </w:rPr>
              <w:t>يمكن أن</w:t>
            </w:r>
            <w:r w:rsidRPr="00933ED5">
              <w:rPr>
                <w:rFonts w:asciiTheme="majorBidi" w:hAnsiTheme="majorBidi" w:cstheme="majorBidi"/>
                <w:sz w:val="24"/>
                <w:rtl/>
              </w:rPr>
              <w:t xml:space="preserve"> يكونو</w:t>
            </w:r>
            <w:r w:rsidR="002D732E">
              <w:rPr>
                <w:rFonts w:asciiTheme="majorBidi" w:hAnsiTheme="majorBidi" w:cstheme="majorBidi" w:hint="cs"/>
                <w:sz w:val="24"/>
                <w:rtl/>
              </w:rPr>
              <w:t>ا</w:t>
            </w:r>
            <w:r w:rsidRPr="00933ED5">
              <w:rPr>
                <w:rFonts w:asciiTheme="majorBidi" w:hAnsiTheme="majorBidi" w:cstheme="majorBidi"/>
                <w:sz w:val="24"/>
                <w:rtl/>
              </w:rPr>
              <w:t xml:space="preserve"> مصادر قيمة للبيانات المتعلقة بسياسات التعليم وتدابيره. وقد تُجري معاهد أو جامعات البحث التربوي</w:t>
            </w:r>
            <w:r w:rsidR="002D732E">
              <w:rPr>
                <w:rFonts w:asciiTheme="majorBidi" w:hAnsiTheme="majorBidi" w:cstheme="majorBidi" w:hint="cs"/>
                <w:sz w:val="24"/>
                <w:rtl/>
              </w:rPr>
              <w:t>،</w:t>
            </w:r>
            <w:r w:rsidRPr="00933ED5">
              <w:rPr>
                <w:rFonts w:asciiTheme="majorBidi" w:hAnsiTheme="majorBidi" w:cstheme="majorBidi"/>
                <w:sz w:val="24"/>
                <w:rtl/>
              </w:rPr>
              <w:t xml:space="preserve"> التي توفر تدريبات تربوية وتعليمية</w:t>
            </w:r>
            <w:r w:rsidR="002D732E">
              <w:rPr>
                <w:rFonts w:asciiTheme="majorBidi" w:hAnsiTheme="majorBidi" w:cstheme="majorBidi" w:hint="cs"/>
                <w:sz w:val="24"/>
                <w:rtl/>
              </w:rPr>
              <w:t>،</w:t>
            </w:r>
            <w:r w:rsidRPr="00933ED5">
              <w:rPr>
                <w:rFonts w:asciiTheme="majorBidi" w:hAnsiTheme="majorBidi" w:cstheme="majorBidi"/>
                <w:sz w:val="24"/>
                <w:rtl/>
              </w:rPr>
              <w:t xml:space="preserve"> بح</w:t>
            </w:r>
            <w:r w:rsidR="002D732E">
              <w:rPr>
                <w:rFonts w:asciiTheme="majorBidi" w:hAnsiTheme="majorBidi" w:cstheme="majorBidi" w:hint="cs"/>
                <w:sz w:val="24"/>
                <w:rtl/>
              </w:rPr>
              <w:t>و</w:t>
            </w:r>
            <w:r w:rsidRPr="00933ED5">
              <w:rPr>
                <w:rFonts w:asciiTheme="majorBidi" w:hAnsiTheme="majorBidi" w:cstheme="majorBidi"/>
                <w:sz w:val="24"/>
                <w:rtl/>
              </w:rPr>
              <w:t>ث</w:t>
            </w:r>
            <w:r w:rsidR="002D732E">
              <w:rPr>
                <w:rFonts w:asciiTheme="majorBidi" w:hAnsiTheme="majorBidi" w:cstheme="majorBidi" w:hint="cs"/>
                <w:sz w:val="24"/>
                <w:rtl/>
              </w:rPr>
              <w:t>ًا</w:t>
            </w:r>
            <w:r w:rsidRPr="00933ED5">
              <w:rPr>
                <w:rFonts w:asciiTheme="majorBidi" w:hAnsiTheme="majorBidi" w:cstheme="majorBidi"/>
                <w:sz w:val="24"/>
                <w:rtl/>
              </w:rPr>
              <w:t xml:space="preserve"> حول سياسة التعليم، وقد تكون مسؤولة عن تقييم فعالية هذه السياسات والتدابير القانونية والإدارية في القطاع</w:t>
            </w:r>
            <w:r w:rsidR="002D732E">
              <w:rPr>
                <w:rFonts w:asciiTheme="majorBidi" w:hAnsiTheme="majorBidi" w:cstheme="majorBidi" w:hint="cs"/>
                <w:sz w:val="24"/>
                <w:rtl/>
              </w:rPr>
              <w:t>،</w:t>
            </w:r>
            <w:r w:rsidRPr="00933ED5">
              <w:rPr>
                <w:rFonts w:asciiTheme="majorBidi" w:hAnsiTheme="majorBidi" w:cstheme="majorBidi"/>
                <w:sz w:val="24"/>
                <w:rtl/>
              </w:rPr>
              <w:t xml:space="preserve"> </w:t>
            </w:r>
            <w:r w:rsidR="00D7679B" w:rsidRPr="00933ED5">
              <w:rPr>
                <w:rFonts w:asciiTheme="majorBidi" w:hAnsiTheme="majorBidi" w:cstheme="majorBidi"/>
                <w:sz w:val="24"/>
                <w:rtl/>
              </w:rPr>
              <w:t>و</w:t>
            </w:r>
            <w:r w:rsidR="002D732E">
              <w:rPr>
                <w:rFonts w:asciiTheme="majorBidi" w:hAnsiTheme="majorBidi" w:cstheme="majorBidi" w:hint="cs"/>
                <w:sz w:val="24"/>
                <w:rtl/>
              </w:rPr>
              <w:t>آ</w:t>
            </w:r>
            <w:r w:rsidR="00D7679B" w:rsidRPr="00933ED5">
              <w:rPr>
                <w:rFonts w:asciiTheme="majorBidi" w:hAnsiTheme="majorBidi" w:cstheme="majorBidi"/>
                <w:sz w:val="24"/>
                <w:rtl/>
              </w:rPr>
              <w:t>ثارها</w:t>
            </w:r>
            <w:r w:rsidRPr="00933ED5">
              <w:rPr>
                <w:rFonts w:asciiTheme="majorBidi" w:hAnsiTheme="majorBidi" w:cstheme="majorBidi"/>
                <w:sz w:val="24"/>
                <w:rtl/>
              </w:rPr>
              <w:t>.</w:t>
            </w:r>
          </w:p>
          <w:p w14:paraId="1BB1A8F3" w14:textId="070713AE" w:rsidR="00FE2CDC" w:rsidRPr="00933ED5" w:rsidRDefault="00FE2CDC" w:rsidP="00130917">
            <w:pPr>
              <w:keepNext/>
              <w:bidi/>
              <w:spacing w:before="120" w:after="60"/>
              <w:jc w:val="both"/>
              <w:rPr>
                <w:rFonts w:asciiTheme="majorBidi" w:hAnsiTheme="majorBidi" w:cstheme="majorBidi"/>
                <w:bCs/>
                <w:sz w:val="24"/>
              </w:rPr>
            </w:pPr>
            <w:r w:rsidRPr="00933ED5">
              <w:rPr>
                <w:rFonts w:asciiTheme="majorBidi" w:hAnsiTheme="majorBidi" w:cstheme="majorBidi"/>
                <w:bCs/>
                <w:sz w:val="24"/>
                <w:rtl/>
              </w:rPr>
              <w:t>مصادر البيانات المحتملة</w:t>
            </w:r>
          </w:p>
          <w:p w14:paraId="21EFBD82" w14:textId="1228E65C" w:rsidR="005B1BD9" w:rsidRPr="00933ED5" w:rsidRDefault="00EE262D" w:rsidP="00130917">
            <w:pPr>
              <w:pStyle w:val="ListParagraph"/>
              <w:numPr>
                <w:ilvl w:val="0"/>
                <w:numId w:val="73"/>
              </w:numPr>
              <w:bidi/>
              <w:spacing w:before="120"/>
              <w:jc w:val="both"/>
              <w:rPr>
                <w:rFonts w:asciiTheme="majorBidi" w:hAnsiTheme="majorBidi" w:cstheme="majorBidi"/>
                <w:sz w:val="24"/>
                <w:szCs w:val="24"/>
                <w:lang w:val="en-GB"/>
              </w:rPr>
            </w:pPr>
            <w:r w:rsidRPr="00933ED5">
              <w:rPr>
                <w:rFonts w:asciiTheme="majorBidi" w:hAnsiTheme="majorBidi" w:cstheme="majorBidi"/>
                <w:sz w:val="24"/>
                <w:szCs w:val="24"/>
                <w:rtl/>
                <w:lang w:val="en-GB"/>
              </w:rPr>
              <w:t>مجلات</w:t>
            </w:r>
            <w:r w:rsidR="00326265" w:rsidRPr="00933ED5">
              <w:rPr>
                <w:rFonts w:asciiTheme="majorBidi" w:hAnsiTheme="majorBidi" w:cstheme="majorBidi"/>
                <w:sz w:val="24"/>
                <w:szCs w:val="24"/>
                <w:rtl/>
                <w:lang w:val="en-GB"/>
              </w:rPr>
              <w:t xml:space="preserve"> </w:t>
            </w:r>
            <w:r w:rsidR="005B1BD9" w:rsidRPr="00933ED5">
              <w:rPr>
                <w:rFonts w:asciiTheme="majorBidi" w:hAnsiTheme="majorBidi" w:cstheme="majorBidi"/>
                <w:sz w:val="24"/>
                <w:szCs w:val="24"/>
                <w:rtl/>
                <w:lang w:val="en-GB"/>
              </w:rPr>
              <w:t xml:space="preserve">رسمية أو </w:t>
            </w:r>
            <w:r w:rsidR="0098057E" w:rsidRPr="00933ED5">
              <w:rPr>
                <w:rFonts w:asciiTheme="majorBidi" w:hAnsiTheme="majorBidi" w:cstheme="majorBidi"/>
                <w:sz w:val="24"/>
                <w:szCs w:val="24"/>
                <w:rtl/>
                <w:lang w:val="en-GB"/>
              </w:rPr>
              <w:t>موجزات</w:t>
            </w:r>
            <w:r w:rsidR="00326265" w:rsidRPr="00933ED5">
              <w:rPr>
                <w:rFonts w:asciiTheme="majorBidi" w:hAnsiTheme="majorBidi" w:cstheme="majorBidi"/>
                <w:sz w:val="24"/>
                <w:szCs w:val="24"/>
                <w:rtl/>
                <w:lang w:val="en-GB"/>
              </w:rPr>
              <w:t xml:space="preserve"> قوانين ولوائح </w:t>
            </w:r>
            <w:r w:rsidR="005B1BD9" w:rsidRPr="00933ED5">
              <w:rPr>
                <w:rFonts w:asciiTheme="majorBidi" w:hAnsiTheme="majorBidi" w:cstheme="majorBidi"/>
                <w:sz w:val="24"/>
                <w:szCs w:val="24"/>
                <w:rtl/>
                <w:lang w:val="en-GB"/>
              </w:rPr>
              <w:t>قانونية</w:t>
            </w:r>
          </w:p>
          <w:p w14:paraId="0545E0EC" w14:textId="25690904" w:rsidR="005B1BD9" w:rsidRPr="00933ED5" w:rsidRDefault="005B1BD9" w:rsidP="00130917">
            <w:pPr>
              <w:pStyle w:val="ListParagraph"/>
              <w:numPr>
                <w:ilvl w:val="0"/>
                <w:numId w:val="73"/>
              </w:numPr>
              <w:bidi/>
              <w:spacing w:before="120"/>
              <w:jc w:val="both"/>
              <w:rPr>
                <w:rFonts w:asciiTheme="majorBidi" w:hAnsiTheme="majorBidi" w:cstheme="majorBidi"/>
                <w:sz w:val="24"/>
                <w:szCs w:val="24"/>
                <w:lang w:val="en-GB"/>
              </w:rPr>
            </w:pPr>
            <w:r w:rsidRPr="00933ED5">
              <w:rPr>
                <w:rFonts w:asciiTheme="majorBidi" w:hAnsiTheme="majorBidi" w:cstheme="majorBidi"/>
                <w:sz w:val="24"/>
                <w:szCs w:val="24"/>
                <w:rtl/>
                <w:lang w:val="en-GB"/>
              </w:rPr>
              <w:t>وثائق سياسة وزارة التربية والتعليم و</w:t>
            </w:r>
            <w:r w:rsidR="00D7679B" w:rsidRPr="00933ED5">
              <w:rPr>
                <w:rFonts w:asciiTheme="majorBidi" w:hAnsiTheme="majorBidi" w:cstheme="majorBidi"/>
                <w:sz w:val="24"/>
                <w:szCs w:val="24"/>
                <w:rtl/>
                <w:lang w:val="en-GB"/>
              </w:rPr>
              <w:t xml:space="preserve">/أو وزارة التعليم العالي و/أو هيئات تشريعية </w:t>
            </w:r>
            <w:r w:rsidRPr="00933ED5">
              <w:rPr>
                <w:rFonts w:asciiTheme="majorBidi" w:hAnsiTheme="majorBidi" w:cstheme="majorBidi"/>
                <w:sz w:val="24"/>
                <w:szCs w:val="24"/>
                <w:rtl/>
                <w:lang w:val="en-GB"/>
              </w:rPr>
              <w:t>مسؤولة عن التعليم</w:t>
            </w:r>
          </w:p>
          <w:p w14:paraId="64D27627" w14:textId="0B75ECC8" w:rsidR="005B1BD9" w:rsidRPr="00933ED5" w:rsidRDefault="00326265" w:rsidP="00130917">
            <w:pPr>
              <w:pStyle w:val="ListParagraph"/>
              <w:numPr>
                <w:ilvl w:val="0"/>
                <w:numId w:val="73"/>
              </w:numPr>
              <w:bidi/>
              <w:spacing w:before="120"/>
              <w:jc w:val="both"/>
              <w:rPr>
                <w:rFonts w:asciiTheme="majorBidi" w:hAnsiTheme="majorBidi" w:cstheme="majorBidi"/>
                <w:sz w:val="24"/>
                <w:szCs w:val="24"/>
                <w:lang w:val="en-GB"/>
              </w:rPr>
            </w:pPr>
            <w:r w:rsidRPr="00933ED5">
              <w:rPr>
                <w:rFonts w:asciiTheme="majorBidi" w:hAnsiTheme="majorBidi" w:cstheme="majorBidi"/>
                <w:sz w:val="24"/>
                <w:szCs w:val="24"/>
                <w:rtl/>
                <w:lang w:val="en-GB"/>
              </w:rPr>
              <w:t>مسوحات أو بحوث</w:t>
            </w:r>
            <w:r w:rsidR="005B1BD9" w:rsidRPr="00933ED5">
              <w:rPr>
                <w:rFonts w:asciiTheme="majorBidi" w:hAnsiTheme="majorBidi" w:cstheme="majorBidi"/>
                <w:sz w:val="24"/>
                <w:szCs w:val="24"/>
                <w:rtl/>
                <w:lang w:val="en-GB"/>
              </w:rPr>
              <w:t xml:space="preserve"> ت</w:t>
            </w:r>
            <w:r w:rsidR="00D7679B" w:rsidRPr="00933ED5">
              <w:rPr>
                <w:rFonts w:asciiTheme="majorBidi" w:hAnsiTheme="majorBidi" w:cstheme="majorBidi"/>
                <w:sz w:val="24"/>
                <w:szCs w:val="24"/>
                <w:rtl/>
                <w:lang w:val="en-GB"/>
              </w:rPr>
              <w:t xml:space="preserve">ُجريها معاهد البحث و/أو جامعات </w:t>
            </w:r>
            <w:r w:rsidR="005B1BD9" w:rsidRPr="00933ED5">
              <w:rPr>
                <w:rFonts w:asciiTheme="majorBidi" w:hAnsiTheme="majorBidi" w:cstheme="majorBidi"/>
                <w:sz w:val="24"/>
                <w:szCs w:val="24"/>
                <w:rtl/>
                <w:lang w:val="en-GB"/>
              </w:rPr>
              <w:t>تربوية لفحص سياسة التعليم ورصد آثار هذه السياسات</w:t>
            </w:r>
          </w:p>
          <w:p w14:paraId="790BADC0" w14:textId="50C988E7" w:rsidR="005B1BD9" w:rsidRPr="009277E8" w:rsidRDefault="005B1BD9" w:rsidP="00130917">
            <w:pPr>
              <w:pStyle w:val="ListParagraph"/>
              <w:numPr>
                <w:ilvl w:val="0"/>
                <w:numId w:val="73"/>
              </w:numPr>
              <w:bidi/>
              <w:spacing w:before="120"/>
              <w:jc w:val="both"/>
              <w:rPr>
                <w:rFonts w:ascii="Times New Roman" w:hAnsi="Times New Roman"/>
                <w:sz w:val="24"/>
                <w:szCs w:val="24"/>
                <w:lang w:val="en-GB"/>
              </w:rPr>
            </w:pPr>
            <w:r w:rsidRPr="009277E8">
              <w:rPr>
                <w:rFonts w:ascii="Times New Roman" w:hAnsi="Times New Roman"/>
                <w:sz w:val="24"/>
                <w:szCs w:val="24"/>
                <w:rtl/>
                <w:lang w:val="en-GB"/>
              </w:rPr>
              <w:t xml:space="preserve">بوابة </w:t>
            </w:r>
            <w:proofErr w:type="spellStart"/>
            <w:r w:rsidRPr="009277E8">
              <w:rPr>
                <w:rFonts w:ascii="Times New Roman" w:hAnsi="Times New Roman"/>
                <w:sz w:val="24"/>
                <w:szCs w:val="24"/>
                <w:rtl/>
                <w:lang w:val="en-GB"/>
              </w:rPr>
              <w:t>بلانيبوليس</w:t>
            </w:r>
            <w:proofErr w:type="spellEnd"/>
            <w:r w:rsidRPr="009277E8">
              <w:rPr>
                <w:rFonts w:ascii="Times New Roman" w:hAnsi="Times New Roman"/>
                <w:sz w:val="24"/>
                <w:szCs w:val="24"/>
                <w:rtl/>
                <w:lang w:val="en-GB"/>
              </w:rPr>
              <w:t xml:space="preserve"> (</w:t>
            </w:r>
            <w:proofErr w:type="spellStart"/>
            <w:r w:rsidRPr="009277E8">
              <w:rPr>
                <w:rFonts w:ascii="Times New Roman" w:hAnsi="Times New Roman"/>
                <w:sz w:val="24"/>
                <w:szCs w:val="24"/>
                <w:lang w:val="en-GB"/>
              </w:rPr>
              <w:t>Planipolis</w:t>
            </w:r>
            <w:proofErr w:type="spellEnd"/>
            <w:r w:rsidRPr="009277E8">
              <w:rPr>
                <w:rFonts w:ascii="Times New Roman" w:hAnsi="Times New Roman"/>
                <w:sz w:val="24"/>
                <w:szCs w:val="24"/>
                <w:rtl/>
                <w:lang w:val="en-GB"/>
              </w:rPr>
              <w:t>) الخاصة باليونسكو للخطط والسياسات التعليمية (</w:t>
            </w:r>
            <w:hyperlink r:id="rId8" w:history="1">
              <w:r w:rsidRPr="009277E8">
                <w:rPr>
                  <w:rStyle w:val="Hyperlink"/>
                  <w:rFonts w:ascii="Times New Roman" w:hAnsi="Times New Roman"/>
                  <w:sz w:val="24"/>
                  <w:szCs w:val="24"/>
                  <w:lang w:val="en-GB"/>
                </w:rPr>
                <w:t>https://planipolis.iiep.unesco.org</w:t>
              </w:r>
              <w:r w:rsidRPr="009277E8">
                <w:rPr>
                  <w:rStyle w:val="Hyperlink"/>
                  <w:rFonts w:ascii="Times New Roman" w:hAnsi="Times New Roman"/>
                  <w:sz w:val="24"/>
                  <w:szCs w:val="24"/>
                  <w:rtl/>
                  <w:lang w:val="en-GB"/>
                </w:rPr>
                <w:t>/</w:t>
              </w:r>
            </w:hyperlink>
            <w:r w:rsidRPr="009277E8">
              <w:rPr>
                <w:rFonts w:ascii="Times New Roman" w:hAnsi="Times New Roman"/>
                <w:sz w:val="24"/>
                <w:szCs w:val="24"/>
                <w:rtl/>
                <w:lang w:val="en-GB"/>
              </w:rPr>
              <w:t>) من المعهد الدولي للتخطيط التربوي</w:t>
            </w:r>
          </w:p>
          <w:p w14:paraId="50159B0E" w14:textId="1B311A0E" w:rsidR="005B1BD9" w:rsidRPr="00933ED5" w:rsidRDefault="008A01D7" w:rsidP="00130917">
            <w:pPr>
              <w:pStyle w:val="ListParagraph"/>
              <w:numPr>
                <w:ilvl w:val="0"/>
                <w:numId w:val="73"/>
              </w:numPr>
              <w:bidi/>
              <w:spacing w:before="120"/>
              <w:jc w:val="both"/>
              <w:rPr>
                <w:rFonts w:asciiTheme="majorBidi" w:hAnsiTheme="majorBidi" w:cstheme="majorBidi"/>
                <w:sz w:val="24"/>
                <w:szCs w:val="24"/>
                <w:lang w:val="en-GB"/>
              </w:rPr>
            </w:pPr>
            <w:r w:rsidRPr="00933ED5">
              <w:rPr>
                <w:rFonts w:asciiTheme="majorBidi" w:hAnsiTheme="majorBidi" w:cstheme="majorBidi"/>
                <w:sz w:val="24"/>
                <w:szCs w:val="24"/>
                <w:rtl/>
                <w:lang w:val="en-GB"/>
              </w:rPr>
              <w:t xml:space="preserve">تقرير </w:t>
            </w:r>
            <w:r w:rsidR="003E3E56">
              <w:rPr>
                <w:rFonts w:asciiTheme="majorBidi" w:hAnsiTheme="majorBidi" w:cstheme="majorBidi" w:hint="cs"/>
                <w:sz w:val="24"/>
                <w:szCs w:val="24"/>
                <w:rtl/>
                <w:lang w:val="en-GB"/>
              </w:rPr>
              <w:t xml:space="preserve">الدولة المقدم </w:t>
            </w:r>
            <w:r w:rsidR="005B1BD9" w:rsidRPr="00933ED5">
              <w:rPr>
                <w:rFonts w:asciiTheme="majorBidi" w:hAnsiTheme="majorBidi" w:cstheme="majorBidi"/>
                <w:sz w:val="24"/>
                <w:szCs w:val="24"/>
                <w:rtl/>
                <w:lang w:val="en-GB"/>
              </w:rPr>
              <w:t>لليونسكو حول تنفيذ اتفاقية وتوصية عام 1960 الخاصتين بمكافحة التمييز في مجال التعليم، لا سيما فيما يتعلق بلغات الأقليات في التعليم</w:t>
            </w:r>
          </w:p>
          <w:p w14:paraId="67EA4F1C" w14:textId="45C14561" w:rsidR="005B1BD9" w:rsidRPr="00933ED5" w:rsidRDefault="008A01D7" w:rsidP="00130917">
            <w:pPr>
              <w:pStyle w:val="ListParagraph"/>
              <w:numPr>
                <w:ilvl w:val="0"/>
                <w:numId w:val="73"/>
              </w:numPr>
              <w:bidi/>
              <w:spacing w:before="120"/>
              <w:jc w:val="both"/>
              <w:rPr>
                <w:rFonts w:asciiTheme="majorBidi" w:hAnsiTheme="majorBidi" w:cstheme="majorBidi"/>
                <w:sz w:val="24"/>
                <w:szCs w:val="24"/>
                <w:lang w:val="en-GB"/>
              </w:rPr>
            </w:pPr>
            <w:r w:rsidRPr="00933ED5">
              <w:rPr>
                <w:rFonts w:asciiTheme="majorBidi" w:hAnsiTheme="majorBidi" w:cstheme="majorBidi"/>
                <w:sz w:val="24"/>
                <w:szCs w:val="24"/>
                <w:rtl/>
                <w:lang w:val="en-GB"/>
              </w:rPr>
              <w:t xml:space="preserve">تقرير </w:t>
            </w:r>
            <w:r w:rsidR="003E3E56" w:rsidRPr="003E3E56">
              <w:rPr>
                <w:rFonts w:asciiTheme="majorBidi" w:hAnsiTheme="majorBidi"/>
                <w:sz w:val="24"/>
                <w:szCs w:val="24"/>
                <w:rtl/>
                <w:lang w:val="en-GB"/>
              </w:rPr>
              <w:t xml:space="preserve">الدولة المقدم </w:t>
            </w:r>
            <w:r w:rsidR="005B1BD9" w:rsidRPr="00933ED5">
              <w:rPr>
                <w:rFonts w:asciiTheme="majorBidi" w:hAnsiTheme="majorBidi" w:cstheme="majorBidi"/>
                <w:sz w:val="24"/>
                <w:szCs w:val="24"/>
                <w:rtl/>
                <w:lang w:val="en-GB"/>
              </w:rPr>
              <w:t>لليونسكو بشأن تنفيذ توصية عام 1974 بشأن التربية من أجل التفاهم وال</w:t>
            </w:r>
            <w:r w:rsidRPr="00933ED5">
              <w:rPr>
                <w:rFonts w:asciiTheme="majorBidi" w:hAnsiTheme="majorBidi" w:cstheme="majorBidi"/>
                <w:sz w:val="24"/>
                <w:szCs w:val="24"/>
                <w:rtl/>
                <w:lang w:val="en-GB"/>
              </w:rPr>
              <w:t>تعاون والسلام على الصعيد الدولي</w:t>
            </w:r>
            <w:r w:rsidR="005B1BD9" w:rsidRPr="00933ED5">
              <w:rPr>
                <w:rFonts w:asciiTheme="majorBidi" w:hAnsiTheme="majorBidi" w:cstheme="majorBidi"/>
                <w:sz w:val="24"/>
                <w:szCs w:val="24"/>
                <w:rtl/>
                <w:lang w:val="en-GB"/>
              </w:rPr>
              <w:t xml:space="preserve"> وال</w:t>
            </w:r>
            <w:r w:rsidRPr="00933ED5">
              <w:rPr>
                <w:rFonts w:asciiTheme="majorBidi" w:hAnsiTheme="majorBidi" w:cstheme="majorBidi"/>
                <w:sz w:val="24"/>
                <w:szCs w:val="24"/>
                <w:rtl/>
                <w:lang w:val="en-GB"/>
              </w:rPr>
              <w:t>تربية في مجال حقوق الإنسان وحر</w:t>
            </w:r>
            <w:r w:rsidR="005B1BD9" w:rsidRPr="00933ED5">
              <w:rPr>
                <w:rFonts w:asciiTheme="majorBidi" w:hAnsiTheme="majorBidi" w:cstheme="majorBidi"/>
                <w:sz w:val="24"/>
                <w:szCs w:val="24"/>
                <w:rtl/>
                <w:lang w:val="en-GB"/>
              </w:rPr>
              <w:t>ي</w:t>
            </w:r>
            <w:r w:rsidRPr="00933ED5">
              <w:rPr>
                <w:rFonts w:asciiTheme="majorBidi" w:hAnsiTheme="majorBidi" w:cstheme="majorBidi"/>
                <w:sz w:val="24"/>
                <w:szCs w:val="24"/>
                <w:rtl/>
                <w:lang w:val="en-GB"/>
              </w:rPr>
              <w:t>اته الأساسي</w:t>
            </w:r>
            <w:r w:rsidR="005B1BD9" w:rsidRPr="00933ED5">
              <w:rPr>
                <w:rFonts w:asciiTheme="majorBidi" w:hAnsiTheme="majorBidi" w:cstheme="majorBidi"/>
                <w:sz w:val="24"/>
                <w:szCs w:val="24"/>
                <w:rtl/>
                <w:lang w:val="en-GB"/>
              </w:rPr>
              <w:t>ة</w:t>
            </w:r>
          </w:p>
          <w:p w14:paraId="19F394EF" w14:textId="228F8038" w:rsidR="0054175C" w:rsidRPr="00933ED5" w:rsidRDefault="005B1BD9" w:rsidP="00130917">
            <w:pPr>
              <w:pStyle w:val="ListParagraph"/>
              <w:numPr>
                <w:ilvl w:val="0"/>
                <w:numId w:val="73"/>
              </w:numPr>
              <w:bidi/>
              <w:spacing w:before="120"/>
              <w:jc w:val="both"/>
              <w:rPr>
                <w:rFonts w:asciiTheme="majorBidi" w:hAnsiTheme="majorBidi" w:cstheme="majorBidi"/>
                <w:sz w:val="24"/>
                <w:szCs w:val="24"/>
              </w:rPr>
            </w:pPr>
            <w:r w:rsidRPr="00933ED5">
              <w:rPr>
                <w:rFonts w:asciiTheme="majorBidi" w:hAnsiTheme="majorBidi" w:cstheme="majorBidi"/>
                <w:sz w:val="24"/>
                <w:szCs w:val="24"/>
                <w:rtl/>
                <w:lang w:val="en-GB"/>
              </w:rPr>
              <w:t xml:space="preserve">تقرير </w:t>
            </w:r>
            <w:r w:rsidR="0027492F" w:rsidRPr="0027492F">
              <w:rPr>
                <w:rFonts w:asciiTheme="majorBidi" w:hAnsiTheme="majorBidi"/>
                <w:sz w:val="24"/>
                <w:szCs w:val="24"/>
                <w:rtl/>
                <w:lang w:val="en-GB"/>
              </w:rPr>
              <w:t xml:space="preserve">الدولة المقدم </w:t>
            </w:r>
            <w:r w:rsidRPr="00933ED5">
              <w:rPr>
                <w:rFonts w:asciiTheme="majorBidi" w:hAnsiTheme="majorBidi" w:cstheme="majorBidi"/>
                <w:sz w:val="24"/>
                <w:szCs w:val="24"/>
                <w:rtl/>
                <w:lang w:val="en-GB"/>
              </w:rPr>
              <w:t xml:space="preserve">ق إلى المجلس الاقتصادي والاجتماعي بشأن تنفيذ المادة 13 من </w:t>
            </w:r>
            <w:r w:rsidRPr="00933ED5">
              <w:rPr>
                <w:rFonts w:asciiTheme="majorBidi" w:hAnsiTheme="majorBidi" w:cstheme="majorBidi"/>
                <w:sz w:val="24"/>
                <w:szCs w:val="24"/>
                <w:cs/>
                <w:lang w:val="en-GB"/>
              </w:rPr>
              <w:t>‎‎</w:t>
            </w:r>
            <w:r w:rsidRPr="00933ED5">
              <w:rPr>
                <w:rFonts w:asciiTheme="majorBidi" w:hAnsiTheme="majorBidi" w:cstheme="majorBidi"/>
                <w:sz w:val="24"/>
                <w:szCs w:val="24"/>
                <w:rtl/>
                <w:lang w:val="en-GB"/>
              </w:rPr>
              <w:t>العهد الدولي الخاص بالحقوق الاقتصادية والاجتماعية والثقافية‏‏ لعام 1966</w:t>
            </w:r>
          </w:p>
        </w:tc>
      </w:tr>
    </w:tbl>
    <w:p w14:paraId="0362F2D8" w14:textId="77777777" w:rsidR="00320242" w:rsidRPr="006B0EA8" w:rsidRDefault="00320242" w:rsidP="00130917">
      <w:pPr>
        <w:bidi/>
        <w:jc w:val="both"/>
        <w:rPr>
          <w:rFonts w:asciiTheme="majorBidi" w:hAnsiTheme="majorBidi" w:cstheme="majorBidi"/>
          <w:sz w:val="24"/>
        </w:rPr>
      </w:pPr>
    </w:p>
    <w:sectPr w:rsidR="00320242" w:rsidRPr="006B0EA8" w:rsidSect="0054175C">
      <w:footerReference w:type="default" r:id="rId9"/>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4F5D" w14:textId="77777777" w:rsidR="00DE1ED2" w:rsidRDefault="00DE1ED2" w:rsidP="002938F2">
      <w:r>
        <w:separator/>
      </w:r>
    </w:p>
    <w:p w14:paraId="165A8DB6" w14:textId="77777777" w:rsidR="00DE1ED2" w:rsidRDefault="00DE1ED2"/>
  </w:endnote>
  <w:endnote w:type="continuationSeparator" w:id="0">
    <w:p w14:paraId="02F8D593" w14:textId="77777777" w:rsidR="00DE1ED2" w:rsidRDefault="00DE1ED2" w:rsidP="002938F2">
      <w:r>
        <w:continuationSeparator/>
      </w:r>
    </w:p>
    <w:p w14:paraId="1F2618F5" w14:textId="77777777" w:rsidR="00DE1ED2" w:rsidRDefault="00DE1ED2"/>
  </w:endnote>
  <w:endnote w:type="continuationNotice" w:id="1">
    <w:p w14:paraId="527A82CD" w14:textId="77777777" w:rsidR="00DE1ED2" w:rsidRDefault="00DE1E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E8B4" w14:textId="3EF7876D" w:rsidR="00C04344" w:rsidRPr="000A0709" w:rsidRDefault="008A07DC" w:rsidP="00C94DBD">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160A7F">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3A9E" w14:textId="77777777" w:rsidR="00DE1ED2" w:rsidRDefault="00DE1ED2" w:rsidP="002938F2">
      <w:r>
        <w:separator/>
      </w:r>
    </w:p>
  </w:footnote>
  <w:footnote w:type="continuationSeparator" w:id="0">
    <w:p w14:paraId="392B0B4B" w14:textId="77777777" w:rsidR="00DE1ED2" w:rsidRDefault="00DE1ED2" w:rsidP="002938F2">
      <w:r>
        <w:continuationSeparator/>
      </w:r>
    </w:p>
    <w:p w14:paraId="435D1437" w14:textId="77777777" w:rsidR="00DE1ED2" w:rsidRDefault="00DE1ED2"/>
  </w:footnote>
  <w:footnote w:type="continuationNotice" w:id="1">
    <w:p w14:paraId="18EAB20E" w14:textId="77777777" w:rsidR="00DE1ED2" w:rsidRDefault="00DE1E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CC4657"/>
    <w:multiLevelType w:val="hybridMultilevel"/>
    <w:tmpl w:val="A4083D3E"/>
    <w:lvl w:ilvl="0" w:tplc="19B8EB8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422C9"/>
    <w:multiLevelType w:val="multilevel"/>
    <w:tmpl w:val="3D04340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156BEC"/>
    <w:multiLevelType w:val="hybridMultilevel"/>
    <w:tmpl w:val="98882C3A"/>
    <w:lvl w:ilvl="0" w:tplc="8738DC5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7"/>
  </w:num>
  <w:num w:numId="3">
    <w:abstractNumId w:val="13"/>
  </w:num>
  <w:num w:numId="4">
    <w:abstractNumId w:val="57"/>
  </w:num>
  <w:num w:numId="5">
    <w:abstractNumId w:val="47"/>
  </w:num>
  <w:num w:numId="6">
    <w:abstractNumId w:val="6"/>
  </w:num>
  <w:num w:numId="7">
    <w:abstractNumId w:val="17"/>
  </w:num>
  <w:num w:numId="8">
    <w:abstractNumId w:val="26"/>
  </w:num>
  <w:num w:numId="9">
    <w:abstractNumId w:val="50"/>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40"/>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5"/>
  </w:num>
  <w:num w:numId="27">
    <w:abstractNumId w:val="26"/>
  </w:num>
  <w:num w:numId="28">
    <w:abstractNumId w:val="26"/>
  </w:num>
  <w:num w:numId="29">
    <w:abstractNumId w:val="26"/>
  </w:num>
  <w:num w:numId="30">
    <w:abstractNumId w:val="26"/>
  </w:num>
  <w:num w:numId="31">
    <w:abstractNumId w:val="12"/>
  </w:num>
  <w:num w:numId="32">
    <w:abstractNumId w:val="10"/>
  </w:num>
  <w:num w:numId="33">
    <w:abstractNumId w:val="18"/>
  </w:num>
  <w:num w:numId="34">
    <w:abstractNumId w:val="48"/>
  </w:num>
  <w:num w:numId="35">
    <w:abstractNumId w:val="22"/>
  </w:num>
  <w:num w:numId="36">
    <w:abstractNumId w:val="42"/>
  </w:num>
  <w:num w:numId="37">
    <w:abstractNumId w:val="19"/>
  </w:num>
  <w:num w:numId="38">
    <w:abstractNumId w:val="11"/>
  </w:num>
  <w:num w:numId="39">
    <w:abstractNumId w:val="8"/>
  </w:num>
  <w:num w:numId="40">
    <w:abstractNumId w:val="21"/>
  </w:num>
  <w:num w:numId="41">
    <w:abstractNumId w:val="56"/>
  </w:num>
  <w:num w:numId="42">
    <w:abstractNumId w:val="52"/>
  </w:num>
  <w:num w:numId="43">
    <w:abstractNumId w:val="30"/>
  </w:num>
  <w:num w:numId="44">
    <w:abstractNumId w:val="14"/>
  </w:num>
  <w:num w:numId="45">
    <w:abstractNumId w:val="53"/>
  </w:num>
  <w:num w:numId="46">
    <w:abstractNumId w:val="7"/>
  </w:num>
  <w:num w:numId="47">
    <w:abstractNumId w:val="37"/>
  </w:num>
  <w:num w:numId="48">
    <w:abstractNumId w:val="58"/>
  </w:num>
  <w:num w:numId="49">
    <w:abstractNumId w:val="33"/>
  </w:num>
  <w:num w:numId="50">
    <w:abstractNumId w:val="31"/>
  </w:num>
  <w:num w:numId="51">
    <w:abstractNumId w:val="28"/>
  </w:num>
  <w:num w:numId="52">
    <w:abstractNumId w:val="39"/>
  </w:num>
  <w:num w:numId="53">
    <w:abstractNumId w:val="16"/>
  </w:num>
  <w:num w:numId="54">
    <w:abstractNumId w:val="3"/>
  </w:num>
  <w:num w:numId="55">
    <w:abstractNumId w:val="35"/>
  </w:num>
  <w:num w:numId="56">
    <w:abstractNumId w:val="41"/>
  </w:num>
  <w:num w:numId="57">
    <w:abstractNumId w:val="0"/>
  </w:num>
  <w:num w:numId="58">
    <w:abstractNumId w:val="5"/>
  </w:num>
  <w:num w:numId="59">
    <w:abstractNumId w:val="45"/>
  </w:num>
  <w:num w:numId="60">
    <w:abstractNumId w:val="4"/>
  </w:num>
  <w:num w:numId="61">
    <w:abstractNumId w:val="32"/>
  </w:num>
  <w:num w:numId="62">
    <w:abstractNumId w:val="23"/>
  </w:num>
  <w:num w:numId="63">
    <w:abstractNumId w:val="49"/>
  </w:num>
  <w:num w:numId="64">
    <w:abstractNumId w:val="20"/>
  </w:num>
  <w:num w:numId="65">
    <w:abstractNumId w:val="25"/>
  </w:num>
  <w:num w:numId="66">
    <w:abstractNumId w:val="46"/>
  </w:num>
  <w:num w:numId="67">
    <w:abstractNumId w:val="38"/>
  </w:num>
  <w:num w:numId="68">
    <w:abstractNumId w:val="15"/>
  </w:num>
  <w:num w:numId="69">
    <w:abstractNumId w:val="43"/>
  </w:num>
  <w:num w:numId="70">
    <w:abstractNumId w:val="34"/>
  </w:num>
  <w:num w:numId="71">
    <w:abstractNumId w:val="29"/>
  </w:num>
  <w:num w:numId="72">
    <w:abstractNumId w:val="51"/>
  </w:num>
  <w:num w:numId="73">
    <w:abstractNumId w:val="9"/>
  </w:num>
  <w:num w:numId="74">
    <w:abstractNumId w:val="36"/>
  </w:num>
  <w:num w:numId="75">
    <w:abstractNumId w:val="2"/>
  </w:num>
  <w:num w:numId="76">
    <w:abstractNumId w:val="1"/>
  </w:num>
  <w:num w:numId="7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30"/>
    <w:rsid w:val="000016A4"/>
    <w:rsid w:val="000019DB"/>
    <w:rsid w:val="000047CC"/>
    <w:rsid w:val="00005BA5"/>
    <w:rsid w:val="00005BFA"/>
    <w:rsid w:val="00006F66"/>
    <w:rsid w:val="00010E2D"/>
    <w:rsid w:val="000120FD"/>
    <w:rsid w:val="00013A65"/>
    <w:rsid w:val="0001506E"/>
    <w:rsid w:val="00015B9D"/>
    <w:rsid w:val="0001601A"/>
    <w:rsid w:val="00016A11"/>
    <w:rsid w:val="00021831"/>
    <w:rsid w:val="00022C19"/>
    <w:rsid w:val="00031A37"/>
    <w:rsid w:val="00036843"/>
    <w:rsid w:val="00040D99"/>
    <w:rsid w:val="00047E58"/>
    <w:rsid w:val="00054FDC"/>
    <w:rsid w:val="000632E2"/>
    <w:rsid w:val="0007203D"/>
    <w:rsid w:val="000729D2"/>
    <w:rsid w:val="00073D20"/>
    <w:rsid w:val="00074E7D"/>
    <w:rsid w:val="000755E1"/>
    <w:rsid w:val="0007681B"/>
    <w:rsid w:val="000769F1"/>
    <w:rsid w:val="00083694"/>
    <w:rsid w:val="00083935"/>
    <w:rsid w:val="00085541"/>
    <w:rsid w:val="0008785E"/>
    <w:rsid w:val="00092AE6"/>
    <w:rsid w:val="00093063"/>
    <w:rsid w:val="000A0709"/>
    <w:rsid w:val="000A0F0D"/>
    <w:rsid w:val="000A112A"/>
    <w:rsid w:val="000A21DA"/>
    <w:rsid w:val="000A34CE"/>
    <w:rsid w:val="000B1E36"/>
    <w:rsid w:val="000C03BF"/>
    <w:rsid w:val="000C15BD"/>
    <w:rsid w:val="000C410F"/>
    <w:rsid w:val="000C65E4"/>
    <w:rsid w:val="000C7EE0"/>
    <w:rsid w:val="000D1EBC"/>
    <w:rsid w:val="000D260B"/>
    <w:rsid w:val="000D345F"/>
    <w:rsid w:val="000D7375"/>
    <w:rsid w:val="000E292B"/>
    <w:rsid w:val="000E2EE7"/>
    <w:rsid w:val="000F1C0C"/>
    <w:rsid w:val="000F25BA"/>
    <w:rsid w:val="000F2B3F"/>
    <w:rsid w:val="000F7E6F"/>
    <w:rsid w:val="00106B72"/>
    <w:rsid w:val="00106D19"/>
    <w:rsid w:val="00107984"/>
    <w:rsid w:val="0011334A"/>
    <w:rsid w:val="00115830"/>
    <w:rsid w:val="00116489"/>
    <w:rsid w:val="0011750D"/>
    <w:rsid w:val="00121B41"/>
    <w:rsid w:val="001301DF"/>
    <w:rsid w:val="00130917"/>
    <w:rsid w:val="001412DE"/>
    <w:rsid w:val="00141E93"/>
    <w:rsid w:val="00142D78"/>
    <w:rsid w:val="00144A4D"/>
    <w:rsid w:val="00151351"/>
    <w:rsid w:val="00156788"/>
    <w:rsid w:val="001609A1"/>
    <w:rsid w:val="00160A7F"/>
    <w:rsid w:val="00162554"/>
    <w:rsid w:val="00163F68"/>
    <w:rsid w:val="00173B50"/>
    <w:rsid w:val="00173E0E"/>
    <w:rsid w:val="00174B39"/>
    <w:rsid w:val="00183F6C"/>
    <w:rsid w:val="00194802"/>
    <w:rsid w:val="00194AEB"/>
    <w:rsid w:val="001A2BA7"/>
    <w:rsid w:val="001A431C"/>
    <w:rsid w:val="001A5519"/>
    <w:rsid w:val="001A7C3A"/>
    <w:rsid w:val="001B176D"/>
    <w:rsid w:val="001B5C26"/>
    <w:rsid w:val="001C08BC"/>
    <w:rsid w:val="001C17E0"/>
    <w:rsid w:val="001C56BA"/>
    <w:rsid w:val="001C6D7D"/>
    <w:rsid w:val="001D00B5"/>
    <w:rsid w:val="001D3B29"/>
    <w:rsid w:val="001D59C8"/>
    <w:rsid w:val="001D792C"/>
    <w:rsid w:val="001E0B89"/>
    <w:rsid w:val="001E4EEB"/>
    <w:rsid w:val="001E6026"/>
    <w:rsid w:val="001E6933"/>
    <w:rsid w:val="001F0FF9"/>
    <w:rsid w:val="001F3696"/>
    <w:rsid w:val="001F37CA"/>
    <w:rsid w:val="0020163D"/>
    <w:rsid w:val="00203AD7"/>
    <w:rsid w:val="002042CC"/>
    <w:rsid w:val="00204B37"/>
    <w:rsid w:val="002073AB"/>
    <w:rsid w:val="002074D6"/>
    <w:rsid w:val="00210828"/>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492F"/>
    <w:rsid w:val="00275DC1"/>
    <w:rsid w:val="00281AA4"/>
    <w:rsid w:val="00282A9D"/>
    <w:rsid w:val="00286873"/>
    <w:rsid w:val="00286C0C"/>
    <w:rsid w:val="00287687"/>
    <w:rsid w:val="00290D5F"/>
    <w:rsid w:val="00292B4D"/>
    <w:rsid w:val="002938F2"/>
    <w:rsid w:val="00293CCC"/>
    <w:rsid w:val="002A195D"/>
    <w:rsid w:val="002A6E03"/>
    <w:rsid w:val="002B3551"/>
    <w:rsid w:val="002B43D6"/>
    <w:rsid w:val="002B6B98"/>
    <w:rsid w:val="002C28BA"/>
    <w:rsid w:val="002C307B"/>
    <w:rsid w:val="002C3B8F"/>
    <w:rsid w:val="002C444C"/>
    <w:rsid w:val="002C5021"/>
    <w:rsid w:val="002C5280"/>
    <w:rsid w:val="002C5C29"/>
    <w:rsid w:val="002D396D"/>
    <w:rsid w:val="002D71D4"/>
    <w:rsid w:val="002D732E"/>
    <w:rsid w:val="002E113D"/>
    <w:rsid w:val="002E6FC7"/>
    <w:rsid w:val="002F17E1"/>
    <w:rsid w:val="002F4D5A"/>
    <w:rsid w:val="003043A9"/>
    <w:rsid w:val="0030454E"/>
    <w:rsid w:val="00307E48"/>
    <w:rsid w:val="00320242"/>
    <w:rsid w:val="00322A3A"/>
    <w:rsid w:val="00324A32"/>
    <w:rsid w:val="00325D6E"/>
    <w:rsid w:val="00326265"/>
    <w:rsid w:val="00334977"/>
    <w:rsid w:val="00337194"/>
    <w:rsid w:val="00342EE8"/>
    <w:rsid w:val="003439AC"/>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7605"/>
    <w:rsid w:val="003A260A"/>
    <w:rsid w:val="003A2BC4"/>
    <w:rsid w:val="003A55B6"/>
    <w:rsid w:val="003A7929"/>
    <w:rsid w:val="003B31BE"/>
    <w:rsid w:val="003B504D"/>
    <w:rsid w:val="003C7065"/>
    <w:rsid w:val="003D28F0"/>
    <w:rsid w:val="003D2E0D"/>
    <w:rsid w:val="003D5113"/>
    <w:rsid w:val="003D5BFC"/>
    <w:rsid w:val="003D6E10"/>
    <w:rsid w:val="003E0C0F"/>
    <w:rsid w:val="003E0E28"/>
    <w:rsid w:val="003E19D5"/>
    <w:rsid w:val="003E3E56"/>
    <w:rsid w:val="003E6A41"/>
    <w:rsid w:val="003E76A8"/>
    <w:rsid w:val="003F5B90"/>
    <w:rsid w:val="00404856"/>
    <w:rsid w:val="00406ED7"/>
    <w:rsid w:val="00407E8F"/>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0502"/>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248E2"/>
    <w:rsid w:val="005300BF"/>
    <w:rsid w:val="00532631"/>
    <w:rsid w:val="005414A1"/>
    <w:rsid w:val="0054175C"/>
    <w:rsid w:val="005473CF"/>
    <w:rsid w:val="005604FB"/>
    <w:rsid w:val="00570355"/>
    <w:rsid w:val="00574530"/>
    <w:rsid w:val="00581423"/>
    <w:rsid w:val="00582F4C"/>
    <w:rsid w:val="0058407A"/>
    <w:rsid w:val="00594539"/>
    <w:rsid w:val="00597DAB"/>
    <w:rsid w:val="005A1BCE"/>
    <w:rsid w:val="005A65BD"/>
    <w:rsid w:val="005A7382"/>
    <w:rsid w:val="005A7D00"/>
    <w:rsid w:val="005B0FE5"/>
    <w:rsid w:val="005B1BD9"/>
    <w:rsid w:val="005B357C"/>
    <w:rsid w:val="005B4A0B"/>
    <w:rsid w:val="005B53C6"/>
    <w:rsid w:val="005C0015"/>
    <w:rsid w:val="005C0052"/>
    <w:rsid w:val="005C05F4"/>
    <w:rsid w:val="005C0660"/>
    <w:rsid w:val="005C277F"/>
    <w:rsid w:val="005C44A6"/>
    <w:rsid w:val="005C7D6A"/>
    <w:rsid w:val="005D2DDA"/>
    <w:rsid w:val="005D4273"/>
    <w:rsid w:val="005E3A3E"/>
    <w:rsid w:val="005E6A2B"/>
    <w:rsid w:val="005E7C7C"/>
    <w:rsid w:val="005F1D41"/>
    <w:rsid w:val="00601DD6"/>
    <w:rsid w:val="006032AE"/>
    <w:rsid w:val="00603F71"/>
    <w:rsid w:val="00605202"/>
    <w:rsid w:val="00621092"/>
    <w:rsid w:val="00621208"/>
    <w:rsid w:val="00625E30"/>
    <w:rsid w:val="00632B30"/>
    <w:rsid w:val="006338F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0EA8"/>
    <w:rsid w:val="006B50F9"/>
    <w:rsid w:val="006C0911"/>
    <w:rsid w:val="006C737A"/>
    <w:rsid w:val="006D46FB"/>
    <w:rsid w:val="006E29C0"/>
    <w:rsid w:val="006E752A"/>
    <w:rsid w:val="006E7CF0"/>
    <w:rsid w:val="006F3E83"/>
    <w:rsid w:val="006F4B83"/>
    <w:rsid w:val="006F7F47"/>
    <w:rsid w:val="00701458"/>
    <w:rsid w:val="00701D7E"/>
    <w:rsid w:val="00704766"/>
    <w:rsid w:val="007119B8"/>
    <w:rsid w:val="0071792D"/>
    <w:rsid w:val="00720F16"/>
    <w:rsid w:val="00723ABD"/>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0EF"/>
    <w:rsid w:val="00764F50"/>
    <w:rsid w:val="00767871"/>
    <w:rsid w:val="00770A92"/>
    <w:rsid w:val="00774D9C"/>
    <w:rsid w:val="00776A63"/>
    <w:rsid w:val="00790C65"/>
    <w:rsid w:val="0079316B"/>
    <w:rsid w:val="00795C2A"/>
    <w:rsid w:val="007A0565"/>
    <w:rsid w:val="007A0EAA"/>
    <w:rsid w:val="007A1247"/>
    <w:rsid w:val="007A1E0A"/>
    <w:rsid w:val="007A6F91"/>
    <w:rsid w:val="007A7D45"/>
    <w:rsid w:val="007B4ADA"/>
    <w:rsid w:val="007C105C"/>
    <w:rsid w:val="007C1B00"/>
    <w:rsid w:val="007D059F"/>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3FB3"/>
    <w:rsid w:val="008466C3"/>
    <w:rsid w:val="00846809"/>
    <w:rsid w:val="00851458"/>
    <w:rsid w:val="00861A47"/>
    <w:rsid w:val="00861B35"/>
    <w:rsid w:val="008707FF"/>
    <w:rsid w:val="008724E5"/>
    <w:rsid w:val="0087461B"/>
    <w:rsid w:val="00877AC5"/>
    <w:rsid w:val="00877F27"/>
    <w:rsid w:val="00880CB1"/>
    <w:rsid w:val="0088173A"/>
    <w:rsid w:val="00881EB9"/>
    <w:rsid w:val="008848E9"/>
    <w:rsid w:val="00884C09"/>
    <w:rsid w:val="00885596"/>
    <w:rsid w:val="00885B33"/>
    <w:rsid w:val="00886B71"/>
    <w:rsid w:val="00890613"/>
    <w:rsid w:val="0089499E"/>
    <w:rsid w:val="0089531D"/>
    <w:rsid w:val="00896177"/>
    <w:rsid w:val="008A01D7"/>
    <w:rsid w:val="008A07DC"/>
    <w:rsid w:val="008A0889"/>
    <w:rsid w:val="008A0BE3"/>
    <w:rsid w:val="008A2566"/>
    <w:rsid w:val="008A27B8"/>
    <w:rsid w:val="008A6663"/>
    <w:rsid w:val="008B6B4C"/>
    <w:rsid w:val="008B7346"/>
    <w:rsid w:val="008C7F60"/>
    <w:rsid w:val="008D3BF7"/>
    <w:rsid w:val="008E0DAA"/>
    <w:rsid w:val="008E194D"/>
    <w:rsid w:val="008F16C6"/>
    <w:rsid w:val="008F23BB"/>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BF9"/>
    <w:rsid w:val="00921F65"/>
    <w:rsid w:val="0092574C"/>
    <w:rsid w:val="009277E8"/>
    <w:rsid w:val="00933ED5"/>
    <w:rsid w:val="009342E8"/>
    <w:rsid w:val="009357B4"/>
    <w:rsid w:val="0093588A"/>
    <w:rsid w:val="00946D71"/>
    <w:rsid w:val="009509B5"/>
    <w:rsid w:val="009577E1"/>
    <w:rsid w:val="00965C0C"/>
    <w:rsid w:val="00971CA1"/>
    <w:rsid w:val="0097349C"/>
    <w:rsid w:val="0098057E"/>
    <w:rsid w:val="009814C2"/>
    <w:rsid w:val="00982FFD"/>
    <w:rsid w:val="00983CDC"/>
    <w:rsid w:val="00985265"/>
    <w:rsid w:val="009854A0"/>
    <w:rsid w:val="00985856"/>
    <w:rsid w:val="009A4969"/>
    <w:rsid w:val="009B1466"/>
    <w:rsid w:val="009B507D"/>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2F9E"/>
    <w:rsid w:val="00A073FD"/>
    <w:rsid w:val="00A117C2"/>
    <w:rsid w:val="00A150C7"/>
    <w:rsid w:val="00A2307A"/>
    <w:rsid w:val="00A32ECA"/>
    <w:rsid w:val="00A34877"/>
    <w:rsid w:val="00A369A8"/>
    <w:rsid w:val="00A462C6"/>
    <w:rsid w:val="00A519A2"/>
    <w:rsid w:val="00A51BDC"/>
    <w:rsid w:val="00A535B7"/>
    <w:rsid w:val="00A5709F"/>
    <w:rsid w:val="00A616C4"/>
    <w:rsid w:val="00A61F20"/>
    <w:rsid w:val="00A64796"/>
    <w:rsid w:val="00A6641B"/>
    <w:rsid w:val="00A66CD4"/>
    <w:rsid w:val="00A70883"/>
    <w:rsid w:val="00A77AEB"/>
    <w:rsid w:val="00A81F0A"/>
    <w:rsid w:val="00A85C7A"/>
    <w:rsid w:val="00A86042"/>
    <w:rsid w:val="00A92277"/>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1"/>
    <w:rsid w:val="00B427FE"/>
    <w:rsid w:val="00B51737"/>
    <w:rsid w:val="00B6102A"/>
    <w:rsid w:val="00B6167A"/>
    <w:rsid w:val="00B62ED0"/>
    <w:rsid w:val="00B64196"/>
    <w:rsid w:val="00B66A7A"/>
    <w:rsid w:val="00B70266"/>
    <w:rsid w:val="00B74304"/>
    <w:rsid w:val="00B75882"/>
    <w:rsid w:val="00B82F05"/>
    <w:rsid w:val="00B8546B"/>
    <w:rsid w:val="00B87142"/>
    <w:rsid w:val="00B8750E"/>
    <w:rsid w:val="00B92374"/>
    <w:rsid w:val="00B924C8"/>
    <w:rsid w:val="00B95E33"/>
    <w:rsid w:val="00B973B5"/>
    <w:rsid w:val="00B97FD1"/>
    <w:rsid w:val="00BA0330"/>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584E"/>
    <w:rsid w:val="00C17FE4"/>
    <w:rsid w:val="00C21897"/>
    <w:rsid w:val="00C26F3D"/>
    <w:rsid w:val="00C276EE"/>
    <w:rsid w:val="00C43146"/>
    <w:rsid w:val="00C43757"/>
    <w:rsid w:val="00C43BCE"/>
    <w:rsid w:val="00C47CF1"/>
    <w:rsid w:val="00C52006"/>
    <w:rsid w:val="00C53AB4"/>
    <w:rsid w:val="00C542F1"/>
    <w:rsid w:val="00C572B3"/>
    <w:rsid w:val="00C57CA1"/>
    <w:rsid w:val="00C6065E"/>
    <w:rsid w:val="00C62AA3"/>
    <w:rsid w:val="00C6300B"/>
    <w:rsid w:val="00C6426B"/>
    <w:rsid w:val="00C6478B"/>
    <w:rsid w:val="00C87194"/>
    <w:rsid w:val="00C90629"/>
    <w:rsid w:val="00C90C51"/>
    <w:rsid w:val="00C94DBD"/>
    <w:rsid w:val="00CA377D"/>
    <w:rsid w:val="00CA3ED6"/>
    <w:rsid w:val="00CA7CF4"/>
    <w:rsid w:val="00CB0F37"/>
    <w:rsid w:val="00CB1135"/>
    <w:rsid w:val="00CB590B"/>
    <w:rsid w:val="00CC02C5"/>
    <w:rsid w:val="00CC2BC6"/>
    <w:rsid w:val="00CC3AAB"/>
    <w:rsid w:val="00CD324E"/>
    <w:rsid w:val="00CD4A28"/>
    <w:rsid w:val="00CD54BD"/>
    <w:rsid w:val="00CD6C36"/>
    <w:rsid w:val="00CE2586"/>
    <w:rsid w:val="00CE5D78"/>
    <w:rsid w:val="00CF05D7"/>
    <w:rsid w:val="00CF34A6"/>
    <w:rsid w:val="00CF3F93"/>
    <w:rsid w:val="00D020F3"/>
    <w:rsid w:val="00D04515"/>
    <w:rsid w:val="00D065AD"/>
    <w:rsid w:val="00D07BCA"/>
    <w:rsid w:val="00D22831"/>
    <w:rsid w:val="00D404B7"/>
    <w:rsid w:val="00D43912"/>
    <w:rsid w:val="00D44509"/>
    <w:rsid w:val="00D448CB"/>
    <w:rsid w:val="00D47226"/>
    <w:rsid w:val="00D47ED5"/>
    <w:rsid w:val="00D61606"/>
    <w:rsid w:val="00D61779"/>
    <w:rsid w:val="00D73DB6"/>
    <w:rsid w:val="00D7679B"/>
    <w:rsid w:val="00D809E5"/>
    <w:rsid w:val="00D81948"/>
    <w:rsid w:val="00D90819"/>
    <w:rsid w:val="00D93291"/>
    <w:rsid w:val="00D9501F"/>
    <w:rsid w:val="00DB50D5"/>
    <w:rsid w:val="00DC5537"/>
    <w:rsid w:val="00DD11EE"/>
    <w:rsid w:val="00DD52A0"/>
    <w:rsid w:val="00DE1ED2"/>
    <w:rsid w:val="00DE426F"/>
    <w:rsid w:val="00DE5590"/>
    <w:rsid w:val="00DE6364"/>
    <w:rsid w:val="00DF1D9E"/>
    <w:rsid w:val="00DF3DA3"/>
    <w:rsid w:val="00DF5DA4"/>
    <w:rsid w:val="00E04D8A"/>
    <w:rsid w:val="00E06492"/>
    <w:rsid w:val="00E065CE"/>
    <w:rsid w:val="00E06A00"/>
    <w:rsid w:val="00E07D27"/>
    <w:rsid w:val="00E12944"/>
    <w:rsid w:val="00E13E03"/>
    <w:rsid w:val="00E20E75"/>
    <w:rsid w:val="00E22B99"/>
    <w:rsid w:val="00E24A9D"/>
    <w:rsid w:val="00E258D9"/>
    <w:rsid w:val="00E27BEB"/>
    <w:rsid w:val="00E35B8C"/>
    <w:rsid w:val="00E439CA"/>
    <w:rsid w:val="00E46151"/>
    <w:rsid w:val="00E46DDB"/>
    <w:rsid w:val="00E473F3"/>
    <w:rsid w:val="00E5219B"/>
    <w:rsid w:val="00E5279B"/>
    <w:rsid w:val="00E56905"/>
    <w:rsid w:val="00E62FDD"/>
    <w:rsid w:val="00E64BE4"/>
    <w:rsid w:val="00E731EC"/>
    <w:rsid w:val="00E85565"/>
    <w:rsid w:val="00E87F91"/>
    <w:rsid w:val="00E94BC6"/>
    <w:rsid w:val="00EA0563"/>
    <w:rsid w:val="00EA198F"/>
    <w:rsid w:val="00EA2EA1"/>
    <w:rsid w:val="00EA3CB9"/>
    <w:rsid w:val="00EA59EB"/>
    <w:rsid w:val="00EA67F3"/>
    <w:rsid w:val="00EB48F8"/>
    <w:rsid w:val="00EC2538"/>
    <w:rsid w:val="00ED0C60"/>
    <w:rsid w:val="00ED3D26"/>
    <w:rsid w:val="00ED5218"/>
    <w:rsid w:val="00EE1D9D"/>
    <w:rsid w:val="00EE262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55FE8"/>
    <w:rsid w:val="00F61641"/>
    <w:rsid w:val="00F63DDA"/>
    <w:rsid w:val="00F67029"/>
    <w:rsid w:val="00F70858"/>
    <w:rsid w:val="00F71BBC"/>
    <w:rsid w:val="00F7397F"/>
    <w:rsid w:val="00F75949"/>
    <w:rsid w:val="00F75CF4"/>
    <w:rsid w:val="00F866CD"/>
    <w:rsid w:val="00F941F0"/>
    <w:rsid w:val="00F97FF5"/>
    <w:rsid w:val="00FA7814"/>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E2CDC"/>
    <w:rsid w:val="00FF14AA"/>
    <w:rsid w:val="00FF26CC"/>
    <w:rsid w:val="00FF2B1D"/>
    <w:rsid w:val="00FF2C85"/>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EB256"/>
  <w15:docId w15:val="{FCC66162-EA45-4AE1-BED0-72C3A3FA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40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4829">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ipolis.iiep.unesc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185F-AEB7-424B-89A4-124784DF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3</cp:revision>
  <dcterms:created xsi:type="dcterms:W3CDTF">2022-04-06T09:49:00Z</dcterms:created>
  <dcterms:modified xsi:type="dcterms:W3CDTF">2022-04-06T09:49:00Z</dcterms:modified>
</cp:coreProperties>
</file>