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FA31" w14:textId="77777777" w:rsidR="003F0FF9" w:rsidRPr="00D70D52" w:rsidRDefault="003F0FF9" w:rsidP="00E66874">
      <w:pPr>
        <w:pageBreakBefore/>
        <w:bidi/>
        <w:jc w:val="center"/>
        <w:rPr>
          <w:b/>
          <w:bCs/>
          <w:sz w:val="24"/>
          <w:szCs w:val="28"/>
        </w:rPr>
      </w:pPr>
      <w:r w:rsidRPr="00D70D52">
        <w:rPr>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FD5AA4" w14:paraId="1AFAF48D" w14:textId="77777777" w:rsidTr="003F0FF9">
        <w:tc>
          <w:tcPr>
            <w:tcW w:w="786" w:type="pct"/>
            <w:shd w:val="clear" w:color="auto" w:fill="auto"/>
          </w:tcPr>
          <w:p w14:paraId="6C148E0C" w14:textId="44B866D2" w:rsidR="005473CF" w:rsidRPr="00F83434" w:rsidRDefault="003B5227" w:rsidP="00E66874">
            <w:pPr>
              <w:bidi/>
              <w:spacing w:before="120"/>
              <w:jc w:val="both"/>
              <w:rPr>
                <w:rFonts w:asciiTheme="majorBidi" w:hAnsiTheme="majorBidi" w:cstheme="majorBidi"/>
                <w:b/>
                <w:sz w:val="24"/>
              </w:rPr>
            </w:pPr>
            <w:r w:rsidRPr="00F83434">
              <w:rPr>
                <w:rFonts w:asciiTheme="majorBidi" w:hAnsiTheme="majorBidi" w:cstheme="majorBidi"/>
                <w:b/>
                <w:bCs/>
                <w:sz w:val="24"/>
                <w:rtl/>
                <w:lang w:bidi="ar-EG"/>
              </w:rPr>
              <w:t>المؤشر</w:t>
            </w:r>
          </w:p>
        </w:tc>
        <w:tc>
          <w:tcPr>
            <w:tcW w:w="4214" w:type="pct"/>
            <w:gridSpan w:val="2"/>
            <w:shd w:val="clear" w:color="auto" w:fill="auto"/>
          </w:tcPr>
          <w:p w14:paraId="6B9A56A5" w14:textId="7AB3C45F" w:rsidR="005473CF" w:rsidRPr="00F83434" w:rsidRDefault="00121963" w:rsidP="00E66874">
            <w:pPr>
              <w:pStyle w:val="ListParagraph"/>
              <w:keepLines/>
              <w:numPr>
                <w:ilvl w:val="0"/>
                <w:numId w:val="76"/>
              </w:numPr>
              <w:bidi/>
              <w:spacing w:before="120"/>
              <w:jc w:val="both"/>
              <w:rPr>
                <w:rFonts w:asciiTheme="majorBidi" w:hAnsiTheme="majorBidi" w:cstheme="majorBidi"/>
                <w:bCs/>
                <w:sz w:val="24"/>
                <w:szCs w:val="24"/>
              </w:rPr>
            </w:pPr>
            <w:r w:rsidRPr="00F83434">
              <w:rPr>
                <w:rFonts w:asciiTheme="majorBidi" w:hAnsiTheme="majorBidi" w:cstheme="majorBidi"/>
                <w:bCs/>
                <w:sz w:val="24"/>
                <w:szCs w:val="24"/>
                <w:rtl/>
              </w:rPr>
              <w:t>مدى عكس السياسات والتدابير القانونية والإدارية في مجالات أخرى غير الثقافة والتعليم لتنوّع التراث الثقافي غير المادي وأهمية صونه ومدى تنفيذها</w:t>
            </w:r>
          </w:p>
        </w:tc>
      </w:tr>
      <w:tr w:rsidR="005B0FE5" w:rsidRPr="00FD5AA4" w14:paraId="01675C7C" w14:textId="77777777" w:rsidTr="003F0FF9">
        <w:tc>
          <w:tcPr>
            <w:tcW w:w="786" w:type="pct"/>
            <w:vMerge w:val="restart"/>
            <w:shd w:val="clear" w:color="auto" w:fill="auto"/>
          </w:tcPr>
          <w:p w14:paraId="28847B66" w14:textId="76038A05" w:rsidR="005B0FE5" w:rsidRPr="00F83434" w:rsidRDefault="003B5227" w:rsidP="00E66874">
            <w:pPr>
              <w:bidi/>
              <w:spacing w:before="120"/>
              <w:jc w:val="both"/>
              <w:rPr>
                <w:rFonts w:asciiTheme="majorBidi" w:hAnsiTheme="majorBidi" w:cstheme="majorBidi"/>
                <w:b/>
                <w:sz w:val="24"/>
              </w:rPr>
            </w:pPr>
            <w:r w:rsidRPr="00F83434">
              <w:rPr>
                <w:rFonts w:asciiTheme="majorBidi" w:hAnsiTheme="majorBidi" w:cstheme="majorBidi"/>
                <w:b/>
                <w:bCs/>
                <w:sz w:val="24"/>
                <w:rtl/>
              </w:rPr>
              <w:t>عوامل التقييم الشامل</w:t>
            </w:r>
          </w:p>
        </w:tc>
        <w:tc>
          <w:tcPr>
            <w:tcW w:w="4214" w:type="pct"/>
            <w:gridSpan w:val="2"/>
            <w:shd w:val="clear" w:color="auto" w:fill="auto"/>
          </w:tcPr>
          <w:p w14:paraId="7D7EB80A" w14:textId="35D62CF1" w:rsidR="005B0FE5" w:rsidRPr="00F83434" w:rsidRDefault="00AC2D59" w:rsidP="00E66874">
            <w:pPr>
              <w:keepLines/>
              <w:bidi/>
              <w:spacing w:before="120"/>
              <w:jc w:val="both"/>
              <w:rPr>
                <w:rFonts w:asciiTheme="majorBidi" w:hAnsiTheme="majorBidi" w:cstheme="majorBidi"/>
                <w:b/>
                <w:sz w:val="24"/>
              </w:rPr>
            </w:pPr>
            <w:r w:rsidRPr="00F83434">
              <w:rPr>
                <w:rFonts w:asciiTheme="majorBidi" w:hAnsiTheme="majorBidi" w:cstheme="majorBidi"/>
                <w:sz w:val="24"/>
                <w:rtl/>
              </w:rPr>
              <w:t>يتم تقييم هذا المؤشر على أساس خمسة عوامل على ال</w:t>
            </w:r>
            <w:r w:rsidR="00A12BA9" w:rsidRPr="00F83434">
              <w:rPr>
                <w:rFonts w:asciiTheme="majorBidi" w:hAnsiTheme="majorBidi" w:cstheme="majorBidi"/>
                <w:sz w:val="24"/>
                <w:rtl/>
              </w:rPr>
              <w:t>صعيد</w:t>
            </w:r>
            <w:r w:rsidRPr="00F83434">
              <w:rPr>
                <w:rFonts w:asciiTheme="majorBidi" w:hAnsiTheme="majorBidi" w:cstheme="majorBidi"/>
                <w:sz w:val="24"/>
                <w:rtl/>
              </w:rPr>
              <w:t xml:space="preserve"> القطري ترصدها كل دولة طرف </w:t>
            </w:r>
            <w:r w:rsidR="00391873" w:rsidRPr="00F83434">
              <w:rPr>
                <w:rFonts w:asciiTheme="majorBidi" w:hAnsiTheme="majorBidi" w:cstheme="majorBidi"/>
                <w:sz w:val="24"/>
                <w:rtl/>
              </w:rPr>
              <w:t>و</w:t>
            </w:r>
            <w:r w:rsidR="00780DBB" w:rsidRPr="00F83434">
              <w:rPr>
                <w:rFonts w:asciiTheme="majorBidi" w:hAnsiTheme="majorBidi" w:cstheme="majorBidi"/>
                <w:sz w:val="24"/>
                <w:rtl/>
              </w:rPr>
              <w:t>ت</w:t>
            </w:r>
            <w:r w:rsidR="00152851">
              <w:rPr>
                <w:rFonts w:asciiTheme="majorBidi" w:hAnsiTheme="majorBidi" w:cstheme="majorBidi" w:hint="cs"/>
                <w:sz w:val="24"/>
                <w:rtl/>
              </w:rPr>
              <w:t>عد التقرير</w:t>
            </w:r>
            <w:r w:rsidR="00780DBB" w:rsidRPr="00F83434">
              <w:rPr>
                <w:rFonts w:asciiTheme="majorBidi" w:hAnsiTheme="majorBidi" w:cstheme="majorBidi"/>
                <w:sz w:val="24"/>
                <w:rtl/>
              </w:rPr>
              <w:t xml:space="preserve"> عنها</w:t>
            </w:r>
            <w:r w:rsidRPr="00F83434">
              <w:rPr>
                <w:rFonts w:asciiTheme="majorBidi" w:hAnsiTheme="majorBidi" w:cstheme="majorBidi"/>
                <w:sz w:val="24"/>
                <w:rtl/>
              </w:rPr>
              <w:t>:</w:t>
            </w:r>
          </w:p>
        </w:tc>
      </w:tr>
      <w:tr w:rsidR="00FC18A3" w:rsidRPr="00FD5AA4" w14:paraId="2E5CDF6A" w14:textId="77777777" w:rsidTr="003F0FF9">
        <w:tc>
          <w:tcPr>
            <w:tcW w:w="786" w:type="pct"/>
            <w:vMerge/>
            <w:shd w:val="clear" w:color="auto" w:fill="auto"/>
          </w:tcPr>
          <w:p w14:paraId="7553B678" w14:textId="77777777" w:rsidR="00FC18A3" w:rsidRPr="00F83434" w:rsidRDefault="00FC18A3" w:rsidP="00E66874">
            <w:pPr>
              <w:bidi/>
              <w:spacing w:before="120"/>
              <w:jc w:val="both"/>
              <w:rPr>
                <w:rFonts w:asciiTheme="majorBidi" w:hAnsiTheme="majorBidi" w:cstheme="majorBidi"/>
                <w:b/>
                <w:sz w:val="24"/>
              </w:rPr>
            </w:pPr>
          </w:p>
        </w:tc>
        <w:tc>
          <w:tcPr>
            <w:tcW w:w="3418" w:type="pct"/>
            <w:shd w:val="clear" w:color="auto" w:fill="auto"/>
            <w:vAlign w:val="center"/>
          </w:tcPr>
          <w:p w14:paraId="2EE35FCF" w14:textId="3D638CB1" w:rsidR="00FC18A3" w:rsidRPr="00F83434" w:rsidRDefault="00D80A95"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13-1 احترام المبادئ الأخلاقية لصون التراث الثقافي غير المادي في خطط وسياسات وبرامج التنمية.</w:t>
            </w:r>
          </w:p>
        </w:tc>
        <w:tc>
          <w:tcPr>
            <w:tcW w:w="796" w:type="pct"/>
            <w:shd w:val="clear" w:color="auto" w:fill="auto"/>
            <w:vAlign w:val="center"/>
          </w:tcPr>
          <w:p w14:paraId="5EE56A46" w14:textId="3684324E" w:rsidR="00394F5D" w:rsidRPr="00F83434" w:rsidRDefault="00394F5D" w:rsidP="00E66874">
            <w:pPr>
              <w:bidi/>
              <w:spacing w:before="60" w:after="60"/>
              <w:jc w:val="both"/>
              <w:rPr>
                <w:rFonts w:asciiTheme="majorBidi" w:hAnsiTheme="majorBidi" w:cstheme="majorBidi"/>
                <w:sz w:val="24"/>
              </w:rPr>
            </w:pPr>
            <w:r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التنفيذي</w:t>
            </w:r>
            <w:r w:rsidRPr="00F83434">
              <w:rPr>
                <w:rFonts w:asciiTheme="majorBidi" w:hAnsiTheme="majorBidi" w:cstheme="majorBidi"/>
                <w:sz w:val="24"/>
                <w:rtl/>
              </w:rPr>
              <w:t xml:space="preserve"> 171 (ج)</w:t>
            </w:r>
          </w:p>
          <w:p w14:paraId="0BE369C2" w14:textId="409F7CC9" w:rsidR="00FC18A3" w:rsidRPr="00F83434" w:rsidRDefault="00152851" w:rsidP="00E66874">
            <w:pPr>
              <w:keepLines/>
              <w:bidi/>
              <w:spacing w:before="120"/>
              <w:jc w:val="both"/>
              <w:rPr>
                <w:rFonts w:asciiTheme="majorBidi" w:hAnsiTheme="majorBidi" w:cstheme="majorBidi"/>
                <w:sz w:val="24"/>
              </w:rPr>
            </w:pPr>
            <w:r w:rsidRPr="00152851">
              <w:rPr>
                <w:rFonts w:asciiTheme="majorBidi" w:hAnsiTheme="majorBidi"/>
                <w:sz w:val="24"/>
                <w:rtl/>
              </w:rPr>
              <w:t>المبادئ الأخلاقية</w:t>
            </w:r>
          </w:p>
        </w:tc>
      </w:tr>
      <w:tr w:rsidR="00FC18A3" w:rsidRPr="00FD5AA4" w14:paraId="1876BD14" w14:textId="77777777" w:rsidTr="003F0FF9">
        <w:tc>
          <w:tcPr>
            <w:tcW w:w="786" w:type="pct"/>
            <w:vMerge/>
            <w:shd w:val="clear" w:color="auto" w:fill="auto"/>
          </w:tcPr>
          <w:p w14:paraId="3BF3B83B" w14:textId="77777777" w:rsidR="00FC18A3" w:rsidRPr="00F83434" w:rsidRDefault="00FC18A3" w:rsidP="00E66874">
            <w:pPr>
              <w:bidi/>
              <w:spacing w:before="120"/>
              <w:jc w:val="both"/>
              <w:rPr>
                <w:rFonts w:asciiTheme="majorBidi" w:hAnsiTheme="majorBidi" w:cstheme="majorBidi"/>
                <w:b/>
                <w:sz w:val="24"/>
              </w:rPr>
            </w:pPr>
          </w:p>
        </w:tc>
        <w:tc>
          <w:tcPr>
            <w:tcW w:w="3418" w:type="pct"/>
            <w:shd w:val="clear" w:color="auto" w:fill="auto"/>
            <w:vAlign w:val="center"/>
          </w:tcPr>
          <w:p w14:paraId="0FEF774B" w14:textId="1856C9F3" w:rsidR="00FC18A3" w:rsidRPr="00F83434" w:rsidRDefault="00D80A95"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13-2 وضع أو تنقيح السياسات و/أو التدابير القانونية والإدارية لتحقيق التنمية الاجتماعية الشاملة</w:t>
            </w:r>
            <w:r w:rsidR="00B650CB" w:rsidRPr="00F83434">
              <w:rPr>
                <w:rStyle w:val="FootnoteReference"/>
                <w:rFonts w:asciiTheme="majorBidi" w:hAnsiTheme="majorBidi" w:cstheme="majorBidi"/>
                <w:sz w:val="24"/>
                <w:rtl/>
              </w:rPr>
              <w:footnoteReference w:id="2"/>
            </w:r>
            <w:r w:rsidRPr="00F83434">
              <w:rPr>
                <w:rFonts w:asciiTheme="majorBidi" w:hAnsiTheme="majorBidi" w:cstheme="majorBidi"/>
                <w:sz w:val="24"/>
                <w:rtl/>
              </w:rPr>
              <w:t xml:space="preserve">  والاستدامة البيئية للنظر في مسألة التراث الثقافي غير المادي وصونه.</w:t>
            </w:r>
          </w:p>
        </w:tc>
        <w:tc>
          <w:tcPr>
            <w:tcW w:w="796" w:type="pct"/>
            <w:shd w:val="clear" w:color="auto" w:fill="auto"/>
            <w:vAlign w:val="center"/>
          </w:tcPr>
          <w:p w14:paraId="70C03323" w14:textId="62DEAC5D" w:rsidR="00FC18A3" w:rsidRPr="00F83434" w:rsidRDefault="00391873" w:rsidP="00E66874">
            <w:pPr>
              <w:bidi/>
              <w:spacing w:before="60" w:after="60"/>
              <w:jc w:val="both"/>
              <w:rPr>
                <w:rFonts w:asciiTheme="majorBidi" w:hAnsiTheme="majorBidi" w:cstheme="majorBidi"/>
                <w:sz w:val="24"/>
              </w:rPr>
            </w:pPr>
            <w:r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Pr="00F83434">
              <w:rPr>
                <w:rFonts w:asciiTheme="majorBidi" w:hAnsiTheme="majorBidi" w:cstheme="majorBidi"/>
                <w:sz w:val="24"/>
                <w:rtl/>
              </w:rPr>
              <w:t>171 (د)</w:t>
            </w:r>
            <w:r w:rsidR="00B061C7" w:rsidRPr="00F83434">
              <w:rPr>
                <w:rFonts w:asciiTheme="majorBidi" w:hAnsiTheme="majorBidi" w:cstheme="majorBidi"/>
                <w:sz w:val="24"/>
                <w:rtl/>
              </w:rPr>
              <w:t>، و</w:t>
            </w:r>
            <w:r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Pr="00F83434">
              <w:rPr>
                <w:rFonts w:asciiTheme="majorBidi" w:hAnsiTheme="majorBidi" w:cstheme="majorBidi"/>
                <w:sz w:val="24"/>
                <w:rtl/>
              </w:rPr>
              <w:t>178</w:t>
            </w:r>
            <w:r w:rsidR="00B061C7" w:rsidRPr="00F83434">
              <w:rPr>
                <w:rFonts w:asciiTheme="majorBidi" w:hAnsiTheme="majorBidi" w:cstheme="majorBidi"/>
                <w:sz w:val="24"/>
                <w:rtl/>
              </w:rPr>
              <w:t>، و</w:t>
            </w:r>
            <w:r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Pr="00F83434">
              <w:rPr>
                <w:rFonts w:asciiTheme="majorBidi" w:hAnsiTheme="majorBidi" w:cstheme="majorBidi"/>
                <w:sz w:val="24"/>
                <w:rtl/>
              </w:rPr>
              <w:t>179</w:t>
            </w:r>
            <w:r w:rsidR="00B061C7" w:rsidRPr="00F83434">
              <w:rPr>
                <w:rFonts w:asciiTheme="majorBidi" w:hAnsiTheme="majorBidi" w:cstheme="majorBidi"/>
                <w:sz w:val="24"/>
                <w:rtl/>
              </w:rPr>
              <w:t>، و</w:t>
            </w:r>
            <w:r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Pr="00F83434">
              <w:rPr>
                <w:rFonts w:asciiTheme="majorBidi" w:hAnsiTheme="majorBidi" w:cstheme="majorBidi"/>
                <w:sz w:val="24"/>
                <w:rtl/>
              </w:rPr>
              <w:t>181</w:t>
            </w:r>
            <w:r w:rsidR="00B061C7" w:rsidRPr="00F83434">
              <w:rPr>
                <w:rFonts w:asciiTheme="majorBidi" w:hAnsiTheme="majorBidi" w:cstheme="majorBidi"/>
                <w:sz w:val="24"/>
                <w:rtl/>
              </w:rPr>
              <w:t>، و</w:t>
            </w:r>
            <w:r w:rsidR="00394F5D"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Pr="00F83434">
              <w:rPr>
                <w:rFonts w:asciiTheme="majorBidi" w:hAnsiTheme="majorBidi" w:cstheme="majorBidi"/>
                <w:sz w:val="24"/>
                <w:rtl/>
              </w:rPr>
              <w:t>182</w:t>
            </w:r>
            <w:r w:rsidR="00B061C7" w:rsidRPr="00F83434">
              <w:rPr>
                <w:rFonts w:asciiTheme="majorBidi" w:hAnsiTheme="majorBidi" w:cstheme="majorBidi"/>
                <w:sz w:val="24"/>
                <w:rtl/>
              </w:rPr>
              <w:t>، و</w:t>
            </w:r>
            <w:r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Pr="00F83434">
              <w:rPr>
                <w:rFonts w:asciiTheme="majorBidi" w:hAnsiTheme="majorBidi" w:cstheme="majorBidi"/>
                <w:sz w:val="24"/>
                <w:rtl/>
              </w:rPr>
              <w:t>188-190</w:t>
            </w:r>
            <w:r w:rsidR="00B061C7" w:rsidRPr="00F83434">
              <w:rPr>
                <w:rFonts w:asciiTheme="majorBidi" w:hAnsiTheme="majorBidi" w:cstheme="majorBidi"/>
                <w:sz w:val="24"/>
                <w:rtl/>
              </w:rPr>
              <w:t>، و</w:t>
            </w:r>
            <w:r w:rsidR="00394F5D" w:rsidRPr="00F83434">
              <w:rPr>
                <w:rFonts w:asciiTheme="majorBidi" w:hAnsiTheme="majorBidi" w:cstheme="majorBidi"/>
                <w:sz w:val="24"/>
                <w:rtl/>
              </w:rPr>
              <w:t xml:space="preserve">التوجيه </w:t>
            </w:r>
            <w:r w:rsidR="004F667A" w:rsidRPr="00F83434">
              <w:rPr>
                <w:rFonts w:asciiTheme="majorBidi" w:hAnsiTheme="majorBidi" w:cstheme="majorBidi"/>
                <w:sz w:val="24"/>
                <w:rtl/>
              </w:rPr>
              <w:t xml:space="preserve">التنفيذي </w:t>
            </w:r>
            <w:r w:rsidR="00394F5D" w:rsidRPr="00F83434">
              <w:rPr>
                <w:rFonts w:asciiTheme="majorBidi" w:hAnsiTheme="majorBidi" w:cstheme="majorBidi"/>
                <w:sz w:val="24"/>
                <w:rtl/>
              </w:rPr>
              <w:t>191</w:t>
            </w:r>
          </w:p>
        </w:tc>
      </w:tr>
      <w:tr w:rsidR="00FC18A3" w:rsidRPr="00FD5AA4" w14:paraId="12F67B38" w14:textId="77777777" w:rsidTr="003F0FF9">
        <w:tc>
          <w:tcPr>
            <w:tcW w:w="786" w:type="pct"/>
            <w:vMerge/>
            <w:shd w:val="clear" w:color="auto" w:fill="auto"/>
          </w:tcPr>
          <w:p w14:paraId="1E406961" w14:textId="77777777" w:rsidR="00FC18A3" w:rsidRPr="00F83434" w:rsidRDefault="00FC18A3" w:rsidP="00E66874">
            <w:pPr>
              <w:bidi/>
              <w:spacing w:before="120"/>
              <w:jc w:val="both"/>
              <w:rPr>
                <w:rFonts w:asciiTheme="majorBidi" w:hAnsiTheme="majorBidi" w:cstheme="majorBidi"/>
                <w:b/>
                <w:sz w:val="24"/>
              </w:rPr>
            </w:pPr>
          </w:p>
        </w:tc>
        <w:tc>
          <w:tcPr>
            <w:tcW w:w="3418" w:type="pct"/>
            <w:shd w:val="clear" w:color="auto" w:fill="auto"/>
            <w:vAlign w:val="center"/>
          </w:tcPr>
          <w:p w14:paraId="28178229" w14:textId="7B4470FF" w:rsidR="00FC18A3" w:rsidRPr="00F83434" w:rsidRDefault="00D80A95"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13-3 وضع أو تنقيح السياسات و/أو التدابير القانونية والإدارية لمواجهة حالات الكوارث الطبيعية أو النزاعات المسلحة لتشمل التراث الثقافي غير المادي المتأثّر ولتعترف بأهميته فيما يخصّ قدرة المتضرّرين على التكيّف.</w:t>
            </w:r>
          </w:p>
        </w:tc>
        <w:tc>
          <w:tcPr>
            <w:tcW w:w="796" w:type="pct"/>
            <w:shd w:val="clear" w:color="auto" w:fill="auto"/>
            <w:vAlign w:val="center"/>
          </w:tcPr>
          <w:p w14:paraId="28E92328" w14:textId="62B91ED8" w:rsidR="00FC18A3" w:rsidRPr="00F83434" w:rsidRDefault="008F1774"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 xml:space="preserve">التوجيه </w:t>
            </w:r>
            <w:r w:rsidR="00B061C7" w:rsidRPr="00F83434">
              <w:rPr>
                <w:rFonts w:asciiTheme="majorBidi" w:hAnsiTheme="majorBidi" w:cstheme="majorBidi"/>
                <w:sz w:val="24"/>
                <w:rtl/>
              </w:rPr>
              <w:t xml:space="preserve">التنفيذي </w:t>
            </w:r>
            <w:r w:rsidR="00391873" w:rsidRPr="00F83434">
              <w:rPr>
                <w:rFonts w:asciiTheme="majorBidi" w:hAnsiTheme="majorBidi" w:cstheme="majorBidi"/>
                <w:sz w:val="24"/>
                <w:rtl/>
              </w:rPr>
              <w:t xml:space="preserve">188، </w:t>
            </w:r>
            <w:r w:rsidR="008B1C00" w:rsidRPr="00F83434">
              <w:rPr>
                <w:rFonts w:asciiTheme="majorBidi" w:hAnsiTheme="majorBidi" w:cstheme="majorBidi"/>
                <w:sz w:val="24"/>
                <w:rtl/>
              </w:rPr>
              <w:t>و</w:t>
            </w:r>
            <w:r w:rsidR="00391873" w:rsidRPr="00F83434">
              <w:rPr>
                <w:rFonts w:asciiTheme="majorBidi" w:hAnsiTheme="majorBidi" w:cstheme="majorBidi"/>
                <w:sz w:val="24"/>
                <w:rtl/>
              </w:rPr>
              <w:t xml:space="preserve">التوجيه </w:t>
            </w:r>
            <w:r w:rsidR="00B061C7" w:rsidRPr="00F83434">
              <w:rPr>
                <w:rFonts w:asciiTheme="majorBidi" w:hAnsiTheme="majorBidi" w:cstheme="majorBidi"/>
                <w:sz w:val="24"/>
                <w:rtl/>
              </w:rPr>
              <w:t xml:space="preserve">التنفيذي </w:t>
            </w:r>
            <w:r w:rsidR="00391873" w:rsidRPr="00F83434">
              <w:rPr>
                <w:rFonts w:asciiTheme="majorBidi" w:hAnsiTheme="majorBidi" w:cstheme="majorBidi"/>
                <w:sz w:val="24"/>
                <w:rtl/>
              </w:rPr>
              <w:t>191</w:t>
            </w:r>
            <w:r w:rsidR="008B1C00" w:rsidRPr="00F83434">
              <w:rPr>
                <w:rFonts w:asciiTheme="majorBidi" w:hAnsiTheme="majorBidi" w:cstheme="majorBidi"/>
                <w:sz w:val="24"/>
                <w:rtl/>
              </w:rPr>
              <w:t>،</w:t>
            </w:r>
            <w:r w:rsidR="00391873" w:rsidRPr="00F83434">
              <w:rPr>
                <w:rFonts w:asciiTheme="majorBidi" w:hAnsiTheme="majorBidi" w:cstheme="majorBidi"/>
                <w:sz w:val="24"/>
                <w:rtl/>
              </w:rPr>
              <w:t xml:space="preserve"> </w:t>
            </w:r>
            <w:r w:rsidR="008B1C00" w:rsidRPr="00F83434">
              <w:rPr>
                <w:rFonts w:asciiTheme="majorBidi" w:hAnsiTheme="majorBidi" w:cstheme="majorBidi"/>
                <w:sz w:val="24"/>
                <w:rtl/>
              </w:rPr>
              <w:t>و</w:t>
            </w:r>
            <w:r w:rsidRPr="00F83434">
              <w:rPr>
                <w:rFonts w:asciiTheme="majorBidi" w:hAnsiTheme="majorBidi" w:cstheme="majorBidi"/>
                <w:sz w:val="24"/>
                <w:rtl/>
              </w:rPr>
              <w:t xml:space="preserve">التوجيه </w:t>
            </w:r>
            <w:r w:rsidR="00B061C7" w:rsidRPr="00F83434">
              <w:rPr>
                <w:rFonts w:asciiTheme="majorBidi" w:hAnsiTheme="majorBidi" w:cstheme="majorBidi"/>
                <w:sz w:val="24"/>
                <w:rtl/>
              </w:rPr>
              <w:t xml:space="preserve">التنفيذي </w:t>
            </w:r>
            <w:r w:rsidRPr="00F83434">
              <w:rPr>
                <w:rFonts w:asciiTheme="majorBidi" w:hAnsiTheme="majorBidi" w:cstheme="majorBidi"/>
                <w:sz w:val="24"/>
                <w:rtl/>
              </w:rPr>
              <w:t>196</w:t>
            </w:r>
          </w:p>
        </w:tc>
      </w:tr>
      <w:tr w:rsidR="00FC18A3" w:rsidRPr="00FD5AA4" w14:paraId="5BAC45FF" w14:textId="77777777" w:rsidTr="003F0FF9">
        <w:tc>
          <w:tcPr>
            <w:tcW w:w="786" w:type="pct"/>
            <w:vMerge/>
            <w:shd w:val="clear" w:color="auto" w:fill="auto"/>
          </w:tcPr>
          <w:p w14:paraId="14E1C3FA" w14:textId="77777777" w:rsidR="00FC18A3" w:rsidRPr="00F83434" w:rsidRDefault="00FC18A3" w:rsidP="00E66874">
            <w:pPr>
              <w:bidi/>
              <w:spacing w:before="120"/>
              <w:jc w:val="both"/>
              <w:rPr>
                <w:rFonts w:asciiTheme="majorBidi" w:hAnsiTheme="majorBidi" w:cstheme="majorBidi"/>
                <w:b/>
                <w:sz w:val="24"/>
              </w:rPr>
            </w:pPr>
          </w:p>
        </w:tc>
        <w:tc>
          <w:tcPr>
            <w:tcW w:w="3418" w:type="pct"/>
            <w:shd w:val="clear" w:color="auto" w:fill="auto"/>
            <w:vAlign w:val="center"/>
          </w:tcPr>
          <w:p w14:paraId="3427FCE0" w14:textId="41D23250" w:rsidR="00FC18A3" w:rsidRPr="00F83434" w:rsidRDefault="00D80A95"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13-4 وضع أو تنقيح السياسات و/أو التدابير القانونية والإدارية للتنمية الاقتصادية الشاملة لتأخذ في الاعتبار التراث الثقافي غير المادي وصونه</w:t>
            </w:r>
            <w:r w:rsidR="00B650CB" w:rsidRPr="00F83434">
              <w:rPr>
                <w:rStyle w:val="FootnoteReference"/>
                <w:rFonts w:asciiTheme="majorBidi" w:hAnsiTheme="majorBidi" w:cstheme="majorBidi"/>
                <w:sz w:val="24"/>
                <w:rtl/>
              </w:rPr>
              <w:footnoteReference w:id="3"/>
            </w:r>
            <w:r w:rsidRPr="00F83434">
              <w:rPr>
                <w:rFonts w:asciiTheme="majorBidi" w:hAnsiTheme="majorBidi" w:cstheme="majorBidi"/>
                <w:sz w:val="24"/>
                <w:rtl/>
              </w:rPr>
              <w:t>.</w:t>
            </w:r>
          </w:p>
        </w:tc>
        <w:tc>
          <w:tcPr>
            <w:tcW w:w="796" w:type="pct"/>
            <w:shd w:val="clear" w:color="auto" w:fill="auto"/>
            <w:vAlign w:val="center"/>
          </w:tcPr>
          <w:p w14:paraId="7D1CF9E8" w14:textId="1F205173" w:rsidR="00FC18A3" w:rsidRPr="00F83434" w:rsidRDefault="00391873"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 xml:space="preserve">التوجيه </w:t>
            </w:r>
            <w:r w:rsidR="00B061C7" w:rsidRPr="00F83434">
              <w:rPr>
                <w:rFonts w:asciiTheme="majorBidi" w:hAnsiTheme="majorBidi" w:cstheme="majorBidi"/>
                <w:sz w:val="24"/>
                <w:rtl/>
              </w:rPr>
              <w:t xml:space="preserve">التنفيذي </w:t>
            </w:r>
            <w:r w:rsidRPr="00F83434">
              <w:rPr>
                <w:rFonts w:asciiTheme="majorBidi" w:hAnsiTheme="majorBidi" w:cstheme="majorBidi"/>
                <w:sz w:val="24"/>
                <w:rtl/>
              </w:rPr>
              <w:t>171 (د)</w:t>
            </w:r>
            <w:r w:rsidR="008B1C00" w:rsidRPr="00F83434">
              <w:rPr>
                <w:rFonts w:asciiTheme="majorBidi" w:hAnsiTheme="majorBidi" w:cstheme="majorBidi"/>
                <w:sz w:val="24"/>
                <w:rtl/>
              </w:rPr>
              <w:t>، و</w:t>
            </w:r>
            <w:r w:rsidR="00834C17" w:rsidRPr="00F83434">
              <w:rPr>
                <w:rFonts w:asciiTheme="majorBidi" w:hAnsiTheme="majorBidi" w:cstheme="majorBidi"/>
                <w:sz w:val="24"/>
                <w:rtl/>
              </w:rPr>
              <w:t xml:space="preserve">التوجيهات </w:t>
            </w:r>
            <w:r w:rsidR="00B061C7" w:rsidRPr="00F83434">
              <w:rPr>
                <w:rFonts w:asciiTheme="majorBidi" w:hAnsiTheme="majorBidi" w:cstheme="majorBidi"/>
                <w:sz w:val="24"/>
                <w:rtl/>
              </w:rPr>
              <w:t xml:space="preserve">التنفيذية </w:t>
            </w:r>
            <w:r w:rsidR="00834C17" w:rsidRPr="00F83434">
              <w:rPr>
                <w:rFonts w:asciiTheme="majorBidi" w:hAnsiTheme="majorBidi" w:cstheme="majorBidi"/>
                <w:sz w:val="24"/>
                <w:rtl/>
              </w:rPr>
              <w:t>183-186</w:t>
            </w:r>
          </w:p>
        </w:tc>
      </w:tr>
      <w:tr w:rsidR="00FC18A3" w:rsidRPr="00FD5AA4" w14:paraId="2A1AFFB4" w14:textId="77777777" w:rsidTr="003F0FF9">
        <w:tc>
          <w:tcPr>
            <w:tcW w:w="786" w:type="pct"/>
            <w:vMerge/>
            <w:shd w:val="clear" w:color="auto" w:fill="auto"/>
          </w:tcPr>
          <w:p w14:paraId="7B062645" w14:textId="4449BF9A" w:rsidR="00FC18A3" w:rsidRPr="00F83434" w:rsidRDefault="00FC18A3" w:rsidP="00E66874">
            <w:pPr>
              <w:bidi/>
              <w:spacing w:before="120"/>
              <w:jc w:val="both"/>
              <w:rPr>
                <w:rFonts w:asciiTheme="majorBidi" w:hAnsiTheme="majorBidi" w:cstheme="majorBidi"/>
                <w:b/>
                <w:sz w:val="24"/>
              </w:rPr>
            </w:pPr>
          </w:p>
        </w:tc>
        <w:tc>
          <w:tcPr>
            <w:tcW w:w="3418" w:type="pct"/>
            <w:shd w:val="clear" w:color="auto" w:fill="auto"/>
            <w:vAlign w:val="center"/>
          </w:tcPr>
          <w:p w14:paraId="35F70EB7" w14:textId="43922CA1" w:rsidR="00FC18A3" w:rsidRPr="00F83434" w:rsidRDefault="00A42CF2"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 xml:space="preserve">13-5 </w:t>
            </w:r>
            <w:proofErr w:type="gramStart"/>
            <w:r w:rsidRPr="00F83434">
              <w:rPr>
                <w:rFonts w:asciiTheme="majorBidi" w:hAnsiTheme="majorBidi" w:cstheme="majorBidi"/>
                <w:sz w:val="24"/>
                <w:rtl/>
              </w:rPr>
              <w:t>وضع</w:t>
            </w:r>
            <w:proofErr w:type="gramEnd"/>
            <w:r w:rsidRPr="00F83434">
              <w:rPr>
                <w:rFonts w:asciiTheme="majorBidi" w:hAnsiTheme="majorBidi" w:cstheme="majorBidi"/>
                <w:sz w:val="24"/>
                <w:rtl/>
              </w:rPr>
              <w:t xml:space="preserve"> أو تنقيح أو تحسين التدابير أو الحوافز المالية أو الضريبية الملائمة لتسهيل و/أو تشجيع ممارسة التراث الثقافي غير المادي ونقله وزيادة توافر الموارد الطبيعية والموارد الأخرى اللازمة لممارسته.</w:t>
            </w:r>
          </w:p>
        </w:tc>
        <w:tc>
          <w:tcPr>
            <w:tcW w:w="796" w:type="pct"/>
            <w:shd w:val="clear" w:color="auto" w:fill="auto"/>
            <w:vAlign w:val="center"/>
          </w:tcPr>
          <w:p w14:paraId="61FC60D0" w14:textId="275DA1F1" w:rsidR="00FC18A3" w:rsidRPr="00F83434" w:rsidRDefault="00391873" w:rsidP="00E66874">
            <w:pPr>
              <w:bidi/>
              <w:spacing w:before="60" w:after="60"/>
              <w:jc w:val="both"/>
              <w:rPr>
                <w:rFonts w:asciiTheme="majorBidi" w:hAnsiTheme="majorBidi" w:cstheme="majorBidi"/>
                <w:sz w:val="24"/>
              </w:rPr>
            </w:pPr>
            <w:r w:rsidRPr="00F83434">
              <w:rPr>
                <w:rFonts w:asciiTheme="majorBidi" w:hAnsiTheme="majorBidi" w:cstheme="majorBidi"/>
                <w:sz w:val="24"/>
                <w:rtl/>
              </w:rPr>
              <w:t xml:space="preserve">التوجيه </w:t>
            </w:r>
            <w:r w:rsidR="00B061C7" w:rsidRPr="00F83434">
              <w:rPr>
                <w:rFonts w:asciiTheme="majorBidi" w:hAnsiTheme="majorBidi" w:cstheme="majorBidi"/>
                <w:sz w:val="24"/>
                <w:rtl/>
              </w:rPr>
              <w:t xml:space="preserve">التنفيذي </w:t>
            </w:r>
            <w:r w:rsidRPr="00F83434">
              <w:rPr>
                <w:rFonts w:asciiTheme="majorBidi" w:hAnsiTheme="majorBidi" w:cstheme="majorBidi"/>
                <w:sz w:val="24"/>
                <w:rtl/>
              </w:rPr>
              <w:t>78</w:t>
            </w:r>
            <w:r w:rsidR="008B1C00" w:rsidRPr="00F83434">
              <w:rPr>
                <w:rFonts w:asciiTheme="majorBidi" w:hAnsiTheme="majorBidi" w:cstheme="majorBidi"/>
                <w:sz w:val="24"/>
                <w:rtl/>
              </w:rPr>
              <w:t>، و</w:t>
            </w:r>
            <w:r w:rsidR="002F738E" w:rsidRPr="00F83434">
              <w:rPr>
                <w:rFonts w:asciiTheme="majorBidi" w:hAnsiTheme="majorBidi" w:cstheme="majorBidi"/>
                <w:sz w:val="24"/>
                <w:rtl/>
              </w:rPr>
              <w:t xml:space="preserve">التوجيه </w:t>
            </w:r>
            <w:r w:rsidR="00B061C7" w:rsidRPr="00F83434">
              <w:rPr>
                <w:rFonts w:asciiTheme="majorBidi" w:hAnsiTheme="majorBidi" w:cstheme="majorBidi"/>
                <w:sz w:val="24"/>
                <w:rtl/>
              </w:rPr>
              <w:t xml:space="preserve">التنفيذي </w:t>
            </w:r>
            <w:r w:rsidR="002F738E" w:rsidRPr="00F83434">
              <w:rPr>
                <w:rFonts w:asciiTheme="majorBidi" w:hAnsiTheme="majorBidi" w:cstheme="majorBidi"/>
                <w:sz w:val="24"/>
                <w:rtl/>
              </w:rPr>
              <w:t>186 (ب)</w:t>
            </w:r>
          </w:p>
        </w:tc>
      </w:tr>
      <w:tr w:rsidR="005473CF" w:rsidRPr="00FD5AA4" w14:paraId="6FF1B585" w14:textId="77777777" w:rsidTr="003F0FF9">
        <w:tc>
          <w:tcPr>
            <w:tcW w:w="786" w:type="pct"/>
            <w:shd w:val="clear" w:color="auto" w:fill="auto"/>
          </w:tcPr>
          <w:p w14:paraId="68D064B2" w14:textId="0AE8C6A1" w:rsidR="005473CF" w:rsidRPr="00F83434" w:rsidRDefault="003B5227" w:rsidP="00E66874">
            <w:pPr>
              <w:bidi/>
              <w:spacing w:before="120"/>
              <w:jc w:val="both"/>
              <w:rPr>
                <w:rFonts w:asciiTheme="majorBidi" w:hAnsiTheme="majorBidi" w:cstheme="majorBidi"/>
                <w:b/>
                <w:sz w:val="24"/>
              </w:rPr>
            </w:pPr>
            <w:r w:rsidRPr="00F83434">
              <w:rPr>
                <w:rFonts w:asciiTheme="majorBidi" w:hAnsiTheme="majorBidi" w:cstheme="majorBidi"/>
                <w:b/>
                <w:bCs/>
                <w:sz w:val="24"/>
                <w:rtl/>
              </w:rPr>
              <w:t>العلاقة مع أهداف التنمية المستدامة والمؤشرات الأخرى</w:t>
            </w:r>
          </w:p>
        </w:tc>
        <w:tc>
          <w:tcPr>
            <w:tcW w:w="4214" w:type="pct"/>
            <w:gridSpan w:val="2"/>
            <w:shd w:val="clear" w:color="auto" w:fill="auto"/>
          </w:tcPr>
          <w:p w14:paraId="1DB3E55F" w14:textId="1AF701D0" w:rsidR="005473CF" w:rsidRPr="00F83434" w:rsidRDefault="00702D8F" w:rsidP="00E66874">
            <w:pPr>
              <w:bidi/>
              <w:spacing w:before="120"/>
              <w:jc w:val="both"/>
              <w:rPr>
                <w:rFonts w:asciiTheme="majorBidi" w:hAnsiTheme="majorBidi" w:cstheme="majorBidi"/>
                <w:sz w:val="24"/>
              </w:rPr>
            </w:pPr>
            <w:r w:rsidRPr="00F83434">
              <w:rPr>
                <w:rFonts w:asciiTheme="majorBidi" w:hAnsiTheme="majorBidi" w:cstheme="majorBidi"/>
                <w:b/>
                <w:bCs/>
                <w:sz w:val="24"/>
                <w:rtl/>
              </w:rPr>
              <w:t xml:space="preserve">أهداف التنمية المستدامة: </w:t>
            </w:r>
            <w:r w:rsidRPr="00F83434">
              <w:rPr>
                <w:rFonts w:asciiTheme="majorBidi" w:hAnsiTheme="majorBidi" w:cstheme="majorBidi"/>
                <w:sz w:val="24"/>
                <w:rtl/>
              </w:rPr>
              <w:t xml:space="preserve">يدعم المؤشر الحالي العديد من أهداف وغايات جدول أعمال 2030 إن لم يكن كلها، طالما </w:t>
            </w:r>
            <w:r w:rsidR="00E14156" w:rsidRPr="00F83434">
              <w:rPr>
                <w:rFonts w:asciiTheme="majorBidi" w:hAnsiTheme="majorBidi" w:cstheme="majorBidi" w:hint="cs"/>
                <w:sz w:val="24"/>
                <w:rtl/>
              </w:rPr>
              <w:t xml:space="preserve">يمكن أن </w:t>
            </w:r>
            <w:r w:rsidRPr="00F83434">
              <w:rPr>
                <w:rFonts w:asciiTheme="majorBidi" w:hAnsiTheme="majorBidi" w:cstheme="majorBidi"/>
                <w:sz w:val="24"/>
                <w:rtl/>
              </w:rPr>
              <w:t>يساهم صون التراث الثقافي غير المادي نفسه في العديد من أهداف التنمية المستدامة إن لم يكن كلها. ولكن على عكس المؤشرين 11 و12، يسعى هذا المؤشر إلى تحديد استخدام صون التراث الثقافي غير المادي في الخطط والبرامج في مجالات أخرى غير الثقافة أو التعليم، مثل تلك المجالات المتعلقة بالزراعة المستدامة (هدف</w:t>
            </w:r>
            <w:r w:rsidR="00E14156" w:rsidRPr="00F83434">
              <w:rPr>
                <w:rFonts w:asciiTheme="majorBidi" w:hAnsiTheme="majorBidi" w:cstheme="majorBidi" w:hint="cs"/>
                <w:sz w:val="24"/>
                <w:rtl/>
              </w:rPr>
              <w:t xml:space="preserve"> </w:t>
            </w:r>
            <w:r w:rsidR="00E14156" w:rsidRPr="00F83434">
              <w:rPr>
                <w:rFonts w:asciiTheme="majorBidi" w:hAnsiTheme="majorBidi" w:cstheme="majorBidi" w:hint="cs"/>
                <w:sz w:val="24"/>
                <w:rtl/>
                <w:lang w:bidi="ar-EG"/>
              </w:rPr>
              <w:t>التنمية المستدامة</w:t>
            </w:r>
            <w:r w:rsidRPr="00F83434">
              <w:rPr>
                <w:rFonts w:asciiTheme="majorBidi" w:hAnsiTheme="majorBidi" w:cstheme="majorBidi"/>
                <w:sz w:val="24"/>
                <w:rtl/>
              </w:rPr>
              <w:t xml:space="preserve"> 2)، والصحة والرفاه (هدف</w:t>
            </w:r>
            <w:r w:rsidR="00E14156" w:rsidRPr="00F83434">
              <w:rPr>
                <w:rFonts w:asciiTheme="majorBidi" w:hAnsiTheme="majorBidi" w:cstheme="majorBidi" w:hint="cs"/>
                <w:sz w:val="24"/>
                <w:rtl/>
              </w:rPr>
              <w:t xml:space="preserve"> </w:t>
            </w:r>
            <w:r w:rsidR="00E14156" w:rsidRPr="00F83434">
              <w:rPr>
                <w:rFonts w:asciiTheme="majorBidi" w:hAnsiTheme="majorBidi" w:cstheme="majorBidi" w:hint="cs"/>
                <w:sz w:val="24"/>
                <w:rtl/>
                <w:lang w:bidi="ar-EG"/>
              </w:rPr>
              <w:t>التنمية المستدامة</w:t>
            </w:r>
            <w:r w:rsidRPr="00F83434">
              <w:rPr>
                <w:rFonts w:asciiTheme="majorBidi" w:hAnsiTheme="majorBidi" w:cstheme="majorBidi"/>
                <w:sz w:val="24"/>
                <w:rtl/>
              </w:rPr>
              <w:t xml:space="preserve"> 3)، والاستخدام </w:t>
            </w:r>
            <w:r w:rsidRPr="00F83434">
              <w:rPr>
                <w:rFonts w:asciiTheme="majorBidi" w:hAnsiTheme="majorBidi" w:cstheme="majorBidi"/>
                <w:sz w:val="24"/>
                <w:rtl/>
              </w:rPr>
              <w:lastRenderedPageBreak/>
              <w:t>المستدام للمياه (هدف</w:t>
            </w:r>
            <w:r w:rsidR="00E14156" w:rsidRPr="00F83434">
              <w:rPr>
                <w:rFonts w:asciiTheme="majorBidi" w:hAnsiTheme="majorBidi" w:cstheme="majorBidi" w:hint="cs"/>
                <w:sz w:val="24"/>
                <w:rtl/>
              </w:rPr>
              <w:t xml:space="preserve"> </w:t>
            </w:r>
            <w:r w:rsidR="00E14156" w:rsidRPr="00F83434">
              <w:rPr>
                <w:rFonts w:asciiTheme="majorBidi" w:hAnsiTheme="majorBidi" w:cstheme="majorBidi" w:hint="cs"/>
                <w:sz w:val="24"/>
                <w:rtl/>
                <w:lang w:bidi="ar-EG"/>
              </w:rPr>
              <w:t>التنمية المستدامة</w:t>
            </w:r>
            <w:r w:rsidRPr="00F83434">
              <w:rPr>
                <w:rFonts w:asciiTheme="majorBidi" w:hAnsiTheme="majorBidi" w:cstheme="majorBidi"/>
                <w:sz w:val="24"/>
                <w:rtl/>
              </w:rPr>
              <w:t xml:space="preserve"> 6)، والتنوع البيولوجي (هدف</w:t>
            </w:r>
            <w:r w:rsidR="00E14156" w:rsidRPr="00F83434">
              <w:rPr>
                <w:rFonts w:asciiTheme="majorBidi" w:hAnsiTheme="majorBidi" w:cstheme="majorBidi" w:hint="cs"/>
                <w:sz w:val="24"/>
                <w:rtl/>
              </w:rPr>
              <w:t xml:space="preserve"> </w:t>
            </w:r>
            <w:r w:rsidR="00E14156" w:rsidRPr="00F83434">
              <w:rPr>
                <w:rFonts w:asciiTheme="majorBidi" w:hAnsiTheme="majorBidi" w:cstheme="majorBidi" w:hint="cs"/>
                <w:sz w:val="24"/>
                <w:rtl/>
                <w:lang w:bidi="ar-EG"/>
              </w:rPr>
              <w:t>التنمية المستدامة</w:t>
            </w:r>
            <w:r w:rsidRPr="00F83434">
              <w:rPr>
                <w:rFonts w:asciiTheme="majorBidi" w:hAnsiTheme="majorBidi" w:cstheme="majorBidi"/>
                <w:sz w:val="24"/>
                <w:rtl/>
              </w:rPr>
              <w:t xml:space="preserve"> 15)، إلخ. وفي هذا السياق، من المحتمل أن </w:t>
            </w:r>
            <w:r w:rsidR="00E14156" w:rsidRPr="00F83434">
              <w:rPr>
                <w:rFonts w:asciiTheme="majorBidi" w:hAnsiTheme="majorBidi" w:cstheme="majorBidi" w:hint="cs"/>
                <w:sz w:val="24"/>
                <w:rtl/>
              </w:rPr>
              <w:t>يتمتع</w:t>
            </w:r>
            <w:r w:rsidRPr="00F83434">
              <w:rPr>
                <w:rFonts w:asciiTheme="majorBidi" w:hAnsiTheme="majorBidi" w:cstheme="majorBidi"/>
                <w:sz w:val="24"/>
                <w:rtl/>
              </w:rPr>
              <w:t xml:space="preserve"> هذا المؤشر </w:t>
            </w:r>
            <w:r w:rsidR="00E14156" w:rsidRPr="00F83434">
              <w:rPr>
                <w:rFonts w:asciiTheme="majorBidi" w:hAnsiTheme="majorBidi" w:cstheme="majorBidi" w:hint="cs"/>
                <w:sz w:val="24"/>
                <w:rtl/>
              </w:rPr>
              <w:t>ب</w:t>
            </w:r>
            <w:r w:rsidRPr="00F83434">
              <w:rPr>
                <w:rFonts w:asciiTheme="majorBidi" w:hAnsiTheme="majorBidi" w:cstheme="majorBidi"/>
                <w:sz w:val="24"/>
                <w:rtl/>
              </w:rPr>
              <w:t>التطبيق الأوسع نطاقًا لأهداف التنمية المستدامة.</w:t>
            </w:r>
            <w:r w:rsidR="00F45C2D" w:rsidRPr="00F83434">
              <w:rPr>
                <w:rFonts w:asciiTheme="majorBidi" w:hAnsiTheme="majorBidi" w:cstheme="majorBidi"/>
                <w:sz w:val="24"/>
              </w:rPr>
              <w:t xml:space="preserve"> </w:t>
            </w:r>
          </w:p>
          <w:p w14:paraId="717D534D" w14:textId="4892BCB3" w:rsidR="005473CF" w:rsidRPr="00F83434" w:rsidRDefault="00965F11" w:rsidP="00E66874">
            <w:pPr>
              <w:bidi/>
              <w:spacing w:before="120"/>
              <w:jc w:val="both"/>
              <w:rPr>
                <w:rFonts w:asciiTheme="majorBidi" w:hAnsiTheme="majorBidi" w:cstheme="majorBidi"/>
                <w:bCs/>
                <w:sz w:val="24"/>
              </w:rPr>
            </w:pPr>
            <w:r w:rsidRPr="00F83434">
              <w:rPr>
                <w:rFonts w:asciiTheme="majorBidi" w:hAnsiTheme="majorBidi" w:cstheme="majorBidi"/>
                <w:bCs/>
                <w:sz w:val="24"/>
                <w:rtl/>
              </w:rPr>
              <w:t>العلاقة بالمؤشرات الأخرى:</w:t>
            </w:r>
            <w:r w:rsidRPr="00F83434">
              <w:rPr>
                <w:rFonts w:asciiTheme="majorBidi" w:hAnsiTheme="majorBidi" w:cstheme="majorBidi"/>
                <w:b/>
                <w:sz w:val="24"/>
                <w:rtl/>
              </w:rPr>
              <w:t xml:space="preserve"> مع الأخذ في الاعتبار نطاق واسع من السياسات والتدابير القانونية والإدارية في عدد من قطاعات التنمية، </w:t>
            </w:r>
            <w:r w:rsidR="00E14156" w:rsidRPr="00F83434">
              <w:rPr>
                <w:rFonts w:asciiTheme="majorBidi" w:hAnsiTheme="majorBidi" w:cstheme="majorBidi"/>
                <w:b/>
                <w:sz w:val="24"/>
                <w:rtl/>
              </w:rPr>
              <w:t>يُكمل</w:t>
            </w:r>
            <w:r w:rsidR="00E14156" w:rsidRPr="00F83434">
              <w:rPr>
                <w:rFonts w:asciiTheme="majorBidi" w:hAnsiTheme="majorBidi" w:cstheme="majorBidi" w:hint="cs"/>
                <w:b/>
                <w:sz w:val="24"/>
                <w:rtl/>
              </w:rPr>
              <w:t xml:space="preserve"> </w:t>
            </w:r>
            <w:r w:rsidRPr="00F83434">
              <w:rPr>
                <w:rFonts w:asciiTheme="majorBidi" w:hAnsiTheme="majorBidi" w:cstheme="majorBidi"/>
                <w:b/>
                <w:sz w:val="24"/>
                <w:rtl/>
              </w:rPr>
              <w:t xml:space="preserve">المؤشر 13 المؤشر 11 الذي ينصب تركيزه على قطاع الثقافة، والمؤشر 12 الذي يركز على قطاع التعليم. وبدوره، يركز المؤشر 14 على بعض الشروط المستحسنة للسياسات والتدابير في كل قطاع. وبينما يتعلق المؤشر الحالي بسياق السياسة، يتناول المؤشران 15 </w:t>
            </w:r>
            <w:proofErr w:type="gramStart"/>
            <w:r w:rsidRPr="00F83434">
              <w:rPr>
                <w:rFonts w:asciiTheme="majorBidi" w:hAnsiTheme="majorBidi" w:cstheme="majorBidi"/>
                <w:b/>
                <w:sz w:val="24"/>
                <w:rtl/>
              </w:rPr>
              <w:t xml:space="preserve">و </w:t>
            </w:r>
            <w:r w:rsidR="00096438">
              <w:rPr>
                <w:rFonts w:asciiTheme="majorBidi" w:hAnsiTheme="majorBidi" w:cstheme="majorBidi"/>
                <w:b/>
                <w:sz w:val="24"/>
                <w:lang w:val="en-US"/>
              </w:rPr>
              <w:t>16</w:t>
            </w:r>
            <w:proofErr w:type="gramEnd"/>
            <w:r w:rsidR="00096438">
              <w:rPr>
                <w:rFonts w:asciiTheme="majorBidi" w:hAnsiTheme="majorBidi" w:cstheme="majorBidi"/>
                <w:b/>
                <w:sz w:val="24"/>
                <w:lang w:val="en-US"/>
              </w:rPr>
              <w:t xml:space="preserve"> </w:t>
            </w:r>
            <w:r w:rsidRPr="00F83434">
              <w:rPr>
                <w:rFonts w:asciiTheme="majorBidi" w:hAnsiTheme="majorBidi" w:cstheme="majorBidi"/>
                <w:b/>
                <w:sz w:val="24"/>
                <w:rtl/>
              </w:rPr>
              <w:t xml:space="preserve">البرامج والخطط التي </w:t>
            </w:r>
            <w:r w:rsidR="00932C19" w:rsidRPr="00F83434">
              <w:rPr>
                <w:rFonts w:asciiTheme="majorBidi" w:hAnsiTheme="majorBidi" w:cstheme="majorBidi" w:hint="cs"/>
                <w:b/>
                <w:sz w:val="24"/>
                <w:rtl/>
              </w:rPr>
              <w:t>تُترجم</w:t>
            </w:r>
            <w:r w:rsidRPr="00F83434">
              <w:rPr>
                <w:rFonts w:asciiTheme="majorBidi" w:hAnsiTheme="majorBidi" w:cstheme="majorBidi"/>
                <w:b/>
                <w:sz w:val="24"/>
                <w:rtl/>
              </w:rPr>
              <w:t xml:space="preserve"> من خلالها تلك السياسات إلى </w:t>
            </w:r>
            <w:r w:rsidR="00932C19" w:rsidRPr="00F83434">
              <w:rPr>
                <w:rFonts w:asciiTheme="majorBidi" w:hAnsiTheme="majorBidi" w:cstheme="majorBidi" w:hint="cs"/>
                <w:b/>
                <w:sz w:val="24"/>
                <w:rtl/>
              </w:rPr>
              <w:t>إجراءا</w:t>
            </w:r>
            <w:r w:rsidR="00932C19" w:rsidRPr="00F83434">
              <w:rPr>
                <w:rFonts w:asciiTheme="majorBidi" w:hAnsiTheme="majorBidi" w:cstheme="majorBidi" w:hint="eastAsia"/>
                <w:b/>
                <w:sz w:val="24"/>
                <w:rtl/>
              </w:rPr>
              <w:t>ت</w:t>
            </w:r>
            <w:r w:rsidRPr="00F83434">
              <w:rPr>
                <w:rFonts w:asciiTheme="majorBidi" w:hAnsiTheme="majorBidi" w:cstheme="majorBidi"/>
                <w:b/>
                <w:sz w:val="24"/>
                <w:rtl/>
              </w:rPr>
              <w:t>، لا سيما في مجال التنمية المستدامة.</w:t>
            </w:r>
          </w:p>
        </w:tc>
      </w:tr>
      <w:tr w:rsidR="00896177" w:rsidRPr="00FD5AA4" w14:paraId="29FB4F01" w14:textId="77777777" w:rsidTr="003F0FF9">
        <w:tc>
          <w:tcPr>
            <w:tcW w:w="786" w:type="pct"/>
            <w:shd w:val="clear" w:color="auto" w:fill="auto"/>
          </w:tcPr>
          <w:p w14:paraId="26CD9598" w14:textId="4B93FA7F" w:rsidR="00896177" w:rsidRPr="00F83434" w:rsidRDefault="003B5227" w:rsidP="00E66874">
            <w:pPr>
              <w:bidi/>
              <w:spacing w:before="120"/>
              <w:jc w:val="both"/>
              <w:rPr>
                <w:rFonts w:asciiTheme="majorBidi" w:hAnsiTheme="majorBidi" w:cstheme="majorBidi"/>
                <w:b/>
                <w:sz w:val="24"/>
              </w:rPr>
            </w:pPr>
            <w:r w:rsidRPr="00F83434">
              <w:rPr>
                <w:rFonts w:asciiTheme="majorBidi" w:hAnsiTheme="majorBidi" w:cstheme="majorBidi"/>
                <w:b/>
                <w:bCs/>
                <w:sz w:val="24"/>
                <w:rtl/>
              </w:rPr>
              <w:lastRenderedPageBreak/>
              <w:t xml:space="preserve">الأسس المنطقية </w:t>
            </w:r>
            <w:r w:rsidR="0079674B" w:rsidRPr="00F83434">
              <w:rPr>
                <w:rFonts w:asciiTheme="majorBidi" w:hAnsiTheme="majorBidi" w:cstheme="majorBidi" w:hint="cs"/>
                <w:b/>
                <w:bCs/>
                <w:sz w:val="24"/>
                <w:rtl/>
              </w:rPr>
              <w:t>للإجراءات</w:t>
            </w:r>
          </w:p>
        </w:tc>
        <w:tc>
          <w:tcPr>
            <w:tcW w:w="4214" w:type="pct"/>
            <w:gridSpan w:val="2"/>
            <w:shd w:val="clear" w:color="auto" w:fill="auto"/>
          </w:tcPr>
          <w:p w14:paraId="37F0BFD0" w14:textId="31D3E9E4" w:rsidR="00704766" w:rsidRPr="00F83434" w:rsidRDefault="006353E2" w:rsidP="00E66874">
            <w:pPr>
              <w:keepLines/>
              <w:bidi/>
              <w:spacing w:before="120"/>
              <w:jc w:val="both"/>
              <w:rPr>
                <w:rFonts w:asciiTheme="majorBidi" w:hAnsiTheme="majorBidi" w:cstheme="majorBidi"/>
                <w:sz w:val="24"/>
              </w:rPr>
            </w:pPr>
            <w:r w:rsidRPr="00F83434">
              <w:rPr>
                <w:rFonts w:asciiTheme="majorBidi" w:hAnsiTheme="majorBidi" w:cstheme="majorBidi"/>
                <w:sz w:val="24"/>
                <w:rtl/>
              </w:rPr>
              <w:t xml:space="preserve">تدعو الاتفاقية كل دولة إلى "اعتماد سياسة عامة تستهدف إبراز الدور الذي يؤديه التراث الثقافي غير المادي في المجتمع وإدماج صون هذا التراث في البرامج التخطيطية" (المادة 13(أ)). واستجابةً لذلك، اعتمدت الدول الفصل السادس من التوجيهات </w:t>
            </w:r>
            <w:r w:rsidR="00CC3294" w:rsidRPr="00F83434">
              <w:rPr>
                <w:rFonts w:asciiTheme="majorBidi" w:hAnsiTheme="majorBidi" w:cstheme="majorBidi" w:hint="cs"/>
                <w:sz w:val="24"/>
                <w:rtl/>
              </w:rPr>
              <w:t>التنفيذية</w:t>
            </w:r>
            <w:r w:rsidRPr="00F83434">
              <w:rPr>
                <w:rFonts w:asciiTheme="majorBidi" w:hAnsiTheme="majorBidi" w:cstheme="majorBidi"/>
                <w:sz w:val="24"/>
                <w:rtl/>
              </w:rPr>
              <w:t xml:space="preserve">، الذي يتناول العلاقات بين صون التراث الثقافي غير المادي والتنمية المستدامة (التوجيهات </w:t>
            </w:r>
            <w:r w:rsidR="00A31C8F" w:rsidRPr="00F83434">
              <w:rPr>
                <w:rFonts w:asciiTheme="majorBidi" w:hAnsiTheme="majorBidi" w:cstheme="majorBidi" w:hint="cs"/>
                <w:sz w:val="24"/>
                <w:rtl/>
              </w:rPr>
              <w:t>التنفيذية</w:t>
            </w:r>
            <w:r w:rsidRPr="00F83434">
              <w:rPr>
                <w:rFonts w:asciiTheme="majorBidi" w:hAnsiTheme="majorBidi" w:cstheme="majorBidi"/>
                <w:sz w:val="24"/>
                <w:rtl/>
              </w:rPr>
              <w:t xml:space="preserve"> 170-197)، كما تدعو إلى تنفيذ مجموعة من البرامج والأنشطة، جنبًا إلى جنب مع السياسات والتدابير القانونية والإدارية ل</w:t>
            </w:r>
            <w:r w:rsidR="00226016" w:rsidRPr="00F83434">
              <w:rPr>
                <w:rFonts w:asciiTheme="majorBidi" w:hAnsiTheme="majorBidi" w:cstheme="majorBidi" w:hint="cs"/>
                <w:sz w:val="24"/>
                <w:rtl/>
              </w:rPr>
              <w:t>إرشاد</w:t>
            </w:r>
            <w:r w:rsidRPr="00F83434">
              <w:rPr>
                <w:rFonts w:asciiTheme="majorBidi" w:hAnsiTheme="majorBidi" w:cstheme="majorBidi"/>
                <w:sz w:val="24"/>
                <w:rtl/>
              </w:rPr>
              <w:t xml:space="preserve"> مثل هذه البرامج وزيادة </w:t>
            </w:r>
            <w:r w:rsidR="0004557D" w:rsidRPr="00F83434">
              <w:rPr>
                <w:rFonts w:asciiTheme="majorBidi" w:hAnsiTheme="majorBidi" w:cstheme="majorBidi" w:hint="cs"/>
                <w:sz w:val="24"/>
                <w:rtl/>
              </w:rPr>
              <w:t>أ</w:t>
            </w:r>
            <w:r w:rsidRPr="00F83434">
              <w:rPr>
                <w:rFonts w:asciiTheme="majorBidi" w:hAnsiTheme="majorBidi" w:cstheme="majorBidi"/>
                <w:sz w:val="24"/>
                <w:rtl/>
              </w:rPr>
              <w:t xml:space="preserve">ثارها. تتناول عدد قليل من الدول، إن تناولت على الإطلاق، إعداد السياسات </w:t>
            </w:r>
            <w:r w:rsidR="000F778B" w:rsidRPr="00F83434">
              <w:rPr>
                <w:rFonts w:asciiTheme="majorBidi" w:hAnsiTheme="majorBidi" w:cstheme="majorBidi" w:hint="cs"/>
                <w:sz w:val="24"/>
                <w:rtl/>
              </w:rPr>
              <w:t xml:space="preserve">على نحو متزامن </w:t>
            </w:r>
            <w:r w:rsidRPr="00F83434">
              <w:rPr>
                <w:rFonts w:asciiTheme="majorBidi" w:hAnsiTheme="majorBidi" w:cstheme="majorBidi"/>
                <w:sz w:val="24"/>
                <w:rtl/>
              </w:rPr>
              <w:t xml:space="preserve">في النطاق الكامل للقطاعات الواردة في هذا المؤشر أو التوجيهات ذات الصلة، ولكن </w:t>
            </w:r>
            <w:r w:rsidR="00113797" w:rsidRPr="00F83434">
              <w:rPr>
                <w:rFonts w:asciiTheme="majorBidi" w:hAnsiTheme="majorBidi" w:cstheme="majorBidi" w:hint="cs"/>
                <w:sz w:val="24"/>
                <w:rtl/>
              </w:rPr>
              <w:t>سيدرك</w:t>
            </w:r>
            <w:r w:rsidRPr="00F83434">
              <w:rPr>
                <w:rFonts w:asciiTheme="majorBidi" w:hAnsiTheme="majorBidi" w:cstheme="majorBidi"/>
                <w:sz w:val="24"/>
                <w:rtl/>
              </w:rPr>
              <w:t xml:space="preserve"> الكثير</w:t>
            </w:r>
            <w:r w:rsidR="00113797" w:rsidRPr="00F83434">
              <w:rPr>
                <w:rFonts w:asciiTheme="majorBidi" w:hAnsiTheme="majorBidi" w:cstheme="majorBidi" w:hint="cs"/>
                <w:sz w:val="24"/>
                <w:rtl/>
              </w:rPr>
              <w:t>ون</w:t>
            </w:r>
            <w:r w:rsidRPr="00F83434">
              <w:rPr>
                <w:rFonts w:asciiTheme="majorBidi" w:hAnsiTheme="majorBidi" w:cstheme="majorBidi"/>
                <w:sz w:val="24"/>
                <w:rtl/>
              </w:rPr>
              <w:t xml:space="preserve"> أنه من المفيد وضع أو </w:t>
            </w:r>
            <w:r w:rsidR="00113797" w:rsidRPr="00F83434">
              <w:rPr>
                <w:rFonts w:asciiTheme="majorBidi" w:hAnsiTheme="majorBidi" w:cstheme="majorBidi" w:hint="cs"/>
                <w:sz w:val="24"/>
                <w:rtl/>
              </w:rPr>
              <w:t xml:space="preserve">تنقيح </w:t>
            </w:r>
            <w:r w:rsidRPr="00F83434">
              <w:rPr>
                <w:rFonts w:asciiTheme="majorBidi" w:hAnsiTheme="majorBidi" w:cstheme="majorBidi"/>
                <w:sz w:val="24"/>
                <w:rtl/>
              </w:rPr>
              <w:t>السياسات والتدابير القانونية والإدارية التي تتناول قطاعًا واحدًا أو أكثر من القطاعات المحددة هنا.</w:t>
            </w:r>
          </w:p>
        </w:tc>
      </w:tr>
      <w:tr w:rsidR="00704766" w:rsidRPr="00FD5AA4" w14:paraId="4FEABE19" w14:textId="77777777" w:rsidTr="003F0FF9">
        <w:tc>
          <w:tcPr>
            <w:tcW w:w="786" w:type="pct"/>
            <w:shd w:val="clear" w:color="auto" w:fill="auto"/>
          </w:tcPr>
          <w:p w14:paraId="2EF8C9B3" w14:textId="38EA9F20" w:rsidR="00704766" w:rsidRPr="00F83434" w:rsidRDefault="003B5227" w:rsidP="00E66874">
            <w:pPr>
              <w:bidi/>
              <w:spacing w:before="120" w:after="60"/>
              <w:jc w:val="both"/>
              <w:rPr>
                <w:rFonts w:asciiTheme="majorBidi" w:hAnsiTheme="majorBidi" w:cstheme="majorBidi"/>
                <w:b/>
                <w:sz w:val="24"/>
              </w:rPr>
            </w:pPr>
            <w:r w:rsidRPr="00F83434">
              <w:rPr>
                <w:rFonts w:asciiTheme="majorBidi" w:hAnsiTheme="majorBidi" w:cstheme="majorBidi"/>
                <w:b/>
                <w:bCs/>
                <w:sz w:val="24"/>
                <w:rtl/>
              </w:rPr>
              <w:t>المصطلحات الرئيسية</w:t>
            </w:r>
          </w:p>
        </w:tc>
        <w:tc>
          <w:tcPr>
            <w:tcW w:w="4214" w:type="pct"/>
            <w:gridSpan w:val="2"/>
            <w:shd w:val="clear" w:color="auto" w:fill="auto"/>
          </w:tcPr>
          <w:p w14:paraId="22CB906C" w14:textId="4CA69E3C" w:rsidR="00745F42" w:rsidRPr="00F83434" w:rsidRDefault="00147603"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745F42" w:rsidRPr="00F83434">
              <w:rPr>
                <w:rFonts w:asciiTheme="majorBidi" w:hAnsiTheme="majorBidi" w:cstheme="majorBidi"/>
                <w:sz w:val="24"/>
                <w:szCs w:val="24"/>
                <w:rtl/>
                <w:lang w:val="en-GB"/>
              </w:rPr>
              <w:t>سياسات</w:t>
            </w:r>
          </w:p>
          <w:p w14:paraId="767038DA" w14:textId="514F15AE" w:rsidR="00745F42" w:rsidRPr="00F83434" w:rsidRDefault="00147603"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تدابير</w:t>
            </w:r>
            <w:r w:rsidRPr="00F83434">
              <w:rPr>
                <w:rFonts w:asciiTheme="majorBidi" w:hAnsiTheme="majorBidi" w:cstheme="majorBidi" w:hint="cs"/>
                <w:sz w:val="24"/>
                <w:szCs w:val="24"/>
                <w:rtl/>
                <w:lang w:val="en-GB"/>
              </w:rPr>
              <w:t xml:space="preserve"> ال</w:t>
            </w:r>
            <w:r w:rsidR="00745F42" w:rsidRPr="00F83434">
              <w:rPr>
                <w:rFonts w:asciiTheme="majorBidi" w:hAnsiTheme="majorBidi" w:cstheme="majorBidi"/>
                <w:sz w:val="24"/>
                <w:szCs w:val="24"/>
                <w:rtl/>
                <w:lang w:val="en-GB"/>
              </w:rPr>
              <w:t>قانونية</w:t>
            </w:r>
          </w:p>
          <w:p w14:paraId="4A41F72F" w14:textId="606B0E50" w:rsidR="00745F42" w:rsidRPr="00F83434" w:rsidRDefault="00147603"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تدابير </w:t>
            </w:r>
            <w:r w:rsidRPr="00F83434">
              <w:rPr>
                <w:rFonts w:asciiTheme="majorBidi" w:hAnsiTheme="majorBidi" w:cstheme="majorBidi" w:hint="cs"/>
                <w:sz w:val="24"/>
                <w:szCs w:val="24"/>
                <w:rtl/>
                <w:lang w:val="en-GB"/>
              </w:rPr>
              <w:t>ال</w:t>
            </w:r>
            <w:r w:rsidR="00745F42" w:rsidRPr="00F83434">
              <w:rPr>
                <w:rFonts w:asciiTheme="majorBidi" w:hAnsiTheme="majorBidi" w:cstheme="majorBidi"/>
                <w:sz w:val="24"/>
                <w:szCs w:val="24"/>
                <w:rtl/>
                <w:lang w:val="en-GB"/>
              </w:rPr>
              <w:t>إدارية</w:t>
            </w:r>
          </w:p>
          <w:p w14:paraId="5FB4A6CE" w14:textId="0BC0D6BC" w:rsidR="00745F42" w:rsidRPr="00F83434" w:rsidRDefault="00745F42"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sz w:val="24"/>
                <w:szCs w:val="24"/>
                <w:rtl/>
                <w:lang w:val="en-GB"/>
              </w:rPr>
              <w:t>تنوع (التراث الثقافي غير المادي وممارسيه)</w:t>
            </w:r>
          </w:p>
          <w:p w14:paraId="307019C8" w14:textId="3D16036F" w:rsidR="00745F42" w:rsidRPr="00F83434" w:rsidRDefault="00147603"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مبادئ </w:t>
            </w:r>
            <w:r w:rsidRPr="00F83434">
              <w:rPr>
                <w:rFonts w:asciiTheme="majorBidi" w:hAnsiTheme="majorBidi" w:cstheme="majorBidi" w:hint="cs"/>
                <w:sz w:val="24"/>
                <w:szCs w:val="24"/>
                <w:rtl/>
                <w:lang w:val="en-GB"/>
              </w:rPr>
              <w:t>ال</w:t>
            </w:r>
            <w:r w:rsidR="00745F42" w:rsidRPr="00F83434">
              <w:rPr>
                <w:rFonts w:asciiTheme="majorBidi" w:hAnsiTheme="majorBidi" w:cstheme="majorBidi"/>
                <w:sz w:val="24"/>
                <w:szCs w:val="24"/>
                <w:rtl/>
                <w:lang w:val="en-GB"/>
              </w:rPr>
              <w:t>أخلاقية لصون التراث الثقافي غير المادي</w:t>
            </w:r>
          </w:p>
          <w:p w14:paraId="5799EB8A" w14:textId="224D47C8" w:rsidR="00745F42" w:rsidRPr="00F83434" w:rsidRDefault="00147603"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تنمية </w:t>
            </w:r>
            <w:r w:rsidR="00745F42" w:rsidRPr="00F83434">
              <w:rPr>
                <w:rFonts w:asciiTheme="majorBidi" w:hAnsiTheme="majorBidi" w:cstheme="majorBidi"/>
                <w:sz w:val="24"/>
                <w:szCs w:val="24"/>
                <w:rtl/>
                <w:lang w:val="en-GB"/>
              </w:rPr>
              <w:t xml:space="preserve">اجتماعية </w:t>
            </w:r>
            <w:r w:rsidRPr="00F83434">
              <w:rPr>
                <w:rFonts w:asciiTheme="majorBidi" w:hAnsiTheme="majorBidi" w:cstheme="majorBidi" w:hint="cs"/>
                <w:sz w:val="24"/>
                <w:szCs w:val="24"/>
                <w:rtl/>
                <w:lang w:val="en-GB"/>
              </w:rPr>
              <w:t>ال</w:t>
            </w:r>
            <w:r w:rsidR="00745F42" w:rsidRPr="00F83434">
              <w:rPr>
                <w:rFonts w:asciiTheme="majorBidi" w:hAnsiTheme="majorBidi" w:cstheme="majorBidi"/>
                <w:sz w:val="24"/>
                <w:szCs w:val="24"/>
                <w:rtl/>
                <w:lang w:val="en-GB"/>
              </w:rPr>
              <w:t>شاملة</w:t>
            </w:r>
          </w:p>
          <w:p w14:paraId="46EDFDD3" w14:textId="1A8E734B" w:rsidR="00745F42" w:rsidRPr="00F83434" w:rsidRDefault="00147603" w:rsidP="00E66874">
            <w:pPr>
              <w:pStyle w:val="ListParagraph"/>
              <w:numPr>
                <w:ilvl w:val="0"/>
                <w:numId w:val="71"/>
              </w:numPr>
              <w:bidi/>
              <w:spacing w:before="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تنمية </w:t>
            </w: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اقتصادية </w:t>
            </w:r>
            <w:r w:rsidRPr="00F83434">
              <w:rPr>
                <w:rFonts w:asciiTheme="majorBidi" w:hAnsiTheme="majorBidi" w:cstheme="majorBidi" w:hint="cs"/>
                <w:sz w:val="24"/>
                <w:szCs w:val="24"/>
                <w:rtl/>
                <w:lang w:val="en-GB"/>
              </w:rPr>
              <w:t>ال</w:t>
            </w:r>
            <w:r w:rsidR="00745F42" w:rsidRPr="00F83434">
              <w:rPr>
                <w:rFonts w:asciiTheme="majorBidi" w:hAnsiTheme="majorBidi" w:cstheme="majorBidi"/>
                <w:sz w:val="24"/>
                <w:szCs w:val="24"/>
                <w:rtl/>
                <w:lang w:val="en-GB"/>
              </w:rPr>
              <w:t>شاملة</w:t>
            </w:r>
          </w:p>
          <w:p w14:paraId="5A0D6BBB" w14:textId="56E44603" w:rsidR="00377899" w:rsidRPr="00F83434" w:rsidRDefault="00147603" w:rsidP="00E66874">
            <w:pPr>
              <w:pStyle w:val="ListParagraph"/>
              <w:numPr>
                <w:ilvl w:val="0"/>
                <w:numId w:val="71"/>
              </w:numPr>
              <w:bidi/>
              <w:spacing w:before="120" w:after="120"/>
              <w:jc w:val="both"/>
              <w:rPr>
                <w:rFonts w:asciiTheme="majorBidi" w:hAnsiTheme="majorBidi" w:cstheme="majorBidi"/>
                <w:sz w:val="24"/>
                <w:szCs w:val="24"/>
                <w:lang w:val="en-GB"/>
              </w:rPr>
            </w:pP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موارد </w:t>
            </w: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طبيعية وغيرها من </w:t>
            </w:r>
            <w:r w:rsidRPr="00F83434">
              <w:rPr>
                <w:rFonts w:asciiTheme="majorBidi" w:hAnsiTheme="majorBidi" w:cstheme="majorBidi" w:hint="cs"/>
                <w:sz w:val="24"/>
                <w:szCs w:val="24"/>
                <w:rtl/>
                <w:lang w:val="en-GB"/>
              </w:rPr>
              <w:t>ال</w:t>
            </w:r>
            <w:r w:rsidR="002D619F" w:rsidRPr="00F83434">
              <w:rPr>
                <w:rFonts w:asciiTheme="majorBidi" w:hAnsiTheme="majorBidi" w:cstheme="majorBidi"/>
                <w:sz w:val="24"/>
                <w:szCs w:val="24"/>
                <w:rtl/>
                <w:lang w:val="en-GB"/>
              </w:rPr>
              <w:t xml:space="preserve">موارد </w:t>
            </w:r>
            <w:r w:rsidRPr="00F83434">
              <w:rPr>
                <w:rFonts w:asciiTheme="majorBidi" w:hAnsiTheme="majorBidi" w:cstheme="majorBidi" w:hint="cs"/>
                <w:sz w:val="24"/>
                <w:szCs w:val="24"/>
                <w:rtl/>
                <w:lang w:val="en-GB"/>
              </w:rPr>
              <w:t>ا</w:t>
            </w:r>
            <w:r w:rsidR="00745F42" w:rsidRPr="00F83434">
              <w:rPr>
                <w:rFonts w:asciiTheme="majorBidi" w:hAnsiTheme="majorBidi" w:cstheme="majorBidi"/>
                <w:sz w:val="24"/>
                <w:szCs w:val="24"/>
                <w:rtl/>
                <w:lang w:val="en-GB"/>
              </w:rPr>
              <w:t>لازمة لممارسة التراث الثقافي غير المادي</w:t>
            </w:r>
          </w:p>
        </w:tc>
      </w:tr>
    </w:tbl>
    <w:p w14:paraId="7B8BA4C3" w14:textId="77777777" w:rsidR="0054175C" w:rsidRPr="00FD5AA4" w:rsidRDefault="0054175C" w:rsidP="00E66874">
      <w:pPr>
        <w:bidi/>
        <w:jc w:val="center"/>
        <w:rPr>
          <w:rFonts w:asciiTheme="majorBidi" w:hAnsiTheme="majorBidi" w:cstheme="majorBidi"/>
          <w:b/>
          <w:sz w:val="24"/>
        </w:rPr>
        <w:sectPr w:rsidR="0054175C" w:rsidRPr="00FD5AA4" w:rsidSect="000F25BA">
          <w:footerReference w:type="default" r:id="rId8"/>
          <w:pgSz w:w="11906" w:h="16838" w:code="9"/>
          <w:pgMar w:top="1418" w:right="1134" w:bottom="1134" w:left="1134" w:header="397" w:footer="284" w:gutter="0"/>
          <w:cols w:space="708"/>
          <w:docGrid w:linePitch="360"/>
        </w:sectPr>
      </w:pPr>
    </w:p>
    <w:p w14:paraId="47C01350" w14:textId="405E0707" w:rsidR="00436C18" w:rsidRPr="00113797" w:rsidRDefault="00436C18" w:rsidP="00E66874">
      <w:pPr>
        <w:bidi/>
        <w:jc w:val="center"/>
        <w:rPr>
          <w:rFonts w:asciiTheme="majorBidi" w:hAnsiTheme="majorBidi" w:cstheme="majorBidi"/>
          <w:bCs/>
          <w:sz w:val="28"/>
          <w:szCs w:val="28"/>
        </w:rPr>
      </w:pPr>
      <w:r w:rsidRPr="00113797">
        <w:rPr>
          <w:rFonts w:asciiTheme="majorBidi" w:hAnsiTheme="majorBidi" w:cstheme="majorBidi"/>
          <w:bCs/>
          <w:sz w:val="28"/>
          <w:szCs w:val="28"/>
          <w:rtl/>
        </w:rPr>
        <w:t xml:space="preserve">التوجيهات المحددة بشأن الرصد </w:t>
      </w:r>
      <w:proofErr w:type="spellStart"/>
      <w:r w:rsidRPr="00113797">
        <w:rPr>
          <w:rFonts w:asciiTheme="majorBidi" w:hAnsiTheme="majorBidi" w:cstheme="majorBidi"/>
          <w:bCs/>
          <w:sz w:val="28"/>
          <w:szCs w:val="28"/>
          <w:rtl/>
        </w:rPr>
        <w:t>و</w:t>
      </w:r>
      <w:r w:rsidR="00113797" w:rsidRPr="00113797">
        <w:rPr>
          <w:rFonts w:asciiTheme="majorBidi" w:hAnsiTheme="majorBidi" w:cstheme="majorBidi" w:hint="cs"/>
          <w:bCs/>
          <w:sz w:val="28"/>
          <w:szCs w:val="28"/>
          <w:rtl/>
        </w:rPr>
        <w:t>ال</w:t>
      </w:r>
      <w:r w:rsidR="00480FC9">
        <w:rPr>
          <w:rFonts w:asciiTheme="majorBidi" w:hAnsiTheme="majorBidi" w:cstheme="majorBidi" w:hint="cs"/>
          <w:bCs/>
          <w:sz w:val="28"/>
          <w:szCs w:val="28"/>
          <w:rtl/>
        </w:rPr>
        <w:t>لتقرير</w:t>
      </w:r>
      <w:r w:rsidRPr="00113797">
        <w:rPr>
          <w:rFonts w:asciiTheme="majorBidi" w:hAnsiTheme="majorBidi" w:cstheme="majorBidi"/>
          <w:bCs/>
          <w:sz w:val="28"/>
          <w:szCs w:val="28"/>
          <w:rtl/>
        </w:rPr>
        <w:t>الدوري</w:t>
      </w:r>
      <w:proofErr w:type="spell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FD5AA4" w14:paraId="22C3A027" w14:textId="77777777" w:rsidTr="003F0FF9">
        <w:tc>
          <w:tcPr>
            <w:tcW w:w="730" w:type="pct"/>
            <w:shd w:val="clear" w:color="auto" w:fill="auto"/>
          </w:tcPr>
          <w:p w14:paraId="3250D3A5" w14:textId="3F3264C2" w:rsidR="002C28BA" w:rsidRPr="00FD5AA4" w:rsidRDefault="00436C18" w:rsidP="00E66874">
            <w:pPr>
              <w:bidi/>
              <w:spacing w:before="120"/>
              <w:rPr>
                <w:rFonts w:asciiTheme="majorBidi" w:hAnsiTheme="majorBidi" w:cstheme="majorBidi"/>
                <w:b/>
                <w:sz w:val="24"/>
              </w:rPr>
            </w:pPr>
            <w:r w:rsidRPr="00FD5AA4">
              <w:rPr>
                <w:rFonts w:asciiTheme="majorBidi" w:hAnsiTheme="majorBidi" w:cstheme="majorBidi"/>
                <w:b/>
                <w:bCs/>
                <w:sz w:val="24"/>
                <w:rtl/>
              </w:rPr>
              <w:t>فوائد الرصد</w:t>
            </w:r>
          </w:p>
        </w:tc>
        <w:tc>
          <w:tcPr>
            <w:tcW w:w="4270" w:type="pct"/>
            <w:shd w:val="clear" w:color="auto" w:fill="auto"/>
          </w:tcPr>
          <w:p w14:paraId="61D42606" w14:textId="6C424F4C" w:rsidR="002C28BA" w:rsidRPr="00FD5AA4" w:rsidRDefault="00E971B8" w:rsidP="00E66874">
            <w:pPr>
              <w:keepLines/>
              <w:bidi/>
              <w:spacing w:before="120"/>
              <w:jc w:val="both"/>
              <w:rPr>
                <w:rFonts w:asciiTheme="majorBidi" w:hAnsiTheme="majorBidi" w:cstheme="majorBidi"/>
                <w:b/>
                <w:sz w:val="24"/>
              </w:rPr>
            </w:pPr>
            <w:r w:rsidRPr="00FD5AA4">
              <w:rPr>
                <w:rFonts w:asciiTheme="majorBidi" w:hAnsiTheme="majorBidi" w:cstheme="majorBidi"/>
                <w:b/>
                <w:sz w:val="24"/>
                <w:rtl/>
              </w:rPr>
              <w:t xml:space="preserve">قد يساعد رصد هذا المؤشر الدولة في تحديد مدى </w:t>
            </w:r>
            <w:r w:rsidR="0012058B">
              <w:rPr>
                <w:rFonts w:asciiTheme="majorBidi" w:hAnsiTheme="majorBidi" w:cstheme="majorBidi" w:hint="cs"/>
                <w:b/>
                <w:sz w:val="24"/>
                <w:rtl/>
              </w:rPr>
              <w:t>إدراج</w:t>
            </w:r>
            <w:r w:rsidRPr="00FD5AA4">
              <w:rPr>
                <w:rFonts w:asciiTheme="majorBidi" w:hAnsiTheme="majorBidi" w:cstheme="majorBidi"/>
                <w:b/>
                <w:sz w:val="24"/>
                <w:rtl/>
              </w:rPr>
              <w:t xml:space="preserve"> التراث الثقافي غير المادي وصونه في السياسات والتدابير القانونية والإدارية الهادفة إلى التنمية المستدامة. وعلى الرغم من أن المؤشرات الأخرى تتناول البرامج والأنشطة المنفذة بما يتماشى مع هذه السياسات، </w:t>
            </w:r>
            <w:r w:rsidR="009A7D32">
              <w:rPr>
                <w:rFonts w:asciiTheme="majorBidi" w:hAnsiTheme="majorBidi" w:cstheme="majorBidi" w:hint="cs"/>
                <w:b/>
                <w:sz w:val="24"/>
                <w:rtl/>
              </w:rPr>
              <w:t xml:space="preserve">إلا أنه </w:t>
            </w:r>
            <w:r w:rsidRPr="00FD5AA4">
              <w:rPr>
                <w:rFonts w:asciiTheme="majorBidi" w:hAnsiTheme="majorBidi" w:cstheme="majorBidi"/>
                <w:b/>
                <w:sz w:val="24"/>
                <w:rtl/>
              </w:rPr>
              <w:t xml:space="preserve">من المهم رصد سياق السياسة نفسه، وخاصةً ما إذا كان يعكس اهتمام الدولة بصون التراث الثقافي غير المادي والمبادئ المنصوص عليها في المبادئ الأخلاقية لصون التراث الثقافي غير المادي. </w:t>
            </w:r>
            <w:r w:rsidR="009A7D32">
              <w:rPr>
                <w:rFonts w:asciiTheme="majorBidi" w:hAnsiTheme="majorBidi" w:cstheme="majorBidi" w:hint="cs"/>
                <w:b/>
                <w:sz w:val="24"/>
                <w:rtl/>
              </w:rPr>
              <w:t>يوجد</w:t>
            </w:r>
            <w:r w:rsidRPr="00FD5AA4">
              <w:rPr>
                <w:rFonts w:asciiTheme="majorBidi" w:hAnsiTheme="majorBidi" w:cstheme="majorBidi"/>
                <w:b/>
                <w:sz w:val="24"/>
                <w:rtl/>
              </w:rPr>
              <w:t xml:space="preserve"> العديد من الروابط الممكنة بين صون التراث الثقافي غير المادي والتنمية المستدامة، و</w:t>
            </w:r>
            <w:r w:rsidR="009A7D32">
              <w:rPr>
                <w:rFonts w:asciiTheme="majorBidi" w:hAnsiTheme="majorBidi" w:cstheme="majorBidi" w:hint="cs"/>
                <w:b/>
                <w:sz w:val="24"/>
                <w:rtl/>
              </w:rPr>
              <w:t>يمكن أن</w:t>
            </w:r>
            <w:r w:rsidRPr="00FD5AA4">
              <w:rPr>
                <w:rFonts w:asciiTheme="majorBidi" w:hAnsiTheme="majorBidi" w:cstheme="majorBidi"/>
                <w:b/>
                <w:sz w:val="24"/>
                <w:rtl/>
              </w:rPr>
              <w:t xml:space="preserve"> يساعد الرصد الدولة في تحديد الفرص غير </w:t>
            </w:r>
            <w:r w:rsidR="009A7D32">
              <w:rPr>
                <w:rFonts w:asciiTheme="majorBidi" w:hAnsiTheme="majorBidi" w:cstheme="majorBidi" w:hint="cs"/>
                <w:b/>
                <w:sz w:val="24"/>
                <w:rtl/>
              </w:rPr>
              <w:t>المستغلة</w:t>
            </w:r>
            <w:r w:rsidRPr="00FD5AA4">
              <w:rPr>
                <w:rFonts w:asciiTheme="majorBidi" w:hAnsiTheme="majorBidi" w:cstheme="majorBidi"/>
                <w:b/>
                <w:sz w:val="24"/>
                <w:rtl/>
              </w:rPr>
              <w:t xml:space="preserve"> بعد لإعداد السياسات. </w:t>
            </w:r>
            <w:r w:rsidR="009A7D32">
              <w:rPr>
                <w:rFonts w:asciiTheme="majorBidi" w:hAnsiTheme="majorBidi" w:cstheme="majorBidi" w:hint="cs"/>
                <w:b/>
                <w:sz w:val="24"/>
                <w:rtl/>
              </w:rPr>
              <w:t xml:space="preserve">أما </w:t>
            </w:r>
            <w:r w:rsidRPr="00FD5AA4">
              <w:rPr>
                <w:rFonts w:asciiTheme="majorBidi" w:hAnsiTheme="majorBidi" w:cstheme="majorBidi"/>
                <w:b/>
                <w:sz w:val="24"/>
                <w:rtl/>
              </w:rPr>
              <w:t xml:space="preserve">على الصعيد العالمي، </w:t>
            </w:r>
            <w:r w:rsidR="009A7D32">
              <w:rPr>
                <w:rFonts w:asciiTheme="majorBidi" w:hAnsiTheme="majorBidi" w:cstheme="majorBidi" w:hint="cs"/>
                <w:b/>
                <w:sz w:val="24"/>
                <w:rtl/>
              </w:rPr>
              <w:t>يمكن أن</w:t>
            </w:r>
            <w:r w:rsidRPr="00FD5AA4">
              <w:rPr>
                <w:rFonts w:asciiTheme="majorBidi" w:hAnsiTheme="majorBidi" w:cstheme="majorBidi"/>
                <w:b/>
                <w:sz w:val="24"/>
                <w:rtl/>
              </w:rPr>
              <w:t xml:space="preserve"> يكشف الرصد عن مدى </w:t>
            </w:r>
            <w:r w:rsidR="009A7D32">
              <w:rPr>
                <w:rFonts w:asciiTheme="majorBidi" w:hAnsiTheme="majorBidi" w:cstheme="majorBidi" w:hint="cs"/>
                <w:b/>
                <w:sz w:val="24"/>
                <w:rtl/>
              </w:rPr>
              <w:t>إدراج</w:t>
            </w:r>
            <w:r w:rsidRPr="00FD5AA4">
              <w:rPr>
                <w:rFonts w:asciiTheme="majorBidi" w:hAnsiTheme="majorBidi" w:cstheme="majorBidi"/>
                <w:b/>
                <w:sz w:val="24"/>
                <w:rtl/>
              </w:rPr>
              <w:t xml:space="preserve"> الدول لصون التراث الثقافي غير المادي بابتكار في إعداد السياسات، و</w:t>
            </w:r>
            <w:r w:rsidR="009A7D32">
              <w:rPr>
                <w:rFonts w:asciiTheme="majorBidi" w:hAnsiTheme="majorBidi" w:cstheme="majorBidi" w:hint="cs"/>
                <w:b/>
                <w:sz w:val="24"/>
                <w:rtl/>
              </w:rPr>
              <w:t>يمكن أن</w:t>
            </w:r>
            <w:r w:rsidRPr="00FD5AA4">
              <w:rPr>
                <w:rFonts w:asciiTheme="majorBidi" w:hAnsiTheme="majorBidi" w:cstheme="majorBidi"/>
                <w:b/>
                <w:sz w:val="24"/>
                <w:rtl/>
              </w:rPr>
              <w:t xml:space="preserve"> يشير إلى المجالات الممكنة لتبادل الخبرات ووجهات النظر.</w:t>
            </w:r>
          </w:p>
        </w:tc>
      </w:tr>
      <w:tr w:rsidR="0054175C" w:rsidRPr="00FD5AA4" w14:paraId="33296D60" w14:textId="77777777" w:rsidTr="003F0FF9">
        <w:tc>
          <w:tcPr>
            <w:tcW w:w="730" w:type="pct"/>
            <w:shd w:val="clear" w:color="auto" w:fill="auto"/>
          </w:tcPr>
          <w:p w14:paraId="45E3C831" w14:textId="53F4B203" w:rsidR="0054175C" w:rsidRPr="00FD5AA4" w:rsidRDefault="00436C18" w:rsidP="00E66874">
            <w:pPr>
              <w:bidi/>
              <w:spacing w:before="120"/>
              <w:rPr>
                <w:rFonts w:asciiTheme="majorBidi" w:hAnsiTheme="majorBidi" w:cstheme="majorBidi"/>
                <w:b/>
                <w:sz w:val="24"/>
              </w:rPr>
            </w:pPr>
            <w:r w:rsidRPr="00FD5AA4">
              <w:rPr>
                <w:rFonts w:asciiTheme="majorBidi" w:hAnsiTheme="majorBidi" w:cstheme="majorBidi"/>
                <w:b/>
                <w:bCs/>
                <w:sz w:val="24"/>
                <w:rtl/>
              </w:rPr>
              <w:t>مصادر البيانات وجمعها</w:t>
            </w:r>
          </w:p>
        </w:tc>
        <w:tc>
          <w:tcPr>
            <w:tcW w:w="4270" w:type="pct"/>
            <w:shd w:val="clear" w:color="auto" w:fill="auto"/>
          </w:tcPr>
          <w:p w14:paraId="39419936" w14:textId="3BB28E6C" w:rsidR="001F7D4B" w:rsidRPr="00FD5AA4" w:rsidRDefault="001F7D4B" w:rsidP="00E66874">
            <w:pPr>
              <w:keepNext/>
              <w:bidi/>
              <w:spacing w:before="120" w:after="60"/>
              <w:jc w:val="both"/>
              <w:rPr>
                <w:rFonts w:asciiTheme="majorBidi" w:hAnsiTheme="majorBidi" w:cstheme="majorBidi"/>
                <w:b/>
                <w:sz w:val="24"/>
                <w:rtl/>
              </w:rPr>
            </w:pPr>
            <w:r w:rsidRPr="00FD5AA4">
              <w:rPr>
                <w:rFonts w:asciiTheme="majorBidi" w:hAnsiTheme="majorBidi" w:cstheme="majorBidi"/>
                <w:b/>
                <w:sz w:val="24"/>
                <w:rtl/>
              </w:rPr>
              <w:t xml:space="preserve">قد تكون الدول قد أنشأت هيئة استشارية شاملة ومتعددة القطاعات أو آلية تنسيق تضم أعضاء من مختلف الوزارات المعنية بالتنمية. كما قد توجد وزارة </w:t>
            </w:r>
            <w:r w:rsidR="009A7D32">
              <w:rPr>
                <w:rFonts w:asciiTheme="majorBidi" w:hAnsiTheme="majorBidi" w:cstheme="majorBidi" w:hint="cs"/>
                <w:b/>
                <w:sz w:val="24"/>
                <w:rtl/>
              </w:rPr>
              <w:t>لل</w:t>
            </w:r>
            <w:r w:rsidRPr="00FD5AA4">
              <w:rPr>
                <w:rFonts w:asciiTheme="majorBidi" w:hAnsiTheme="majorBidi" w:cstheme="majorBidi"/>
                <w:b/>
                <w:sz w:val="24"/>
                <w:rtl/>
              </w:rPr>
              <w:t>تخطيط أو وزارة</w:t>
            </w:r>
            <w:r w:rsidR="009A7D32">
              <w:rPr>
                <w:rFonts w:asciiTheme="majorBidi" w:hAnsiTheme="majorBidi" w:cstheme="majorBidi" w:hint="cs"/>
                <w:b/>
                <w:sz w:val="24"/>
                <w:rtl/>
              </w:rPr>
              <w:t xml:space="preserve"> ل</w:t>
            </w:r>
            <w:r w:rsidRPr="00FD5AA4">
              <w:rPr>
                <w:rFonts w:asciiTheme="majorBidi" w:hAnsiTheme="majorBidi" w:cstheme="majorBidi"/>
                <w:b/>
                <w:sz w:val="24"/>
                <w:rtl/>
              </w:rPr>
              <w:t xml:space="preserve">لتنمية المستدامة </w:t>
            </w:r>
            <w:r w:rsidR="009A7D32">
              <w:rPr>
                <w:rFonts w:asciiTheme="majorBidi" w:hAnsiTheme="majorBidi" w:cstheme="majorBidi" w:hint="cs"/>
                <w:b/>
                <w:sz w:val="24"/>
                <w:rtl/>
              </w:rPr>
              <w:t>تعطي</w:t>
            </w:r>
            <w:r w:rsidRPr="00FD5AA4">
              <w:rPr>
                <w:rFonts w:asciiTheme="majorBidi" w:hAnsiTheme="majorBidi" w:cstheme="majorBidi"/>
                <w:b/>
                <w:sz w:val="24"/>
                <w:rtl/>
              </w:rPr>
              <w:t xml:space="preserve"> لمحة عامة واسعة النطاق للسياسات في هذا المجال. وفي حالة </w:t>
            </w:r>
            <w:r w:rsidR="009A7D32">
              <w:rPr>
                <w:rFonts w:asciiTheme="majorBidi" w:hAnsiTheme="majorBidi" w:cstheme="majorBidi" w:hint="cs"/>
                <w:b/>
                <w:sz w:val="24"/>
                <w:rtl/>
              </w:rPr>
              <w:t>الافتقار</w:t>
            </w:r>
            <w:r w:rsidRPr="00FD5AA4">
              <w:rPr>
                <w:rFonts w:asciiTheme="majorBidi" w:hAnsiTheme="majorBidi" w:cstheme="majorBidi"/>
                <w:b/>
                <w:sz w:val="24"/>
                <w:rtl/>
              </w:rPr>
              <w:t xml:space="preserve"> </w:t>
            </w:r>
            <w:r w:rsidR="009A7D32">
              <w:rPr>
                <w:rFonts w:asciiTheme="majorBidi" w:hAnsiTheme="majorBidi" w:cstheme="majorBidi" w:hint="cs"/>
                <w:b/>
                <w:sz w:val="24"/>
                <w:rtl/>
              </w:rPr>
              <w:t>ل</w:t>
            </w:r>
            <w:r w:rsidRPr="00FD5AA4">
              <w:rPr>
                <w:rFonts w:asciiTheme="majorBidi" w:hAnsiTheme="majorBidi" w:cstheme="majorBidi"/>
                <w:b/>
                <w:sz w:val="24"/>
                <w:rtl/>
              </w:rPr>
              <w:t xml:space="preserve">آلية تنسيق أو وزارة مخصصة، قد يحتاج المسؤولون عن الرصد </w:t>
            </w:r>
            <w:r w:rsidR="009A7D32" w:rsidRPr="00FD5AA4">
              <w:rPr>
                <w:rFonts w:asciiTheme="majorBidi" w:hAnsiTheme="majorBidi" w:cstheme="majorBidi" w:hint="cs"/>
                <w:b/>
                <w:sz w:val="24"/>
                <w:rtl/>
              </w:rPr>
              <w:t>وا</w:t>
            </w:r>
            <w:r w:rsidR="00480FC9">
              <w:rPr>
                <w:rFonts w:asciiTheme="majorBidi" w:hAnsiTheme="majorBidi" w:cstheme="majorBidi" w:hint="cs"/>
                <w:b/>
                <w:sz w:val="24"/>
                <w:rtl/>
              </w:rPr>
              <w:t xml:space="preserve">عداد </w:t>
            </w:r>
            <w:proofErr w:type="gramStart"/>
            <w:r w:rsidR="00480FC9">
              <w:rPr>
                <w:rFonts w:asciiTheme="majorBidi" w:hAnsiTheme="majorBidi" w:cstheme="majorBidi" w:hint="cs"/>
                <w:b/>
                <w:sz w:val="24"/>
                <w:rtl/>
              </w:rPr>
              <w:t>التقرير</w:t>
            </w:r>
            <w:r w:rsidRPr="00FD5AA4">
              <w:rPr>
                <w:rFonts w:asciiTheme="majorBidi" w:hAnsiTheme="majorBidi" w:cstheme="majorBidi"/>
                <w:b/>
                <w:sz w:val="24"/>
                <w:rtl/>
              </w:rPr>
              <w:t xml:space="preserve"> </w:t>
            </w:r>
            <w:r w:rsidR="00480FC9">
              <w:rPr>
                <w:rFonts w:asciiTheme="majorBidi" w:hAnsiTheme="majorBidi" w:cstheme="majorBidi" w:hint="cs"/>
                <w:b/>
                <w:sz w:val="24"/>
                <w:rtl/>
              </w:rPr>
              <w:t xml:space="preserve"> الرجوع</w:t>
            </w:r>
            <w:proofErr w:type="gramEnd"/>
            <w:r w:rsidR="00480FC9">
              <w:rPr>
                <w:rFonts w:asciiTheme="majorBidi" w:hAnsiTheme="majorBidi" w:cstheme="majorBidi" w:hint="cs"/>
                <w:b/>
                <w:sz w:val="24"/>
                <w:rtl/>
              </w:rPr>
              <w:t xml:space="preserve"> </w:t>
            </w:r>
            <w:proofErr w:type="spellStart"/>
            <w:r w:rsidR="00480FC9">
              <w:rPr>
                <w:rFonts w:asciiTheme="majorBidi" w:hAnsiTheme="majorBidi" w:cstheme="majorBidi" w:hint="cs"/>
                <w:b/>
                <w:sz w:val="24"/>
                <w:rtl/>
              </w:rPr>
              <w:t>الى</w:t>
            </w:r>
            <w:r w:rsidRPr="00FD5AA4">
              <w:rPr>
                <w:rFonts w:asciiTheme="majorBidi" w:hAnsiTheme="majorBidi" w:cstheme="majorBidi"/>
                <w:b/>
                <w:sz w:val="24"/>
                <w:rtl/>
              </w:rPr>
              <w:t>استشارة</w:t>
            </w:r>
            <w:proofErr w:type="spellEnd"/>
            <w:r w:rsidRPr="00FD5AA4">
              <w:rPr>
                <w:rFonts w:asciiTheme="majorBidi" w:hAnsiTheme="majorBidi" w:cstheme="majorBidi"/>
                <w:b/>
                <w:sz w:val="24"/>
                <w:rtl/>
              </w:rPr>
              <w:t xml:space="preserve"> السياسات و/أو الوثائق القانونية والإدارية للوزارات المعنية </w:t>
            </w:r>
            <w:r w:rsidR="00C81EBC" w:rsidRPr="00FD5AA4">
              <w:rPr>
                <w:rFonts w:asciiTheme="majorBidi" w:hAnsiTheme="majorBidi" w:cstheme="majorBidi"/>
                <w:b/>
                <w:sz w:val="24"/>
                <w:rtl/>
              </w:rPr>
              <w:t>المشاركة</w:t>
            </w:r>
            <w:r w:rsidRPr="00FD5AA4">
              <w:rPr>
                <w:rFonts w:asciiTheme="majorBidi" w:hAnsiTheme="majorBidi" w:cstheme="majorBidi"/>
                <w:b/>
                <w:sz w:val="24"/>
                <w:rtl/>
              </w:rPr>
              <w:t xml:space="preserve"> في التنمية المستدامة.</w:t>
            </w:r>
          </w:p>
          <w:p w14:paraId="7C648894" w14:textId="249F8F4D" w:rsidR="00780E80" w:rsidRPr="00FD5AA4" w:rsidRDefault="00780E80" w:rsidP="00E66874">
            <w:pPr>
              <w:keepNext/>
              <w:bidi/>
              <w:spacing w:before="120" w:after="60"/>
              <w:jc w:val="both"/>
              <w:rPr>
                <w:rFonts w:asciiTheme="majorBidi" w:hAnsiTheme="majorBidi" w:cstheme="majorBidi"/>
                <w:bCs/>
                <w:sz w:val="24"/>
              </w:rPr>
            </w:pPr>
            <w:r w:rsidRPr="00FD5AA4">
              <w:rPr>
                <w:rFonts w:asciiTheme="majorBidi" w:hAnsiTheme="majorBidi" w:cstheme="majorBidi"/>
                <w:bCs/>
                <w:sz w:val="24"/>
                <w:rtl/>
              </w:rPr>
              <w:t>مصادر البيانات المحتملة</w:t>
            </w:r>
          </w:p>
          <w:p w14:paraId="461CFAD5" w14:textId="75BD7154" w:rsidR="00C26DAC" w:rsidRPr="00FD5AA4" w:rsidRDefault="002D619F" w:rsidP="00E66874">
            <w:pPr>
              <w:pStyle w:val="ListParagraph"/>
              <w:numPr>
                <w:ilvl w:val="0"/>
                <w:numId w:val="73"/>
              </w:numPr>
              <w:bidi/>
              <w:spacing w:before="120"/>
              <w:jc w:val="both"/>
              <w:rPr>
                <w:rFonts w:asciiTheme="majorBidi" w:hAnsiTheme="majorBidi" w:cstheme="majorBidi"/>
                <w:sz w:val="24"/>
                <w:szCs w:val="24"/>
                <w:lang w:val="en-GB"/>
              </w:rPr>
            </w:pPr>
            <w:r w:rsidRPr="00FD5AA4">
              <w:rPr>
                <w:rFonts w:asciiTheme="majorBidi" w:hAnsiTheme="majorBidi" w:cstheme="majorBidi"/>
                <w:sz w:val="24"/>
                <w:szCs w:val="24"/>
                <w:rtl/>
                <w:lang w:val="en-GB"/>
              </w:rPr>
              <w:t xml:space="preserve">مجلات رسمية أو مجموعات قوانين ولوائح </w:t>
            </w:r>
            <w:r w:rsidR="00C26DAC" w:rsidRPr="00FD5AA4">
              <w:rPr>
                <w:rFonts w:asciiTheme="majorBidi" w:hAnsiTheme="majorBidi" w:cstheme="majorBidi"/>
                <w:sz w:val="24"/>
                <w:szCs w:val="24"/>
                <w:rtl/>
                <w:lang w:val="en-GB"/>
              </w:rPr>
              <w:t>قانونية</w:t>
            </w:r>
          </w:p>
          <w:p w14:paraId="60CF90B3" w14:textId="5A003700" w:rsidR="00C26DAC" w:rsidRPr="00FD5AA4" w:rsidRDefault="002D619F" w:rsidP="00E66874">
            <w:pPr>
              <w:pStyle w:val="ListParagraph"/>
              <w:numPr>
                <w:ilvl w:val="0"/>
                <w:numId w:val="73"/>
              </w:numPr>
              <w:bidi/>
              <w:spacing w:before="120"/>
              <w:jc w:val="both"/>
              <w:rPr>
                <w:rFonts w:asciiTheme="majorBidi" w:hAnsiTheme="majorBidi" w:cstheme="majorBidi"/>
                <w:sz w:val="24"/>
                <w:szCs w:val="24"/>
                <w:lang w:val="en-GB"/>
              </w:rPr>
            </w:pPr>
            <w:r w:rsidRPr="00FD5AA4">
              <w:rPr>
                <w:rFonts w:asciiTheme="majorBidi" w:hAnsiTheme="majorBidi" w:cstheme="majorBidi"/>
                <w:sz w:val="24"/>
                <w:szCs w:val="24"/>
                <w:rtl/>
                <w:lang w:val="en-GB"/>
              </w:rPr>
              <w:t xml:space="preserve">وثائق </w:t>
            </w:r>
            <w:r w:rsidR="00C26DAC" w:rsidRPr="00FD5AA4">
              <w:rPr>
                <w:rFonts w:asciiTheme="majorBidi" w:hAnsiTheme="majorBidi" w:cstheme="majorBidi"/>
                <w:sz w:val="24"/>
                <w:szCs w:val="24"/>
                <w:rtl/>
                <w:lang w:val="en-GB"/>
              </w:rPr>
              <w:t xml:space="preserve">سياسات </w:t>
            </w:r>
            <w:r w:rsidR="007E6949">
              <w:rPr>
                <w:rFonts w:asciiTheme="majorBidi" w:hAnsiTheme="majorBidi" w:cstheme="majorBidi" w:hint="cs"/>
                <w:sz w:val="24"/>
                <w:szCs w:val="24"/>
                <w:rtl/>
                <w:lang w:val="en-GB"/>
              </w:rPr>
              <w:t>ا</w:t>
            </w:r>
            <w:r w:rsidR="00C26DAC" w:rsidRPr="00FD5AA4">
              <w:rPr>
                <w:rFonts w:asciiTheme="majorBidi" w:hAnsiTheme="majorBidi" w:cstheme="majorBidi"/>
                <w:sz w:val="24"/>
                <w:szCs w:val="24"/>
                <w:rtl/>
                <w:lang w:val="en-GB"/>
              </w:rPr>
              <w:t xml:space="preserve">لوزارات المعنية </w:t>
            </w:r>
            <w:r w:rsidR="00331BFD" w:rsidRPr="00FD5AA4">
              <w:rPr>
                <w:rFonts w:asciiTheme="majorBidi" w:hAnsiTheme="majorBidi" w:cstheme="majorBidi"/>
                <w:sz w:val="24"/>
                <w:szCs w:val="24"/>
                <w:rtl/>
                <w:lang w:val="en-GB"/>
              </w:rPr>
              <w:t xml:space="preserve">المشاركة </w:t>
            </w:r>
            <w:r w:rsidR="00C26DAC" w:rsidRPr="00FD5AA4">
              <w:rPr>
                <w:rFonts w:asciiTheme="majorBidi" w:hAnsiTheme="majorBidi" w:cstheme="majorBidi"/>
                <w:sz w:val="24"/>
                <w:szCs w:val="24"/>
                <w:rtl/>
                <w:lang w:val="en-GB"/>
              </w:rPr>
              <w:t xml:space="preserve">في التنمية المستدامة، وخاصة تلك العاملة في القطاعات المذكورة في الفصل السادس من التوجيهات </w:t>
            </w:r>
            <w:r w:rsidR="007E6949">
              <w:rPr>
                <w:rFonts w:asciiTheme="majorBidi" w:hAnsiTheme="majorBidi" w:cstheme="majorBidi" w:hint="cs"/>
                <w:sz w:val="24"/>
                <w:szCs w:val="24"/>
                <w:rtl/>
                <w:lang w:val="en-GB"/>
              </w:rPr>
              <w:t>التنفيذية</w:t>
            </w:r>
          </w:p>
          <w:p w14:paraId="15EF1346" w14:textId="0B634CD9" w:rsidR="00C26DAC" w:rsidRPr="00FD5AA4" w:rsidRDefault="002D619F" w:rsidP="00E66874">
            <w:pPr>
              <w:pStyle w:val="ListParagraph"/>
              <w:numPr>
                <w:ilvl w:val="0"/>
                <w:numId w:val="73"/>
              </w:numPr>
              <w:bidi/>
              <w:spacing w:before="120"/>
              <w:jc w:val="both"/>
              <w:rPr>
                <w:rFonts w:asciiTheme="majorBidi" w:hAnsiTheme="majorBidi" w:cstheme="majorBidi"/>
                <w:sz w:val="24"/>
                <w:szCs w:val="24"/>
                <w:lang w:val="en-GB"/>
              </w:rPr>
            </w:pPr>
            <w:r w:rsidRPr="00FD5AA4">
              <w:rPr>
                <w:rFonts w:asciiTheme="majorBidi" w:hAnsiTheme="majorBidi" w:cstheme="majorBidi"/>
                <w:sz w:val="24"/>
                <w:szCs w:val="24"/>
                <w:rtl/>
                <w:lang w:val="en-GB"/>
              </w:rPr>
              <w:t xml:space="preserve">ميزانيات وتقارير </w:t>
            </w:r>
            <w:r w:rsidR="00C26DAC" w:rsidRPr="00FD5AA4">
              <w:rPr>
                <w:rFonts w:asciiTheme="majorBidi" w:hAnsiTheme="majorBidi" w:cstheme="majorBidi"/>
                <w:sz w:val="24"/>
                <w:szCs w:val="24"/>
                <w:rtl/>
                <w:lang w:val="en-GB"/>
              </w:rPr>
              <w:t xml:space="preserve">مالية للوزارات المعنية </w:t>
            </w:r>
            <w:r w:rsidR="00331BFD" w:rsidRPr="00FD5AA4">
              <w:rPr>
                <w:rFonts w:asciiTheme="majorBidi" w:hAnsiTheme="majorBidi" w:cstheme="majorBidi"/>
                <w:sz w:val="24"/>
                <w:szCs w:val="24"/>
                <w:rtl/>
                <w:lang w:val="en-GB"/>
              </w:rPr>
              <w:t xml:space="preserve">المشاركة </w:t>
            </w:r>
            <w:r w:rsidR="00C26DAC" w:rsidRPr="00FD5AA4">
              <w:rPr>
                <w:rFonts w:asciiTheme="majorBidi" w:hAnsiTheme="majorBidi" w:cstheme="majorBidi"/>
                <w:sz w:val="24"/>
                <w:szCs w:val="24"/>
                <w:rtl/>
                <w:lang w:val="en-GB"/>
              </w:rPr>
              <w:t>في التنمية المستدامة</w:t>
            </w:r>
          </w:p>
          <w:p w14:paraId="0FC31BA8" w14:textId="58D64BB5" w:rsidR="00C26DAC" w:rsidRPr="00FD5AA4" w:rsidRDefault="002D619F" w:rsidP="00E66874">
            <w:pPr>
              <w:pStyle w:val="ListParagraph"/>
              <w:numPr>
                <w:ilvl w:val="0"/>
                <w:numId w:val="73"/>
              </w:numPr>
              <w:bidi/>
              <w:spacing w:before="120"/>
              <w:jc w:val="both"/>
              <w:rPr>
                <w:rFonts w:asciiTheme="majorBidi" w:hAnsiTheme="majorBidi" w:cstheme="majorBidi"/>
                <w:sz w:val="24"/>
                <w:szCs w:val="24"/>
                <w:lang w:val="en-GB"/>
              </w:rPr>
            </w:pPr>
            <w:r w:rsidRPr="00FD5AA4">
              <w:rPr>
                <w:rFonts w:asciiTheme="majorBidi" w:hAnsiTheme="majorBidi" w:cstheme="majorBidi"/>
                <w:sz w:val="24"/>
                <w:szCs w:val="24"/>
                <w:rtl/>
                <w:lang w:val="en-GB"/>
              </w:rPr>
              <w:t xml:space="preserve">استراتيجية </w:t>
            </w:r>
            <w:r w:rsidR="00C26DAC" w:rsidRPr="00FD5AA4">
              <w:rPr>
                <w:rFonts w:asciiTheme="majorBidi" w:hAnsiTheme="majorBidi" w:cstheme="majorBidi"/>
                <w:sz w:val="24"/>
                <w:szCs w:val="24"/>
                <w:rtl/>
                <w:lang w:val="en-GB"/>
              </w:rPr>
              <w:t>وطنية للتنمية المستدامة</w:t>
            </w:r>
            <w:r w:rsidRPr="00FD5AA4">
              <w:rPr>
                <w:rFonts w:asciiTheme="majorBidi" w:hAnsiTheme="majorBidi" w:cstheme="majorBidi"/>
                <w:sz w:val="24"/>
                <w:szCs w:val="24"/>
                <w:rtl/>
                <w:lang w:val="en-GB"/>
              </w:rPr>
              <w:t>،</w:t>
            </w:r>
            <w:r w:rsidR="00C26DAC" w:rsidRPr="00FD5AA4">
              <w:rPr>
                <w:rFonts w:asciiTheme="majorBidi" w:hAnsiTheme="majorBidi" w:cstheme="majorBidi"/>
                <w:sz w:val="24"/>
                <w:szCs w:val="24"/>
                <w:rtl/>
                <w:lang w:val="en-GB"/>
              </w:rPr>
              <w:t xml:space="preserve"> مثل خطة خمسية أو خطة عشرية</w:t>
            </w:r>
          </w:p>
          <w:p w14:paraId="4B08AA7D" w14:textId="4C0E9BC7" w:rsidR="00C26DAC" w:rsidRPr="00FD5AA4" w:rsidRDefault="002D619F" w:rsidP="00E66874">
            <w:pPr>
              <w:pStyle w:val="ListParagraph"/>
              <w:numPr>
                <w:ilvl w:val="0"/>
                <w:numId w:val="73"/>
              </w:numPr>
              <w:bidi/>
              <w:spacing w:before="120"/>
              <w:jc w:val="both"/>
              <w:rPr>
                <w:rFonts w:asciiTheme="majorBidi" w:hAnsiTheme="majorBidi" w:cstheme="majorBidi"/>
                <w:sz w:val="24"/>
                <w:szCs w:val="24"/>
                <w:lang w:val="en-GB"/>
              </w:rPr>
            </w:pPr>
            <w:r w:rsidRPr="00FD5AA4">
              <w:rPr>
                <w:rFonts w:asciiTheme="majorBidi" w:hAnsiTheme="majorBidi" w:cstheme="majorBidi"/>
                <w:sz w:val="24"/>
                <w:szCs w:val="24"/>
                <w:rtl/>
                <w:lang w:val="en-GB"/>
              </w:rPr>
              <w:t xml:space="preserve">خطط </w:t>
            </w:r>
            <w:r w:rsidR="00C26DAC" w:rsidRPr="00FD5AA4">
              <w:rPr>
                <w:rFonts w:asciiTheme="majorBidi" w:hAnsiTheme="majorBidi" w:cstheme="majorBidi"/>
                <w:sz w:val="24"/>
                <w:szCs w:val="24"/>
                <w:rtl/>
                <w:lang w:val="en-GB"/>
              </w:rPr>
              <w:t xml:space="preserve">وطنية ومحلية للحد من </w:t>
            </w:r>
            <w:r w:rsidR="007E6949" w:rsidRPr="00FD5AA4">
              <w:rPr>
                <w:rFonts w:asciiTheme="majorBidi" w:hAnsiTheme="majorBidi" w:cstheme="majorBidi" w:hint="cs"/>
                <w:sz w:val="24"/>
                <w:szCs w:val="24"/>
                <w:rtl/>
                <w:lang w:val="en-GB"/>
              </w:rPr>
              <w:t>أخطار</w:t>
            </w:r>
            <w:r w:rsidR="00C26DAC" w:rsidRPr="00FD5AA4">
              <w:rPr>
                <w:rFonts w:asciiTheme="majorBidi" w:hAnsiTheme="majorBidi" w:cstheme="majorBidi"/>
                <w:sz w:val="24"/>
                <w:szCs w:val="24"/>
                <w:rtl/>
                <w:lang w:val="en-GB"/>
              </w:rPr>
              <w:t xml:space="preserve"> الكوارث </w:t>
            </w:r>
            <w:r w:rsidR="007E6949">
              <w:rPr>
                <w:rFonts w:asciiTheme="majorBidi" w:hAnsiTheme="majorBidi" w:cstheme="majorBidi" w:hint="cs"/>
                <w:sz w:val="24"/>
                <w:szCs w:val="24"/>
                <w:rtl/>
                <w:lang w:val="en-GB"/>
              </w:rPr>
              <w:t>(</w:t>
            </w:r>
            <w:r w:rsidR="007E6949">
              <w:rPr>
                <w:rFonts w:asciiTheme="majorBidi" w:hAnsiTheme="majorBidi" w:cstheme="majorBidi"/>
                <w:sz w:val="24"/>
                <w:szCs w:val="24"/>
              </w:rPr>
              <w:t>DPR</w:t>
            </w:r>
            <w:r w:rsidR="007E6949">
              <w:rPr>
                <w:rFonts w:asciiTheme="majorBidi" w:hAnsiTheme="majorBidi" w:cstheme="majorBidi" w:hint="cs"/>
                <w:sz w:val="24"/>
                <w:szCs w:val="24"/>
                <w:rtl/>
                <w:lang w:val="en-GB"/>
              </w:rPr>
              <w:t xml:space="preserve">) </w:t>
            </w:r>
            <w:r w:rsidR="00C26DAC" w:rsidRPr="00FD5AA4">
              <w:rPr>
                <w:rFonts w:asciiTheme="majorBidi" w:hAnsiTheme="majorBidi" w:cstheme="majorBidi"/>
                <w:sz w:val="24"/>
                <w:szCs w:val="24"/>
                <w:rtl/>
                <w:lang w:val="en-GB"/>
              </w:rPr>
              <w:t>ورصد التقارير بشأن هذه الخطط</w:t>
            </w:r>
          </w:p>
          <w:p w14:paraId="64ABF02A" w14:textId="63018217" w:rsidR="0054175C" w:rsidRPr="00FD5AA4" w:rsidRDefault="002D619F" w:rsidP="00E66874">
            <w:pPr>
              <w:pStyle w:val="ListParagraph"/>
              <w:numPr>
                <w:ilvl w:val="0"/>
                <w:numId w:val="73"/>
              </w:numPr>
              <w:bidi/>
              <w:spacing w:before="120"/>
              <w:jc w:val="both"/>
              <w:rPr>
                <w:rFonts w:asciiTheme="majorBidi" w:hAnsiTheme="majorBidi" w:cstheme="majorBidi"/>
                <w:sz w:val="24"/>
                <w:szCs w:val="24"/>
                <w:lang w:val="en-GB"/>
              </w:rPr>
            </w:pPr>
            <w:r w:rsidRPr="00FD5AA4">
              <w:rPr>
                <w:rFonts w:asciiTheme="majorBidi" w:hAnsiTheme="majorBidi" w:cstheme="majorBidi"/>
                <w:sz w:val="24"/>
                <w:szCs w:val="24"/>
                <w:rtl/>
                <w:lang w:val="en-GB"/>
              </w:rPr>
              <w:lastRenderedPageBreak/>
              <w:t xml:space="preserve">مسوحات أو بحوث </w:t>
            </w:r>
            <w:r w:rsidR="00C26DAC" w:rsidRPr="00FD5AA4">
              <w:rPr>
                <w:rFonts w:asciiTheme="majorBidi" w:hAnsiTheme="majorBidi" w:cstheme="majorBidi"/>
                <w:sz w:val="24"/>
                <w:szCs w:val="24"/>
                <w:rtl/>
                <w:lang w:val="en-GB"/>
              </w:rPr>
              <w:t>تجريها معاهد البحث لفحص سياسة التنمية</w:t>
            </w:r>
          </w:p>
        </w:tc>
      </w:tr>
    </w:tbl>
    <w:p w14:paraId="20E78777" w14:textId="7CA0E460" w:rsidR="00320242" w:rsidRPr="00800F12" w:rsidRDefault="00320242" w:rsidP="00E66874">
      <w:pPr>
        <w:tabs>
          <w:tab w:val="left" w:pos="5970"/>
        </w:tabs>
        <w:bidi/>
        <w:jc w:val="both"/>
      </w:pPr>
    </w:p>
    <w:sectPr w:rsidR="00320242" w:rsidRPr="00800F12"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2BC6" w14:textId="77777777" w:rsidR="00316D50" w:rsidRDefault="00316D50" w:rsidP="002938F2">
      <w:r>
        <w:separator/>
      </w:r>
    </w:p>
    <w:p w14:paraId="505402AD" w14:textId="77777777" w:rsidR="00316D50" w:rsidRDefault="00316D50"/>
  </w:endnote>
  <w:endnote w:type="continuationSeparator" w:id="0">
    <w:p w14:paraId="4FDFA84C" w14:textId="77777777" w:rsidR="00316D50" w:rsidRDefault="00316D50" w:rsidP="002938F2">
      <w:r>
        <w:continuationSeparator/>
      </w:r>
    </w:p>
    <w:p w14:paraId="52484F30" w14:textId="77777777" w:rsidR="00316D50" w:rsidRDefault="00316D50"/>
  </w:endnote>
  <w:endnote w:type="continuationNotice" w:id="1">
    <w:p w14:paraId="5B67C0F4" w14:textId="77777777" w:rsidR="00316D50" w:rsidRDefault="00316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4B3D" w14:textId="58C13A64" w:rsidR="00C04344" w:rsidRPr="000A0709" w:rsidRDefault="00821F23" w:rsidP="003F0FF9">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941F52">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333A" w14:textId="77777777" w:rsidR="00316D50" w:rsidRDefault="00316D50" w:rsidP="002938F2">
      <w:r>
        <w:separator/>
      </w:r>
    </w:p>
  </w:footnote>
  <w:footnote w:type="continuationSeparator" w:id="0">
    <w:p w14:paraId="0B78D8C4" w14:textId="77777777" w:rsidR="00316D50" w:rsidRDefault="00316D50" w:rsidP="002938F2">
      <w:r>
        <w:continuationSeparator/>
      </w:r>
    </w:p>
    <w:p w14:paraId="362093D2" w14:textId="77777777" w:rsidR="00316D50" w:rsidRDefault="00316D50"/>
  </w:footnote>
  <w:footnote w:type="continuationNotice" w:id="1">
    <w:p w14:paraId="47245C27" w14:textId="77777777" w:rsidR="00316D50" w:rsidRDefault="00316D50">
      <w:pPr>
        <w:spacing w:after="0"/>
      </w:pPr>
    </w:p>
  </w:footnote>
  <w:footnote w:id="2">
    <w:p w14:paraId="548E1D22" w14:textId="1628FF36" w:rsidR="00B650CB" w:rsidRPr="00F83434" w:rsidRDefault="00B650CB" w:rsidP="00F83434">
      <w:pPr>
        <w:pStyle w:val="FootnoteText"/>
        <w:bidi/>
        <w:jc w:val="both"/>
        <w:rPr>
          <w:rtl/>
          <w:lang w:bidi="ar-EG"/>
        </w:rPr>
      </w:pPr>
      <w:r w:rsidRPr="00F83434">
        <w:rPr>
          <w:rStyle w:val="FootnoteReference"/>
        </w:rPr>
        <w:footnoteRef/>
      </w:r>
      <w:r w:rsidRPr="00F83434">
        <w:rPr>
          <w:rtl/>
          <w:lang w:bidi="ar-EG"/>
        </w:rPr>
        <w:t xml:space="preserve">طبقًا للفصل السادس من التوجيهات التنفيذية، تشمل "التنمية الاجتماعية الشاملة" الأمن الغذائي، والرعاية الصحية، والمساواة بين </w:t>
      </w:r>
      <w:r w:rsidR="00147603" w:rsidRPr="00F83434">
        <w:rPr>
          <w:rFonts w:hint="cs"/>
          <w:rtl/>
          <w:lang w:bidi="ar-EG"/>
        </w:rPr>
        <w:t>الجنسين</w:t>
      </w:r>
      <w:r w:rsidRPr="00F83434">
        <w:rPr>
          <w:rtl/>
          <w:lang w:bidi="ar-EG"/>
        </w:rPr>
        <w:t>، والحصول على مياه نظيفة وآمنة، واستخدام المياه على نحو مستدام؛ يتمّ تضمين التعليم الجيّد في المؤشر 12</w:t>
      </w:r>
    </w:p>
  </w:footnote>
  <w:footnote w:id="3">
    <w:p w14:paraId="37E0FC55" w14:textId="7C0FB0CE" w:rsidR="00B650CB" w:rsidRPr="00F83434" w:rsidRDefault="00B650CB" w:rsidP="00F83434">
      <w:pPr>
        <w:pStyle w:val="FootnoteText"/>
        <w:bidi/>
        <w:jc w:val="both"/>
        <w:rPr>
          <w:rtl/>
          <w:lang w:bidi="ar-EG"/>
        </w:rPr>
      </w:pPr>
      <w:r w:rsidRPr="00F83434">
        <w:rPr>
          <w:rStyle w:val="FootnoteReference"/>
        </w:rPr>
        <w:footnoteRef/>
      </w:r>
      <w:r w:rsidR="003814D2" w:rsidRPr="00F83434">
        <w:rPr>
          <w:rtl/>
          <w:lang w:bidi="ar-EG"/>
        </w:rPr>
        <w:t>ووفقًا للفصل السادس من التوجيهات التنفيذية، تشمل "التنمية الاقتصادية الشاملة" توليد الدخل، وسبل العيش المستدامة، والعمالة المنتجة، والعمل اللائق، وتأثير السياحة على صون التراث الثقافي غير المادي والعكس بالعكس.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226461"/>
    <w:multiLevelType w:val="hybridMultilevel"/>
    <w:tmpl w:val="866C5A06"/>
    <w:lvl w:ilvl="0" w:tplc="4CE8C328">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12C121A"/>
    <w:multiLevelType w:val="multilevel"/>
    <w:tmpl w:val="2EF6F35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6"/>
  </w:num>
  <w:num w:numId="5">
    <w:abstractNumId w:val="47"/>
  </w:num>
  <w:num w:numId="6">
    <w:abstractNumId w:val="5"/>
  </w:num>
  <w:num w:numId="7">
    <w:abstractNumId w:val="16"/>
  </w:num>
  <w:num w:numId="8">
    <w:abstractNumId w:val="25"/>
  </w:num>
  <w:num w:numId="9">
    <w:abstractNumId w:val="50"/>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4"/>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8"/>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5"/>
  </w:num>
  <w:num w:numId="42">
    <w:abstractNumId w:val="52"/>
  </w:num>
  <w:num w:numId="43">
    <w:abstractNumId w:val="29"/>
  </w:num>
  <w:num w:numId="44">
    <w:abstractNumId w:val="13"/>
  </w:num>
  <w:num w:numId="45">
    <w:abstractNumId w:val="53"/>
  </w:num>
  <w:num w:numId="46">
    <w:abstractNumId w:val="6"/>
  </w:num>
  <w:num w:numId="47">
    <w:abstractNumId w:val="36"/>
  </w:num>
  <w:num w:numId="48">
    <w:abstractNumId w:val="57"/>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4"/>
  </w:num>
  <w:num w:numId="59">
    <w:abstractNumId w:val="45"/>
  </w:num>
  <w:num w:numId="60">
    <w:abstractNumId w:val="2"/>
  </w:num>
  <w:num w:numId="61">
    <w:abstractNumId w:val="31"/>
  </w:num>
  <w:num w:numId="62">
    <w:abstractNumId w:val="22"/>
  </w:num>
  <w:num w:numId="63">
    <w:abstractNumId w:val="49"/>
  </w:num>
  <w:num w:numId="64">
    <w:abstractNumId w:val="19"/>
  </w:num>
  <w:num w:numId="65">
    <w:abstractNumId w:val="24"/>
  </w:num>
  <w:num w:numId="66">
    <w:abstractNumId w:val="46"/>
  </w:num>
  <w:num w:numId="67">
    <w:abstractNumId w:val="37"/>
  </w:num>
  <w:num w:numId="68">
    <w:abstractNumId w:val="14"/>
  </w:num>
  <w:num w:numId="69">
    <w:abstractNumId w:val="42"/>
  </w:num>
  <w:num w:numId="70">
    <w:abstractNumId w:val="33"/>
  </w:num>
  <w:num w:numId="71">
    <w:abstractNumId w:val="28"/>
  </w:num>
  <w:num w:numId="72">
    <w:abstractNumId w:val="51"/>
  </w:num>
  <w:num w:numId="73">
    <w:abstractNumId w:val="8"/>
  </w:num>
  <w:num w:numId="74">
    <w:abstractNumId w:val="35"/>
  </w:num>
  <w:num w:numId="75">
    <w:abstractNumId w:val="44"/>
  </w:num>
  <w:num w:numId="76">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A3"/>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4F4C"/>
    <w:rsid w:val="00031A37"/>
    <w:rsid w:val="00036843"/>
    <w:rsid w:val="0004557D"/>
    <w:rsid w:val="00047E58"/>
    <w:rsid w:val="00054FDC"/>
    <w:rsid w:val="00055240"/>
    <w:rsid w:val="000632E2"/>
    <w:rsid w:val="0007203D"/>
    <w:rsid w:val="000729D2"/>
    <w:rsid w:val="00073D20"/>
    <w:rsid w:val="00074E7D"/>
    <w:rsid w:val="000755E1"/>
    <w:rsid w:val="0007681B"/>
    <w:rsid w:val="000769F1"/>
    <w:rsid w:val="00083694"/>
    <w:rsid w:val="00085541"/>
    <w:rsid w:val="00092AE6"/>
    <w:rsid w:val="00093063"/>
    <w:rsid w:val="00093606"/>
    <w:rsid w:val="00096438"/>
    <w:rsid w:val="000A0709"/>
    <w:rsid w:val="000A0F0D"/>
    <w:rsid w:val="000A112A"/>
    <w:rsid w:val="000A21DA"/>
    <w:rsid w:val="000A34CE"/>
    <w:rsid w:val="000B59B9"/>
    <w:rsid w:val="000C03BF"/>
    <w:rsid w:val="000C15BD"/>
    <w:rsid w:val="000C65E4"/>
    <w:rsid w:val="000C7EE0"/>
    <w:rsid w:val="000D1EBC"/>
    <w:rsid w:val="000D260B"/>
    <w:rsid w:val="000D345F"/>
    <w:rsid w:val="000D7375"/>
    <w:rsid w:val="000E2EE7"/>
    <w:rsid w:val="000F025E"/>
    <w:rsid w:val="000F25BA"/>
    <w:rsid w:val="000F2B3F"/>
    <w:rsid w:val="000F778B"/>
    <w:rsid w:val="000F7E6F"/>
    <w:rsid w:val="00101D76"/>
    <w:rsid w:val="00106B72"/>
    <w:rsid w:val="00106D19"/>
    <w:rsid w:val="0011334A"/>
    <w:rsid w:val="00113797"/>
    <w:rsid w:val="00115830"/>
    <w:rsid w:val="00116489"/>
    <w:rsid w:val="0011750D"/>
    <w:rsid w:val="0012058B"/>
    <w:rsid w:val="00121963"/>
    <w:rsid w:val="00121B41"/>
    <w:rsid w:val="001301DF"/>
    <w:rsid w:val="001412DE"/>
    <w:rsid w:val="00142D78"/>
    <w:rsid w:val="00144A4D"/>
    <w:rsid w:val="00147603"/>
    <w:rsid w:val="00151351"/>
    <w:rsid w:val="00152851"/>
    <w:rsid w:val="00156788"/>
    <w:rsid w:val="001609A1"/>
    <w:rsid w:val="00162554"/>
    <w:rsid w:val="00163F68"/>
    <w:rsid w:val="00167213"/>
    <w:rsid w:val="00173B50"/>
    <w:rsid w:val="00173E0E"/>
    <w:rsid w:val="00174B39"/>
    <w:rsid w:val="00183F6C"/>
    <w:rsid w:val="00185EB6"/>
    <w:rsid w:val="00194802"/>
    <w:rsid w:val="00194AEB"/>
    <w:rsid w:val="001A431C"/>
    <w:rsid w:val="001A5519"/>
    <w:rsid w:val="001A7C3A"/>
    <w:rsid w:val="001B1634"/>
    <w:rsid w:val="001B5C26"/>
    <w:rsid w:val="001C08BC"/>
    <w:rsid w:val="001C56BA"/>
    <w:rsid w:val="001C6D7D"/>
    <w:rsid w:val="001D00B5"/>
    <w:rsid w:val="001D3B29"/>
    <w:rsid w:val="001D59C8"/>
    <w:rsid w:val="001E24E4"/>
    <w:rsid w:val="001E3D5A"/>
    <w:rsid w:val="001E3E2F"/>
    <w:rsid w:val="001E4EEB"/>
    <w:rsid w:val="001E6026"/>
    <w:rsid w:val="001F3696"/>
    <w:rsid w:val="001F37CA"/>
    <w:rsid w:val="001F68A3"/>
    <w:rsid w:val="001F7D4B"/>
    <w:rsid w:val="0020163D"/>
    <w:rsid w:val="00203AD7"/>
    <w:rsid w:val="002042CC"/>
    <w:rsid w:val="00204B37"/>
    <w:rsid w:val="00205A04"/>
    <w:rsid w:val="002074D6"/>
    <w:rsid w:val="00210CBC"/>
    <w:rsid w:val="002119C5"/>
    <w:rsid w:val="00213555"/>
    <w:rsid w:val="00222AF2"/>
    <w:rsid w:val="00223C3B"/>
    <w:rsid w:val="00224346"/>
    <w:rsid w:val="0022597C"/>
    <w:rsid w:val="00226016"/>
    <w:rsid w:val="00226582"/>
    <w:rsid w:val="00226FFF"/>
    <w:rsid w:val="00230F77"/>
    <w:rsid w:val="00232E4E"/>
    <w:rsid w:val="00234AE4"/>
    <w:rsid w:val="00237935"/>
    <w:rsid w:val="00237E43"/>
    <w:rsid w:val="00245E26"/>
    <w:rsid w:val="002539EA"/>
    <w:rsid w:val="002542FD"/>
    <w:rsid w:val="00254B4E"/>
    <w:rsid w:val="00254CA1"/>
    <w:rsid w:val="0026007A"/>
    <w:rsid w:val="00261E3A"/>
    <w:rsid w:val="002638C0"/>
    <w:rsid w:val="00264326"/>
    <w:rsid w:val="00265E42"/>
    <w:rsid w:val="00266B45"/>
    <w:rsid w:val="0027198B"/>
    <w:rsid w:val="00273658"/>
    <w:rsid w:val="00273D80"/>
    <w:rsid w:val="00281AA4"/>
    <w:rsid w:val="00282A9D"/>
    <w:rsid w:val="00286C0C"/>
    <w:rsid w:val="00287687"/>
    <w:rsid w:val="00290D5F"/>
    <w:rsid w:val="002938F2"/>
    <w:rsid w:val="00293CCC"/>
    <w:rsid w:val="00293E8C"/>
    <w:rsid w:val="002A195D"/>
    <w:rsid w:val="002A51D7"/>
    <w:rsid w:val="002B4305"/>
    <w:rsid w:val="002B43D6"/>
    <w:rsid w:val="002B6B98"/>
    <w:rsid w:val="002C28BA"/>
    <w:rsid w:val="002C3B8F"/>
    <w:rsid w:val="002C444C"/>
    <w:rsid w:val="002C5021"/>
    <w:rsid w:val="002C5280"/>
    <w:rsid w:val="002C5C29"/>
    <w:rsid w:val="002D396D"/>
    <w:rsid w:val="002D619F"/>
    <w:rsid w:val="002D71D4"/>
    <w:rsid w:val="002E113D"/>
    <w:rsid w:val="002E4A5D"/>
    <w:rsid w:val="002F17E1"/>
    <w:rsid w:val="002F3BA9"/>
    <w:rsid w:val="002F507B"/>
    <w:rsid w:val="002F738E"/>
    <w:rsid w:val="003043A9"/>
    <w:rsid w:val="0030454E"/>
    <w:rsid w:val="00316D50"/>
    <w:rsid w:val="00320242"/>
    <w:rsid w:val="0032083B"/>
    <w:rsid w:val="00322A3A"/>
    <w:rsid w:val="00324A32"/>
    <w:rsid w:val="00325D6E"/>
    <w:rsid w:val="00331BFD"/>
    <w:rsid w:val="00334977"/>
    <w:rsid w:val="00334A57"/>
    <w:rsid w:val="00337194"/>
    <w:rsid w:val="00342EE8"/>
    <w:rsid w:val="00344D78"/>
    <w:rsid w:val="00344E59"/>
    <w:rsid w:val="00346517"/>
    <w:rsid w:val="00351CCB"/>
    <w:rsid w:val="0035648A"/>
    <w:rsid w:val="003618FB"/>
    <w:rsid w:val="00362B41"/>
    <w:rsid w:val="00363995"/>
    <w:rsid w:val="00364E5E"/>
    <w:rsid w:val="00370E9B"/>
    <w:rsid w:val="00377899"/>
    <w:rsid w:val="00377E4B"/>
    <w:rsid w:val="00380E6B"/>
    <w:rsid w:val="003814D2"/>
    <w:rsid w:val="00383BA9"/>
    <w:rsid w:val="003845B0"/>
    <w:rsid w:val="00385B34"/>
    <w:rsid w:val="00386C08"/>
    <w:rsid w:val="00387D88"/>
    <w:rsid w:val="00391873"/>
    <w:rsid w:val="0039446E"/>
    <w:rsid w:val="00394F5D"/>
    <w:rsid w:val="003966C0"/>
    <w:rsid w:val="003A260A"/>
    <w:rsid w:val="003A2BC4"/>
    <w:rsid w:val="003B240F"/>
    <w:rsid w:val="003B31BE"/>
    <w:rsid w:val="003B504D"/>
    <w:rsid w:val="003B5227"/>
    <w:rsid w:val="003C7065"/>
    <w:rsid w:val="003C7E33"/>
    <w:rsid w:val="003D2E0D"/>
    <w:rsid w:val="003D5113"/>
    <w:rsid w:val="003D5BFC"/>
    <w:rsid w:val="003D6E10"/>
    <w:rsid w:val="003E0C0F"/>
    <w:rsid w:val="003E0E28"/>
    <w:rsid w:val="003E19D5"/>
    <w:rsid w:val="003E76A8"/>
    <w:rsid w:val="003F0FF9"/>
    <w:rsid w:val="003F5B90"/>
    <w:rsid w:val="00404856"/>
    <w:rsid w:val="004063DD"/>
    <w:rsid w:val="00406ED7"/>
    <w:rsid w:val="004108B6"/>
    <w:rsid w:val="0041110F"/>
    <w:rsid w:val="0041300C"/>
    <w:rsid w:val="00413A0E"/>
    <w:rsid w:val="00414B68"/>
    <w:rsid w:val="00430ED2"/>
    <w:rsid w:val="00434773"/>
    <w:rsid w:val="004367F5"/>
    <w:rsid w:val="00436C18"/>
    <w:rsid w:val="004458C9"/>
    <w:rsid w:val="0044751F"/>
    <w:rsid w:val="00447C66"/>
    <w:rsid w:val="00451F1C"/>
    <w:rsid w:val="004570BB"/>
    <w:rsid w:val="0046023C"/>
    <w:rsid w:val="00462F38"/>
    <w:rsid w:val="00471B34"/>
    <w:rsid w:val="00474AFE"/>
    <w:rsid w:val="00477E66"/>
    <w:rsid w:val="00480809"/>
    <w:rsid w:val="00480FC9"/>
    <w:rsid w:val="004831C7"/>
    <w:rsid w:val="00486A5E"/>
    <w:rsid w:val="00493F92"/>
    <w:rsid w:val="004A0C2B"/>
    <w:rsid w:val="004A0C4A"/>
    <w:rsid w:val="004A610E"/>
    <w:rsid w:val="004C20E2"/>
    <w:rsid w:val="004C67E2"/>
    <w:rsid w:val="004E056C"/>
    <w:rsid w:val="004E2817"/>
    <w:rsid w:val="004E2AE8"/>
    <w:rsid w:val="004E418A"/>
    <w:rsid w:val="004E74EF"/>
    <w:rsid w:val="004F1ACF"/>
    <w:rsid w:val="004F667A"/>
    <w:rsid w:val="005016FB"/>
    <w:rsid w:val="00504256"/>
    <w:rsid w:val="00511D17"/>
    <w:rsid w:val="005157E2"/>
    <w:rsid w:val="0051699F"/>
    <w:rsid w:val="00516DE3"/>
    <w:rsid w:val="005300BF"/>
    <w:rsid w:val="00532631"/>
    <w:rsid w:val="005414A1"/>
    <w:rsid w:val="0054175C"/>
    <w:rsid w:val="005473CF"/>
    <w:rsid w:val="005577DB"/>
    <w:rsid w:val="00570355"/>
    <w:rsid w:val="00574530"/>
    <w:rsid w:val="00581423"/>
    <w:rsid w:val="00582F4C"/>
    <w:rsid w:val="0058407A"/>
    <w:rsid w:val="00586643"/>
    <w:rsid w:val="00594539"/>
    <w:rsid w:val="005A1BCE"/>
    <w:rsid w:val="005A65BD"/>
    <w:rsid w:val="005A7D00"/>
    <w:rsid w:val="005B0FE5"/>
    <w:rsid w:val="005B357C"/>
    <w:rsid w:val="005B4391"/>
    <w:rsid w:val="005B4A0B"/>
    <w:rsid w:val="005B53C6"/>
    <w:rsid w:val="005C0015"/>
    <w:rsid w:val="005C0052"/>
    <w:rsid w:val="005C05F4"/>
    <w:rsid w:val="005C0660"/>
    <w:rsid w:val="005C1D00"/>
    <w:rsid w:val="005C44A6"/>
    <w:rsid w:val="005C4935"/>
    <w:rsid w:val="005C7D6A"/>
    <w:rsid w:val="005D291F"/>
    <w:rsid w:val="005D2DDA"/>
    <w:rsid w:val="005E3A3E"/>
    <w:rsid w:val="005E6A2B"/>
    <w:rsid w:val="005E7C7C"/>
    <w:rsid w:val="005F37C2"/>
    <w:rsid w:val="005F5B3F"/>
    <w:rsid w:val="00601DD6"/>
    <w:rsid w:val="006032AE"/>
    <w:rsid w:val="00603F71"/>
    <w:rsid w:val="00605202"/>
    <w:rsid w:val="00612FDA"/>
    <w:rsid w:val="00621092"/>
    <w:rsid w:val="00621208"/>
    <w:rsid w:val="00621A6F"/>
    <w:rsid w:val="00632B30"/>
    <w:rsid w:val="006340A1"/>
    <w:rsid w:val="006353E2"/>
    <w:rsid w:val="00636760"/>
    <w:rsid w:val="00640D96"/>
    <w:rsid w:val="00644B92"/>
    <w:rsid w:val="00645B77"/>
    <w:rsid w:val="0065099D"/>
    <w:rsid w:val="006515C9"/>
    <w:rsid w:val="00651944"/>
    <w:rsid w:val="00652318"/>
    <w:rsid w:val="00652484"/>
    <w:rsid w:val="00653314"/>
    <w:rsid w:val="0067005F"/>
    <w:rsid w:val="0067015A"/>
    <w:rsid w:val="006736EC"/>
    <w:rsid w:val="00673D90"/>
    <w:rsid w:val="00676C1E"/>
    <w:rsid w:val="00684D24"/>
    <w:rsid w:val="00686D60"/>
    <w:rsid w:val="00691869"/>
    <w:rsid w:val="006A0D86"/>
    <w:rsid w:val="006A49AE"/>
    <w:rsid w:val="006A56C0"/>
    <w:rsid w:val="006B1E1C"/>
    <w:rsid w:val="006C0911"/>
    <w:rsid w:val="006C229E"/>
    <w:rsid w:val="006C737A"/>
    <w:rsid w:val="006D46FB"/>
    <w:rsid w:val="006E29C0"/>
    <w:rsid w:val="006E752A"/>
    <w:rsid w:val="006E7CF0"/>
    <w:rsid w:val="006F3E83"/>
    <w:rsid w:val="006F4B83"/>
    <w:rsid w:val="006F58DC"/>
    <w:rsid w:val="006F7F47"/>
    <w:rsid w:val="00701458"/>
    <w:rsid w:val="00701D7E"/>
    <w:rsid w:val="00702D8F"/>
    <w:rsid w:val="007035B3"/>
    <w:rsid w:val="00704766"/>
    <w:rsid w:val="007119B8"/>
    <w:rsid w:val="0072415E"/>
    <w:rsid w:val="007247D7"/>
    <w:rsid w:val="007250E3"/>
    <w:rsid w:val="0072736B"/>
    <w:rsid w:val="007277C8"/>
    <w:rsid w:val="00732057"/>
    <w:rsid w:val="007368A2"/>
    <w:rsid w:val="007418AE"/>
    <w:rsid w:val="00742DB0"/>
    <w:rsid w:val="00742DD1"/>
    <w:rsid w:val="0074360F"/>
    <w:rsid w:val="00745F42"/>
    <w:rsid w:val="00746204"/>
    <w:rsid w:val="00747715"/>
    <w:rsid w:val="00747F86"/>
    <w:rsid w:val="00750138"/>
    <w:rsid w:val="00753DA3"/>
    <w:rsid w:val="007546C0"/>
    <w:rsid w:val="007610D3"/>
    <w:rsid w:val="007629DB"/>
    <w:rsid w:val="00764F50"/>
    <w:rsid w:val="00767871"/>
    <w:rsid w:val="00770A92"/>
    <w:rsid w:val="00774D9C"/>
    <w:rsid w:val="00776A63"/>
    <w:rsid w:val="00780DBB"/>
    <w:rsid w:val="00780E80"/>
    <w:rsid w:val="00786500"/>
    <w:rsid w:val="00790C65"/>
    <w:rsid w:val="00792FA1"/>
    <w:rsid w:val="0079316B"/>
    <w:rsid w:val="0079674B"/>
    <w:rsid w:val="007A0565"/>
    <w:rsid w:val="007A0EAA"/>
    <w:rsid w:val="007A1247"/>
    <w:rsid w:val="007A1E0A"/>
    <w:rsid w:val="007A6F91"/>
    <w:rsid w:val="007A7D45"/>
    <w:rsid w:val="007B4ADA"/>
    <w:rsid w:val="007C0B7B"/>
    <w:rsid w:val="007C105C"/>
    <w:rsid w:val="007C1B00"/>
    <w:rsid w:val="007C49EC"/>
    <w:rsid w:val="007D0C67"/>
    <w:rsid w:val="007D0F1D"/>
    <w:rsid w:val="007D170B"/>
    <w:rsid w:val="007D2881"/>
    <w:rsid w:val="007D31CE"/>
    <w:rsid w:val="007D3AD8"/>
    <w:rsid w:val="007D5BB7"/>
    <w:rsid w:val="007D6A69"/>
    <w:rsid w:val="007D79E8"/>
    <w:rsid w:val="007E0621"/>
    <w:rsid w:val="007E4E37"/>
    <w:rsid w:val="007E6949"/>
    <w:rsid w:val="007F4B07"/>
    <w:rsid w:val="00800F12"/>
    <w:rsid w:val="008029A6"/>
    <w:rsid w:val="008147BA"/>
    <w:rsid w:val="00821F23"/>
    <w:rsid w:val="008269B0"/>
    <w:rsid w:val="0083067E"/>
    <w:rsid w:val="00832357"/>
    <w:rsid w:val="0083488D"/>
    <w:rsid w:val="00834C17"/>
    <w:rsid w:val="00841649"/>
    <w:rsid w:val="008466C3"/>
    <w:rsid w:val="00846809"/>
    <w:rsid w:val="00851458"/>
    <w:rsid w:val="00861A47"/>
    <w:rsid w:val="008707FF"/>
    <w:rsid w:val="008724E5"/>
    <w:rsid w:val="00877AC5"/>
    <w:rsid w:val="00877F27"/>
    <w:rsid w:val="0088161C"/>
    <w:rsid w:val="0088173A"/>
    <w:rsid w:val="00881EB9"/>
    <w:rsid w:val="008848E9"/>
    <w:rsid w:val="00884C09"/>
    <w:rsid w:val="00885596"/>
    <w:rsid w:val="00885B33"/>
    <w:rsid w:val="00886B71"/>
    <w:rsid w:val="0089499E"/>
    <w:rsid w:val="00896177"/>
    <w:rsid w:val="008A0BE3"/>
    <w:rsid w:val="008A2566"/>
    <w:rsid w:val="008A6663"/>
    <w:rsid w:val="008B1C00"/>
    <w:rsid w:val="008B6B4C"/>
    <w:rsid w:val="008B7346"/>
    <w:rsid w:val="008C7F60"/>
    <w:rsid w:val="008D3626"/>
    <w:rsid w:val="008D3BF7"/>
    <w:rsid w:val="008D494D"/>
    <w:rsid w:val="008E0DAA"/>
    <w:rsid w:val="008E194D"/>
    <w:rsid w:val="008E1B58"/>
    <w:rsid w:val="008F16C6"/>
    <w:rsid w:val="008F1774"/>
    <w:rsid w:val="008F2A76"/>
    <w:rsid w:val="008F34A1"/>
    <w:rsid w:val="008F4F13"/>
    <w:rsid w:val="008F5052"/>
    <w:rsid w:val="008F5193"/>
    <w:rsid w:val="0090187D"/>
    <w:rsid w:val="00903C3D"/>
    <w:rsid w:val="009070F1"/>
    <w:rsid w:val="0090710F"/>
    <w:rsid w:val="00910B12"/>
    <w:rsid w:val="00911179"/>
    <w:rsid w:val="009121CE"/>
    <w:rsid w:val="009127D8"/>
    <w:rsid w:val="00916F7B"/>
    <w:rsid w:val="00917A4D"/>
    <w:rsid w:val="00921F65"/>
    <w:rsid w:val="0092574C"/>
    <w:rsid w:val="00932C19"/>
    <w:rsid w:val="009342E8"/>
    <w:rsid w:val="009357B4"/>
    <w:rsid w:val="00941F52"/>
    <w:rsid w:val="00946D71"/>
    <w:rsid w:val="009519AA"/>
    <w:rsid w:val="009577E1"/>
    <w:rsid w:val="00965F11"/>
    <w:rsid w:val="00971CA1"/>
    <w:rsid w:val="0097349C"/>
    <w:rsid w:val="009814C2"/>
    <w:rsid w:val="00982FFD"/>
    <w:rsid w:val="00985265"/>
    <w:rsid w:val="00985856"/>
    <w:rsid w:val="009A4969"/>
    <w:rsid w:val="009A7D32"/>
    <w:rsid w:val="009B1466"/>
    <w:rsid w:val="009B6973"/>
    <w:rsid w:val="009C0510"/>
    <w:rsid w:val="009C3663"/>
    <w:rsid w:val="009C6D32"/>
    <w:rsid w:val="009D098F"/>
    <w:rsid w:val="009D4547"/>
    <w:rsid w:val="009D5A49"/>
    <w:rsid w:val="009D5E38"/>
    <w:rsid w:val="009D602F"/>
    <w:rsid w:val="009D68D0"/>
    <w:rsid w:val="009E17AF"/>
    <w:rsid w:val="009F0D42"/>
    <w:rsid w:val="009F1B82"/>
    <w:rsid w:val="009F34A4"/>
    <w:rsid w:val="009F3988"/>
    <w:rsid w:val="00A003D0"/>
    <w:rsid w:val="00A073FD"/>
    <w:rsid w:val="00A10B7E"/>
    <w:rsid w:val="00A12BA9"/>
    <w:rsid w:val="00A150C7"/>
    <w:rsid w:val="00A2307A"/>
    <w:rsid w:val="00A260E9"/>
    <w:rsid w:val="00A31C8F"/>
    <w:rsid w:val="00A35EBB"/>
    <w:rsid w:val="00A42CF2"/>
    <w:rsid w:val="00A462C6"/>
    <w:rsid w:val="00A519A2"/>
    <w:rsid w:val="00A51BDC"/>
    <w:rsid w:val="00A535B7"/>
    <w:rsid w:val="00A5709F"/>
    <w:rsid w:val="00A616C4"/>
    <w:rsid w:val="00A61F20"/>
    <w:rsid w:val="00A64796"/>
    <w:rsid w:val="00A65801"/>
    <w:rsid w:val="00A66CD4"/>
    <w:rsid w:val="00A70883"/>
    <w:rsid w:val="00A77AEB"/>
    <w:rsid w:val="00A81F0A"/>
    <w:rsid w:val="00A85C7A"/>
    <w:rsid w:val="00A86042"/>
    <w:rsid w:val="00AA36F9"/>
    <w:rsid w:val="00AA444A"/>
    <w:rsid w:val="00AB1528"/>
    <w:rsid w:val="00AC2D59"/>
    <w:rsid w:val="00AD6BD4"/>
    <w:rsid w:val="00AE1B18"/>
    <w:rsid w:val="00AE1D83"/>
    <w:rsid w:val="00AE2DFB"/>
    <w:rsid w:val="00AE3061"/>
    <w:rsid w:val="00AF15BA"/>
    <w:rsid w:val="00AF1C32"/>
    <w:rsid w:val="00AF65C6"/>
    <w:rsid w:val="00B00B49"/>
    <w:rsid w:val="00B061C7"/>
    <w:rsid w:val="00B11AE3"/>
    <w:rsid w:val="00B121A6"/>
    <w:rsid w:val="00B300B8"/>
    <w:rsid w:val="00B32A28"/>
    <w:rsid w:val="00B33904"/>
    <w:rsid w:val="00B3751E"/>
    <w:rsid w:val="00B427FE"/>
    <w:rsid w:val="00B51737"/>
    <w:rsid w:val="00B6102A"/>
    <w:rsid w:val="00B6167A"/>
    <w:rsid w:val="00B62ED0"/>
    <w:rsid w:val="00B64196"/>
    <w:rsid w:val="00B650CB"/>
    <w:rsid w:val="00B66A7A"/>
    <w:rsid w:val="00B70266"/>
    <w:rsid w:val="00B74304"/>
    <w:rsid w:val="00B74D12"/>
    <w:rsid w:val="00B80A61"/>
    <w:rsid w:val="00B82F05"/>
    <w:rsid w:val="00B87142"/>
    <w:rsid w:val="00B8750E"/>
    <w:rsid w:val="00B92374"/>
    <w:rsid w:val="00B924C8"/>
    <w:rsid w:val="00B95E33"/>
    <w:rsid w:val="00B973B5"/>
    <w:rsid w:val="00B97FD1"/>
    <w:rsid w:val="00BA36F4"/>
    <w:rsid w:val="00BA6367"/>
    <w:rsid w:val="00BB1062"/>
    <w:rsid w:val="00BB28EF"/>
    <w:rsid w:val="00BB5DEE"/>
    <w:rsid w:val="00BC002E"/>
    <w:rsid w:val="00BC393F"/>
    <w:rsid w:val="00BC75FC"/>
    <w:rsid w:val="00BD59BD"/>
    <w:rsid w:val="00BE5B3F"/>
    <w:rsid w:val="00BF351F"/>
    <w:rsid w:val="00BF3F50"/>
    <w:rsid w:val="00BF6F37"/>
    <w:rsid w:val="00BF726A"/>
    <w:rsid w:val="00C00AA6"/>
    <w:rsid w:val="00C02924"/>
    <w:rsid w:val="00C04344"/>
    <w:rsid w:val="00C065BD"/>
    <w:rsid w:val="00C17FE4"/>
    <w:rsid w:val="00C21897"/>
    <w:rsid w:val="00C26DAC"/>
    <w:rsid w:val="00C276EE"/>
    <w:rsid w:val="00C43146"/>
    <w:rsid w:val="00C43757"/>
    <w:rsid w:val="00C43BCE"/>
    <w:rsid w:val="00C47CF1"/>
    <w:rsid w:val="00C52006"/>
    <w:rsid w:val="00C53AB4"/>
    <w:rsid w:val="00C542F1"/>
    <w:rsid w:val="00C572B3"/>
    <w:rsid w:val="00C57CA1"/>
    <w:rsid w:val="00C6300B"/>
    <w:rsid w:val="00C6426B"/>
    <w:rsid w:val="00C6478B"/>
    <w:rsid w:val="00C75AEA"/>
    <w:rsid w:val="00C81EBC"/>
    <w:rsid w:val="00C87194"/>
    <w:rsid w:val="00C90629"/>
    <w:rsid w:val="00C90C51"/>
    <w:rsid w:val="00C95B84"/>
    <w:rsid w:val="00CA3ED6"/>
    <w:rsid w:val="00CA7CF4"/>
    <w:rsid w:val="00CB0F37"/>
    <w:rsid w:val="00CB1135"/>
    <w:rsid w:val="00CB590B"/>
    <w:rsid w:val="00CC02C5"/>
    <w:rsid w:val="00CC0494"/>
    <w:rsid w:val="00CC2BC6"/>
    <w:rsid w:val="00CC3294"/>
    <w:rsid w:val="00CC3AAB"/>
    <w:rsid w:val="00CC520F"/>
    <w:rsid w:val="00CD324E"/>
    <w:rsid w:val="00CD4A28"/>
    <w:rsid w:val="00CD504E"/>
    <w:rsid w:val="00CD54BD"/>
    <w:rsid w:val="00CD6C36"/>
    <w:rsid w:val="00CE2586"/>
    <w:rsid w:val="00CF05D7"/>
    <w:rsid w:val="00CF34A6"/>
    <w:rsid w:val="00CF3F93"/>
    <w:rsid w:val="00D020F3"/>
    <w:rsid w:val="00D044CD"/>
    <w:rsid w:val="00D04515"/>
    <w:rsid w:val="00D065AD"/>
    <w:rsid w:val="00D22831"/>
    <w:rsid w:val="00D36EFE"/>
    <w:rsid w:val="00D404B7"/>
    <w:rsid w:val="00D44509"/>
    <w:rsid w:val="00D448CB"/>
    <w:rsid w:val="00D47226"/>
    <w:rsid w:val="00D47ED5"/>
    <w:rsid w:val="00D50C7F"/>
    <w:rsid w:val="00D51840"/>
    <w:rsid w:val="00D61779"/>
    <w:rsid w:val="00D62576"/>
    <w:rsid w:val="00D70D52"/>
    <w:rsid w:val="00D73DB6"/>
    <w:rsid w:val="00D809E5"/>
    <w:rsid w:val="00D80A95"/>
    <w:rsid w:val="00D81948"/>
    <w:rsid w:val="00D90819"/>
    <w:rsid w:val="00D93291"/>
    <w:rsid w:val="00D93CF5"/>
    <w:rsid w:val="00D9501F"/>
    <w:rsid w:val="00DA659A"/>
    <w:rsid w:val="00DB50D5"/>
    <w:rsid w:val="00DC0B50"/>
    <w:rsid w:val="00DC5537"/>
    <w:rsid w:val="00DD11EE"/>
    <w:rsid w:val="00DD52A0"/>
    <w:rsid w:val="00DE5590"/>
    <w:rsid w:val="00DE6364"/>
    <w:rsid w:val="00DF1D9E"/>
    <w:rsid w:val="00DF3DA3"/>
    <w:rsid w:val="00DF5B48"/>
    <w:rsid w:val="00DF5DA4"/>
    <w:rsid w:val="00DF7F7A"/>
    <w:rsid w:val="00DF7FDE"/>
    <w:rsid w:val="00E06492"/>
    <w:rsid w:val="00E065CE"/>
    <w:rsid w:val="00E06A00"/>
    <w:rsid w:val="00E13E03"/>
    <w:rsid w:val="00E14156"/>
    <w:rsid w:val="00E14DCE"/>
    <w:rsid w:val="00E22B99"/>
    <w:rsid w:val="00E24A9D"/>
    <w:rsid w:val="00E258D9"/>
    <w:rsid w:val="00E25E13"/>
    <w:rsid w:val="00E35B8C"/>
    <w:rsid w:val="00E439CA"/>
    <w:rsid w:val="00E46DDB"/>
    <w:rsid w:val="00E473F3"/>
    <w:rsid w:val="00E515B7"/>
    <w:rsid w:val="00E5219B"/>
    <w:rsid w:val="00E56905"/>
    <w:rsid w:val="00E609BA"/>
    <w:rsid w:val="00E60C78"/>
    <w:rsid w:val="00E64BE4"/>
    <w:rsid w:val="00E66874"/>
    <w:rsid w:val="00E8037A"/>
    <w:rsid w:val="00E85565"/>
    <w:rsid w:val="00E87F91"/>
    <w:rsid w:val="00E94BC6"/>
    <w:rsid w:val="00E971B8"/>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5C2D"/>
    <w:rsid w:val="00F473CB"/>
    <w:rsid w:val="00F50245"/>
    <w:rsid w:val="00F5644D"/>
    <w:rsid w:val="00F63DDA"/>
    <w:rsid w:val="00F67029"/>
    <w:rsid w:val="00F70858"/>
    <w:rsid w:val="00F71BBC"/>
    <w:rsid w:val="00F7397F"/>
    <w:rsid w:val="00F75949"/>
    <w:rsid w:val="00F75CF4"/>
    <w:rsid w:val="00F810ED"/>
    <w:rsid w:val="00F83434"/>
    <w:rsid w:val="00F866CD"/>
    <w:rsid w:val="00F941F0"/>
    <w:rsid w:val="00F966F5"/>
    <w:rsid w:val="00F97FF5"/>
    <w:rsid w:val="00FA7CE6"/>
    <w:rsid w:val="00FB1313"/>
    <w:rsid w:val="00FC18A3"/>
    <w:rsid w:val="00FC2238"/>
    <w:rsid w:val="00FC2459"/>
    <w:rsid w:val="00FC268E"/>
    <w:rsid w:val="00FC2BFD"/>
    <w:rsid w:val="00FC309D"/>
    <w:rsid w:val="00FC47E0"/>
    <w:rsid w:val="00FC73F9"/>
    <w:rsid w:val="00FD0D73"/>
    <w:rsid w:val="00FD1C42"/>
    <w:rsid w:val="00FD1E96"/>
    <w:rsid w:val="00FD1FE7"/>
    <w:rsid w:val="00FD5AA4"/>
    <w:rsid w:val="00FD6442"/>
    <w:rsid w:val="00FE0148"/>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5D479"/>
  <w15:docId w15:val="{C32944BC-C32E-4403-A071-31F05597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6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7284">
      <w:bodyDiv w:val="1"/>
      <w:marLeft w:val="0"/>
      <w:marRight w:val="0"/>
      <w:marTop w:val="0"/>
      <w:marBottom w:val="0"/>
      <w:divBdr>
        <w:top w:val="none" w:sz="0" w:space="0" w:color="auto"/>
        <w:left w:val="none" w:sz="0" w:space="0" w:color="auto"/>
        <w:bottom w:val="none" w:sz="0" w:space="0" w:color="auto"/>
        <w:right w:val="none" w:sz="0" w:space="0" w:color="auto"/>
      </w:divBdr>
    </w:div>
    <w:div w:id="546457509">
      <w:bodyDiv w:val="1"/>
      <w:marLeft w:val="0"/>
      <w:marRight w:val="0"/>
      <w:marTop w:val="0"/>
      <w:marBottom w:val="0"/>
      <w:divBdr>
        <w:top w:val="none" w:sz="0" w:space="0" w:color="auto"/>
        <w:left w:val="none" w:sz="0" w:space="0" w:color="auto"/>
        <w:bottom w:val="none" w:sz="0" w:space="0" w:color="auto"/>
        <w:right w:val="none" w:sz="0" w:space="0" w:color="auto"/>
      </w:divBdr>
    </w:div>
    <w:div w:id="798383099">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1057-6F0F-448F-B3D6-A3C57AA2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2022-04-06T09:50:00Z</dcterms:created>
  <dcterms:modified xsi:type="dcterms:W3CDTF">2022-04-06T09:50:00Z</dcterms:modified>
</cp:coreProperties>
</file>