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0701" w14:textId="77777777" w:rsidR="000A0709" w:rsidRPr="00F866CD" w:rsidRDefault="003B31BE" w:rsidP="00886B71">
      <w:pPr>
        <w:pageBreakBefore/>
        <w:jc w:val="center"/>
        <w:rPr>
          <w:rFonts w:ascii="Arial" w:hAnsi="Arial" w:cs="Arial"/>
          <w:b/>
          <w:bCs/>
          <w:sz w:val="24"/>
          <w:szCs w:val="28"/>
        </w:rPr>
      </w:pPr>
      <w:r w:rsidRPr="00F866CD">
        <w:rPr>
          <w:rFonts w:ascii="Arial" w:hAnsi="Arial" w:cs="Arial"/>
          <w:b/>
          <w:bCs/>
          <w:sz w:val="24"/>
          <w:szCs w:val="28"/>
        </w:rPr>
        <w:t>Overview and rationale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736"/>
        <w:gridCol w:w="1569"/>
      </w:tblGrid>
      <w:tr w:rsidR="005473CF" w:rsidRPr="00F866CD" w14:paraId="1AFAF48D" w14:textId="77777777" w:rsidTr="00E609BA">
        <w:trPr>
          <w:cantSplit/>
        </w:trPr>
        <w:tc>
          <w:tcPr>
            <w:tcW w:w="786" w:type="pct"/>
            <w:shd w:val="clear" w:color="auto" w:fill="auto"/>
          </w:tcPr>
          <w:p w14:paraId="6C148E0C" w14:textId="77777777" w:rsidR="005473CF" w:rsidRPr="00F866CD" w:rsidRDefault="005B0FE5" w:rsidP="00DA2ECC">
            <w:pPr>
              <w:spacing w:before="120"/>
              <w:rPr>
                <w:rFonts w:ascii="Arial" w:hAnsi="Arial" w:cs="Arial"/>
                <w:b/>
                <w:szCs w:val="22"/>
              </w:rPr>
            </w:pPr>
            <w:r w:rsidRPr="00F866CD">
              <w:rPr>
                <w:rFonts w:ascii="Arial" w:hAnsi="Arial" w:cs="Arial"/>
                <w:b/>
                <w:szCs w:val="22"/>
              </w:rPr>
              <w:t>Indicator</w:t>
            </w:r>
          </w:p>
        </w:tc>
        <w:tc>
          <w:tcPr>
            <w:tcW w:w="4214" w:type="pct"/>
            <w:gridSpan w:val="2"/>
            <w:shd w:val="clear" w:color="auto" w:fill="auto"/>
          </w:tcPr>
          <w:p w14:paraId="6B9A56A5" w14:textId="77777777" w:rsidR="005473CF" w:rsidRPr="00F866CD" w:rsidRDefault="00FC18A3" w:rsidP="00FD0D73">
            <w:pPr>
              <w:keepLines/>
              <w:spacing w:before="120"/>
              <w:ind w:left="567" w:hanging="567"/>
              <w:rPr>
                <w:rFonts w:ascii="Arial" w:hAnsi="Arial" w:cs="Arial"/>
                <w:b/>
                <w:szCs w:val="22"/>
              </w:rPr>
            </w:pPr>
            <w:r w:rsidRPr="00FC18A3">
              <w:rPr>
                <w:rFonts w:ascii="Arial" w:hAnsi="Arial" w:cs="Arial"/>
                <w:b/>
                <w:szCs w:val="22"/>
              </w:rPr>
              <w:t>13.</w:t>
            </w:r>
            <w:r w:rsidRPr="00FC18A3">
              <w:rPr>
                <w:rFonts w:ascii="Arial" w:hAnsi="Arial" w:cs="Arial"/>
                <w:b/>
                <w:szCs w:val="22"/>
              </w:rPr>
              <w:tab/>
              <w:t>Extent to which policies as well as legal and administrative measures in fields other than culture and education reflect the diversity of ICH and the importance of its safeguarding and are implemented</w:t>
            </w:r>
          </w:p>
        </w:tc>
      </w:tr>
      <w:tr w:rsidR="005B0FE5" w:rsidRPr="00F866CD" w14:paraId="01675C7C" w14:textId="77777777" w:rsidTr="00E609BA">
        <w:trPr>
          <w:cantSplit/>
        </w:trPr>
        <w:tc>
          <w:tcPr>
            <w:tcW w:w="786" w:type="pct"/>
            <w:vMerge w:val="restart"/>
            <w:shd w:val="clear" w:color="auto" w:fill="auto"/>
          </w:tcPr>
          <w:p w14:paraId="28847B66" w14:textId="77777777" w:rsidR="005B0FE5" w:rsidRPr="00F866CD" w:rsidRDefault="005B0FE5" w:rsidP="00DA2ECC">
            <w:pPr>
              <w:spacing w:before="120"/>
              <w:rPr>
                <w:rFonts w:ascii="Arial" w:hAnsi="Arial" w:cs="Arial"/>
                <w:b/>
                <w:szCs w:val="22"/>
              </w:rPr>
            </w:pPr>
            <w:r w:rsidRPr="00F866CD">
              <w:rPr>
                <w:rFonts w:ascii="Arial" w:hAnsi="Arial" w:cs="Arial"/>
                <w:b/>
                <w:szCs w:val="22"/>
              </w:rPr>
              <w:t>Assessment factors</w:t>
            </w:r>
          </w:p>
        </w:tc>
        <w:tc>
          <w:tcPr>
            <w:tcW w:w="4214" w:type="pct"/>
            <w:gridSpan w:val="2"/>
            <w:shd w:val="clear" w:color="auto" w:fill="auto"/>
          </w:tcPr>
          <w:p w14:paraId="7D7EB80A" w14:textId="77777777" w:rsidR="005B0FE5" w:rsidRPr="00F866CD" w:rsidRDefault="005B0FE5" w:rsidP="00946D71">
            <w:pPr>
              <w:keepLines/>
              <w:spacing w:before="120"/>
              <w:jc w:val="both"/>
              <w:rPr>
                <w:rFonts w:ascii="Arial" w:hAnsi="Arial" w:cs="Arial"/>
                <w:b/>
                <w:szCs w:val="22"/>
              </w:rPr>
            </w:pPr>
            <w:r w:rsidRPr="00F866CD">
              <w:rPr>
                <w:rFonts w:ascii="Arial" w:hAnsi="Arial" w:cs="Arial"/>
                <w:szCs w:val="22"/>
              </w:rPr>
              <w:t xml:space="preserve">This indicator is assessed on the basis of </w:t>
            </w:r>
            <w:r w:rsidR="00FD0D73">
              <w:rPr>
                <w:rFonts w:ascii="Arial" w:hAnsi="Arial" w:cs="Arial"/>
                <w:szCs w:val="22"/>
              </w:rPr>
              <w:t>five</w:t>
            </w:r>
            <w:r w:rsidRPr="00F866CD">
              <w:rPr>
                <w:rFonts w:ascii="Arial" w:hAnsi="Arial" w:cs="Arial"/>
                <w:szCs w:val="22"/>
              </w:rPr>
              <w:t xml:space="preserve"> country-level factors monitored and reported by each State Party:</w:t>
            </w:r>
          </w:p>
        </w:tc>
      </w:tr>
      <w:tr w:rsidR="00FC18A3" w:rsidRPr="00F866CD" w14:paraId="2E5CDF6A" w14:textId="77777777" w:rsidTr="00E609BA">
        <w:trPr>
          <w:cantSplit/>
        </w:trPr>
        <w:tc>
          <w:tcPr>
            <w:tcW w:w="786" w:type="pct"/>
            <w:vMerge/>
            <w:shd w:val="clear" w:color="auto" w:fill="auto"/>
          </w:tcPr>
          <w:p w14:paraId="7553B678"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2EE35FCF" w14:textId="3693DA5D" w:rsidR="00FC18A3" w:rsidRPr="00322A3A"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The Ethical Principles for Safeguarding Intangible Cultural Heritage are respected in development plans, policies and programmes.</w:t>
            </w:r>
          </w:p>
        </w:tc>
        <w:tc>
          <w:tcPr>
            <w:tcW w:w="796" w:type="pct"/>
            <w:shd w:val="clear" w:color="auto" w:fill="auto"/>
            <w:vAlign w:val="center"/>
          </w:tcPr>
          <w:p w14:paraId="63DF62EF" w14:textId="77777777" w:rsidR="00FC18A3" w:rsidRPr="00A8072E" w:rsidRDefault="00FC18A3" w:rsidP="00FC18A3">
            <w:pPr>
              <w:spacing w:before="60" w:after="60"/>
              <w:rPr>
                <w:rFonts w:ascii="Arial" w:hAnsi="Arial" w:cs="Arial"/>
                <w:sz w:val="20"/>
                <w:szCs w:val="20"/>
              </w:rPr>
            </w:pPr>
            <w:r w:rsidRPr="00A8072E">
              <w:rPr>
                <w:rFonts w:ascii="Arial" w:hAnsi="Arial" w:cs="Arial"/>
                <w:sz w:val="20"/>
                <w:szCs w:val="20"/>
              </w:rPr>
              <w:t>OD 171(c)</w:t>
            </w:r>
          </w:p>
          <w:p w14:paraId="0BE369C2" w14:textId="77777777" w:rsidR="00FC18A3" w:rsidRPr="0074360F" w:rsidRDefault="00FC18A3" w:rsidP="00FC18A3">
            <w:pPr>
              <w:keepLines/>
              <w:spacing w:before="120"/>
              <w:rPr>
                <w:rFonts w:ascii="Arial" w:hAnsi="Arial" w:cs="Arial"/>
                <w:sz w:val="20"/>
                <w:szCs w:val="20"/>
              </w:rPr>
            </w:pPr>
            <w:r w:rsidRPr="00A8072E">
              <w:rPr>
                <w:rFonts w:ascii="Arial" w:hAnsi="Arial" w:cs="Arial"/>
                <w:sz w:val="20"/>
                <w:szCs w:val="20"/>
              </w:rPr>
              <w:t>EP</w:t>
            </w:r>
          </w:p>
        </w:tc>
      </w:tr>
      <w:tr w:rsidR="00FC18A3" w:rsidRPr="00F866CD" w14:paraId="1876BD14" w14:textId="77777777" w:rsidTr="00E609BA">
        <w:trPr>
          <w:cantSplit/>
        </w:trPr>
        <w:tc>
          <w:tcPr>
            <w:tcW w:w="786" w:type="pct"/>
            <w:vMerge/>
            <w:shd w:val="clear" w:color="auto" w:fill="auto"/>
          </w:tcPr>
          <w:p w14:paraId="3BF3B83B"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0FEF774B" w14:textId="77777777" w:rsidR="00FC18A3" w:rsidRPr="00322A3A"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Policies and/or legal and administrative measures for inclusive social development</w:t>
            </w:r>
            <w:r w:rsidRPr="00A8072E">
              <w:rPr>
                <w:rFonts w:ascii="Arial" w:hAnsi="Arial" w:cs="Arial"/>
                <w:sz w:val="20"/>
                <w:szCs w:val="20"/>
                <w:vertAlign w:val="superscript"/>
                <w:lang w:val="en-GB"/>
              </w:rPr>
              <w:footnoteReference w:id="2"/>
            </w:r>
            <w:r w:rsidRPr="00A8072E">
              <w:rPr>
                <w:rFonts w:ascii="Arial" w:hAnsi="Arial" w:cs="Arial"/>
                <w:sz w:val="20"/>
                <w:szCs w:val="20"/>
                <w:lang w:val="en-GB"/>
              </w:rPr>
              <w:t xml:space="preserve"> and environmental sustainability are established or revised to consider ICH and its safeguarding.</w:t>
            </w:r>
          </w:p>
        </w:tc>
        <w:tc>
          <w:tcPr>
            <w:tcW w:w="796" w:type="pct"/>
            <w:shd w:val="clear" w:color="auto" w:fill="auto"/>
            <w:vAlign w:val="center"/>
          </w:tcPr>
          <w:p w14:paraId="70C03323" w14:textId="77777777" w:rsidR="00FC18A3" w:rsidRPr="0074360F" w:rsidRDefault="00FC18A3" w:rsidP="00FC18A3">
            <w:pPr>
              <w:spacing w:before="60" w:after="60"/>
              <w:rPr>
                <w:rFonts w:ascii="Arial" w:hAnsi="Arial" w:cs="Arial"/>
                <w:sz w:val="20"/>
                <w:szCs w:val="20"/>
              </w:rPr>
            </w:pPr>
            <w:r w:rsidRPr="00A8072E">
              <w:rPr>
                <w:rFonts w:ascii="Arial" w:hAnsi="Arial" w:cs="Arial"/>
                <w:sz w:val="20"/>
                <w:szCs w:val="20"/>
              </w:rPr>
              <w:t>OD 171(d)</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 xml:space="preserve">OD 178, </w:t>
            </w:r>
            <w:r>
              <w:rPr>
                <w:rFonts w:ascii="Arial" w:hAnsi="Arial" w:cs="Arial"/>
                <w:sz w:val="20"/>
                <w:szCs w:val="20"/>
              </w:rPr>
              <w:br/>
            </w:r>
            <w:r w:rsidRPr="00A8072E">
              <w:rPr>
                <w:rFonts w:ascii="Arial" w:hAnsi="Arial" w:cs="Arial"/>
                <w:sz w:val="20"/>
                <w:szCs w:val="20"/>
              </w:rPr>
              <w:t xml:space="preserve">OD 179, </w:t>
            </w:r>
            <w:r>
              <w:rPr>
                <w:rFonts w:ascii="Arial" w:hAnsi="Arial" w:cs="Arial"/>
                <w:sz w:val="20"/>
                <w:szCs w:val="20"/>
              </w:rPr>
              <w:br/>
            </w:r>
            <w:r w:rsidRPr="00A8072E">
              <w:rPr>
                <w:rFonts w:ascii="Arial" w:hAnsi="Arial" w:cs="Arial"/>
                <w:sz w:val="20"/>
                <w:szCs w:val="20"/>
              </w:rPr>
              <w:t xml:space="preserve">OD 181, </w:t>
            </w:r>
            <w:r>
              <w:rPr>
                <w:rFonts w:ascii="Arial" w:hAnsi="Arial" w:cs="Arial"/>
                <w:sz w:val="20"/>
                <w:szCs w:val="20"/>
              </w:rPr>
              <w:br/>
            </w:r>
            <w:r w:rsidRPr="00A8072E">
              <w:rPr>
                <w:rFonts w:ascii="Arial" w:hAnsi="Arial" w:cs="Arial"/>
                <w:sz w:val="20"/>
                <w:szCs w:val="20"/>
              </w:rPr>
              <w:t xml:space="preserve">OD 182, </w:t>
            </w:r>
            <w:r>
              <w:rPr>
                <w:rFonts w:ascii="Arial" w:hAnsi="Arial" w:cs="Arial"/>
                <w:sz w:val="20"/>
                <w:szCs w:val="20"/>
              </w:rPr>
              <w:br/>
            </w:r>
            <w:r w:rsidRPr="00A8072E">
              <w:rPr>
                <w:rFonts w:ascii="Arial" w:hAnsi="Arial" w:cs="Arial"/>
                <w:sz w:val="20"/>
                <w:szCs w:val="20"/>
              </w:rPr>
              <w:t xml:space="preserve">OD 188-190, </w:t>
            </w:r>
            <w:r>
              <w:rPr>
                <w:rFonts w:ascii="Arial" w:hAnsi="Arial" w:cs="Arial"/>
                <w:sz w:val="20"/>
                <w:szCs w:val="20"/>
              </w:rPr>
              <w:br/>
            </w:r>
            <w:r w:rsidRPr="00A8072E">
              <w:rPr>
                <w:rFonts w:ascii="Arial" w:hAnsi="Arial" w:cs="Arial"/>
                <w:sz w:val="20"/>
                <w:szCs w:val="20"/>
              </w:rPr>
              <w:t>OD 191</w:t>
            </w:r>
          </w:p>
        </w:tc>
      </w:tr>
      <w:tr w:rsidR="00FC18A3" w:rsidRPr="00F866CD" w14:paraId="12F67B38" w14:textId="77777777" w:rsidTr="00E609BA">
        <w:trPr>
          <w:cantSplit/>
        </w:trPr>
        <w:tc>
          <w:tcPr>
            <w:tcW w:w="786" w:type="pct"/>
            <w:vMerge/>
            <w:shd w:val="clear" w:color="auto" w:fill="auto"/>
          </w:tcPr>
          <w:p w14:paraId="1E406961"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28178229" w14:textId="77777777" w:rsidR="00FC18A3" w:rsidRPr="00322A3A"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hint="eastAsia"/>
                <w:sz w:val="20"/>
                <w:szCs w:val="20"/>
                <w:lang w:val="en-GB"/>
              </w:rPr>
              <w:t xml:space="preserve">Policies and/or legal and administrative measures </w:t>
            </w:r>
            <w:r w:rsidRPr="00A8072E">
              <w:rPr>
                <w:rFonts w:ascii="Arial" w:hAnsi="Arial" w:cs="Arial"/>
                <w:sz w:val="20"/>
                <w:szCs w:val="20"/>
                <w:lang w:val="en-GB"/>
              </w:rPr>
              <w:t>to</w:t>
            </w:r>
            <w:r w:rsidRPr="00A8072E">
              <w:rPr>
                <w:rFonts w:ascii="Arial" w:hAnsi="Arial" w:cs="Arial" w:hint="eastAsia"/>
                <w:sz w:val="20"/>
                <w:szCs w:val="20"/>
                <w:lang w:val="en-GB"/>
              </w:rPr>
              <w:t xml:space="preserve"> </w:t>
            </w:r>
            <w:r w:rsidRPr="00A8072E">
              <w:rPr>
                <w:rFonts w:ascii="Arial" w:hAnsi="Arial" w:cs="Arial"/>
                <w:sz w:val="20"/>
                <w:szCs w:val="20"/>
                <w:lang w:val="en-GB"/>
              </w:rPr>
              <w:t xml:space="preserve">respond to situations </w:t>
            </w:r>
            <w:r w:rsidRPr="00FD0D73">
              <w:rPr>
                <w:rFonts w:ascii="Arial" w:hAnsi="Arial" w:cs="Arial"/>
                <w:sz w:val="20"/>
                <w:szCs w:val="20"/>
                <w:lang w:val="en-GB"/>
              </w:rPr>
              <w:t xml:space="preserve">of natural </w:t>
            </w:r>
            <w:r w:rsidRPr="00FD0D73">
              <w:rPr>
                <w:rFonts w:ascii="Arial" w:hAnsi="Arial" w:cs="Arial" w:hint="eastAsia"/>
                <w:sz w:val="20"/>
                <w:szCs w:val="20"/>
                <w:lang w:val="en-GB"/>
              </w:rPr>
              <w:t xml:space="preserve">disaster </w:t>
            </w:r>
            <w:r w:rsidRPr="00FD0D73">
              <w:rPr>
                <w:rFonts w:ascii="Arial" w:hAnsi="Arial" w:cs="Arial"/>
                <w:sz w:val="20"/>
                <w:szCs w:val="20"/>
                <w:lang w:val="en-GB"/>
              </w:rPr>
              <w:t xml:space="preserve">or armed conflict </w:t>
            </w:r>
            <w:r w:rsidRPr="00FD0D73">
              <w:rPr>
                <w:rFonts w:ascii="Arial" w:hAnsi="Arial" w:cs="Arial" w:hint="eastAsia"/>
                <w:sz w:val="20"/>
                <w:szCs w:val="20"/>
                <w:lang w:val="en-GB"/>
              </w:rPr>
              <w:t xml:space="preserve">are established or revised to </w:t>
            </w:r>
            <w:r w:rsidRPr="00FD0D73">
              <w:rPr>
                <w:rFonts w:ascii="Arial" w:hAnsi="Arial" w:cs="Arial"/>
                <w:sz w:val="20"/>
                <w:szCs w:val="20"/>
                <w:lang w:val="en-GB"/>
              </w:rPr>
              <w:t>inc</w:t>
            </w:r>
            <w:r w:rsidRPr="00A8072E">
              <w:rPr>
                <w:rFonts w:ascii="Arial" w:hAnsi="Arial" w:cs="Arial"/>
                <w:sz w:val="20"/>
                <w:szCs w:val="20"/>
                <w:lang w:val="en-GB"/>
              </w:rPr>
              <w:t xml:space="preserve">lude </w:t>
            </w:r>
            <w:r w:rsidRPr="00A8072E">
              <w:rPr>
                <w:rFonts w:ascii="Arial" w:hAnsi="Arial" w:cs="Arial" w:hint="eastAsia"/>
                <w:sz w:val="20"/>
                <w:szCs w:val="20"/>
                <w:lang w:val="en-GB"/>
              </w:rPr>
              <w:t xml:space="preserve">the ICH affected and </w:t>
            </w:r>
            <w:r w:rsidRPr="00A8072E">
              <w:rPr>
                <w:rFonts w:ascii="Arial" w:hAnsi="Arial" w:cs="Arial"/>
                <w:sz w:val="20"/>
                <w:szCs w:val="20"/>
                <w:lang w:val="en-GB"/>
              </w:rPr>
              <w:t xml:space="preserve">to </w:t>
            </w:r>
            <w:r w:rsidRPr="00A8072E">
              <w:rPr>
                <w:rFonts w:ascii="Arial" w:hAnsi="Arial" w:cs="Arial" w:hint="eastAsia"/>
                <w:sz w:val="20"/>
                <w:szCs w:val="20"/>
                <w:lang w:val="en-GB"/>
              </w:rPr>
              <w:t xml:space="preserve">recognize its </w:t>
            </w:r>
            <w:r w:rsidRPr="00A8072E">
              <w:rPr>
                <w:rFonts w:ascii="Arial" w:hAnsi="Arial" w:cs="Arial"/>
                <w:sz w:val="20"/>
                <w:szCs w:val="20"/>
                <w:lang w:val="en-GB"/>
              </w:rPr>
              <w:t xml:space="preserve">importance </w:t>
            </w:r>
            <w:r w:rsidRPr="00A8072E">
              <w:rPr>
                <w:rFonts w:ascii="Arial" w:hAnsi="Arial" w:cs="Arial" w:hint="eastAsia"/>
                <w:sz w:val="20"/>
                <w:szCs w:val="20"/>
                <w:lang w:val="en-GB"/>
              </w:rPr>
              <w:t xml:space="preserve">for the resilience of the </w:t>
            </w:r>
            <w:r w:rsidRPr="00A8072E">
              <w:rPr>
                <w:rFonts w:ascii="Arial" w:hAnsi="Arial" w:cs="Arial"/>
                <w:sz w:val="20"/>
                <w:szCs w:val="20"/>
                <w:lang w:val="en-GB"/>
              </w:rPr>
              <w:t>affected populations</w:t>
            </w:r>
            <w:r w:rsidRPr="00A8072E">
              <w:rPr>
                <w:rFonts w:ascii="Arial" w:hAnsi="Arial" w:cs="Arial" w:hint="eastAsia"/>
                <w:sz w:val="20"/>
                <w:szCs w:val="20"/>
                <w:lang w:val="en-GB"/>
              </w:rPr>
              <w:t>.</w:t>
            </w:r>
          </w:p>
        </w:tc>
        <w:tc>
          <w:tcPr>
            <w:tcW w:w="796" w:type="pct"/>
            <w:shd w:val="clear" w:color="auto" w:fill="auto"/>
            <w:vAlign w:val="center"/>
          </w:tcPr>
          <w:p w14:paraId="28E92328" w14:textId="77777777" w:rsidR="00FC18A3" w:rsidRPr="0074360F" w:rsidRDefault="00FD0D73" w:rsidP="00FD0D73">
            <w:pPr>
              <w:keepLines/>
              <w:spacing w:before="120"/>
              <w:rPr>
                <w:rFonts w:ascii="Arial" w:hAnsi="Arial" w:cs="Arial"/>
                <w:sz w:val="20"/>
                <w:szCs w:val="20"/>
              </w:rPr>
            </w:pPr>
            <w:r w:rsidRPr="001B1634">
              <w:rPr>
                <w:rFonts w:ascii="Arial" w:hAnsi="Arial" w:cs="Arial"/>
                <w:sz w:val="20"/>
                <w:szCs w:val="20"/>
              </w:rPr>
              <w:t>OD 188, OD 191, OD 196</w:t>
            </w:r>
          </w:p>
        </w:tc>
      </w:tr>
      <w:tr w:rsidR="00FC18A3" w:rsidRPr="00F866CD" w14:paraId="5BAC45FF" w14:textId="77777777" w:rsidTr="00E609BA">
        <w:trPr>
          <w:cantSplit/>
        </w:trPr>
        <w:tc>
          <w:tcPr>
            <w:tcW w:w="786" w:type="pct"/>
            <w:vMerge/>
            <w:shd w:val="clear" w:color="auto" w:fill="auto"/>
          </w:tcPr>
          <w:p w14:paraId="14E1C3FA"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3427FCE0" w14:textId="77777777" w:rsidR="00FC18A3" w:rsidRPr="00322A3A"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Policies and/or legal and administrative measures for inclusive economic development are established or revised to consider ICH and its safeguarding.</w:t>
            </w:r>
            <w:r w:rsidRPr="00A8072E">
              <w:rPr>
                <w:rFonts w:ascii="Arial" w:hAnsi="Arial" w:cs="Arial"/>
                <w:sz w:val="20"/>
                <w:szCs w:val="20"/>
                <w:vertAlign w:val="superscript"/>
                <w:lang w:val="en-GB"/>
              </w:rPr>
              <w:footnoteReference w:id="3"/>
            </w:r>
          </w:p>
        </w:tc>
        <w:tc>
          <w:tcPr>
            <w:tcW w:w="796" w:type="pct"/>
            <w:shd w:val="clear" w:color="auto" w:fill="auto"/>
            <w:vAlign w:val="center"/>
          </w:tcPr>
          <w:p w14:paraId="7D1CF9E8" w14:textId="77777777" w:rsidR="00FC18A3" w:rsidRPr="0074360F" w:rsidRDefault="00FC18A3" w:rsidP="00FC18A3">
            <w:pPr>
              <w:keepLines/>
              <w:spacing w:before="120"/>
              <w:rPr>
                <w:rFonts w:ascii="Arial" w:hAnsi="Arial" w:cs="Arial"/>
                <w:sz w:val="20"/>
                <w:szCs w:val="20"/>
              </w:rPr>
            </w:pPr>
            <w:r w:rsidRPr="00A8072E">
              <w:rPr>
                <w:rFonts w:ascii="Arial" w:hAnsi="Arial" w:cs="Arial"/>
                <w:sz w:val="20"/>
                <w:szCs w:val="20"/>
              </w:rPr>
              <w:t>OD 171(d)</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183-186</w:t>
            </w:r>
          </w:p>
        </w:tc>
      </w:tr>
      <w:tr w:rsidR="00FC18A3" w:rsidRPr="00F866CD" w14:paraId="2A1AFFB4" w14:textId="77777777" w:rsidTr="00E609BA">
        <w:trPr>
          <w:cantSplit/>
        </w:trPr>
        <w:tc>
          <w:tcPr>
            <w:tcW w:w="786" w:type="pct"/>
            <w:vMerge/>
            <w:shd w:val="clear" w:color="auto" w:fill="auto"/>
          </w:tcPr>
          <w:p w14:paraId="7B062645" w14:textId="77777777" w:rsidR="00FC18A3" w:rsidRPr="00F866CD" w:rsidRDefault="00FC18A3" w:rsidP="00FC18A3">
            <w:pPr>
              <w:spacing w:before="120"/>
              <w:rPr>
                <w:rFonts w:ascii="Arial" w:hAnsi="Arial" w:cs="Arial"/>
                <w:b/>
                <w:szCs w:val="22"/>
              </w:rPr>
            </w:pPr>
          </w:p>
        </w:tc>
        <w:tc>
          <w:tcPr>
            <w:tcW w:w="3418" w:type="pct"/>
            <w:shd w:val="clear" w:color="auto" w:fill="auto"/>
            <w:vAlign w:val="center"/>
          </w:tcPr>
          <w:p w14:paraId="35F70EB7" w14:textId="77777777" w:rsidR="00FC18A3" w:rsidRPr="00322A3A" w:rsidRDefault="00FC18A3" w:rsidP="001B1634">
            <w:pPr>
              <w:pStyle w:val="ListParagraph"/>
              <w:keepLines/>
              <w:numPr>
                <w:ilvl w:val="1"/>
                <w:numId w:val="75"/>
              </w:numPr>
              <w:spacing w:before="120" w:after="120" w:line="240" w:lineRule="auto"/>
              <w:ind w:left="583" w:hanging="567"/>
              <w:contextualSpacing w:val="0"/>
              <w:rPr>
                <w:rFonts w:ascii="Arial" w:hAnsi="Arial" w:cs="Arial"/>
                <w:sz w:val="20"/>
                <w:szCs w:val="20"/>
              </w:rPr>
            </w:pPr>
            <w:r w:rsidRPr="00A8072E">
              <w:rPr>
                <w:rFonts w:ascii="Arial" w:hAnsi="Arial" w:cs="Arial"/>
                <w:sz w:val="20"/>
                <w:szCs w:val="20"/>
                <w:lang w:val="en-GB"/>
              </w:rPr>
              <w:t>Favourable financial or fiscal measures or incentives are established or revised to facilitate and/or encourage practice and transmission of ICH and increase availability of natural and other resources required for its practice.</w:t>
            </w:r>
          </w:p>
        </w:tc>
        <w:tc>
          <w:tcPr>
            <w:tcW w:w="796" w:type="pct"/>
            <w:shd w:val="clear" w:color="auto" w:fill="auto"/>
            <w:vAlign w:val="center"/>
          </w:tcPr>
          <w:p w14:paraId="61FC60D0" w14:textId="77777777" w:rsidR="00FC18A3" w:rsidRPr="0074360F" w:rsidRDefault="00FC18A3" w:rsidP="00FC18A3">
            <w:pPr>
              <w:spacing w:before="60" w:after="60"/>
              <w:rPr>
                <w:rFonts w:ascii="Arial" w:hAnsi="Arial" w:cs="Arial"/>
                <w:sz w:val="20"/>
                <w:szCs w:val="20"/>
              </w:rPr>
            </w:pPr>
            <w:r w:rsidRPr="00A8072E">
              <w:rPr>
                <w:rFonts w:ascii="Arial" w:hAnsi="Arial" w:cs="Arial"/>
                <w:sz w:val="20"/>
                <w:szCs w:val="20"/>
              </w:rPr>
              <w:t>OD 78</w:t>
            </w:r>
            <w:r>
              <w:rPr>
                <w:rFonts w:ascii="Arial" w:hAnsi="Arial" w:cs="Arial"/>
                <w:sz w:val="20"/>
                <w:szCs w:val="20"/>
              </w:rPr>
              <w:t xml:space="preserve">, </w:t>
            </w:r>
            <w:r>
              <w:rPr>
                <w:rFonts w:ascii="Arial" w:hAnsi="Arial" w:cs="Arial"/>
                <w:sz w:val="20"/>
                <w:szCs w:val="20"/>
              </w:rPr>
              <w:br/>
            </w:r>
            <w:r w:rsidRPr="00A8072E">
              <w:rPr>
                <w:rFonts w:ascii="Arial" w:hAnsi="Arial" w:cs="Arial"/>
                <w:sz w:val="20"/>
                <w:szCs w:val="20"/>
              </w:rPr>
              <w:t>OD 186(b)</w:t>
            </w:r>
          </w:p>
        </w:tc>
      </w:tr>
      <w:tr w:rsidR="005473CF" w:rsidRPr="00F866CD" w14:paraId="6FF1B585" w14:textId="77777777" w:rsidTr="00E609BA">
        <w:tc>
          <w:tcPr>
            <w:tcW w:w="786" w:type="pct"/>
            <w:shd w:val="clear" w:color="auto" w:fill="auto"/>
          </w:tcPr>
          <w:p w14:paraId="68D064B2" w14:textId="77777777" w:rsidR="005473CF" w:rsidRPr="00F866CD" w:rsidRDefault="005473CF" w:rsidP="007C0B7B">
            <w:pPr>
              <w:spacing w:before="120"/>
              <w:rPr>
                <w:rFonts w:ascii="Arial" w:hAnsi="Arial" w:cs="Arial"/>
                <w:b/>
                <w:szCs w:val="22"/>
              </w:rPr>
            </w:pPr>
            <w:r w:rsidRPr="00F866CD">
              <w:rPr>
                <w:rFonts w:ascii="Arial" w:hAnsi="Arial" w:cs="Arial"/>
                <w:b/>
                <w:szCs w:val="22"/>
              </w:rPr>
              <w:t>Relation with SDGs and other indicators</w:t>
            </w:r>
          </w:p>
        </w:tc>
        <w:tc>
          <w:tcPr>
            <w:tcW w:w="4214" w:type="pct"/>
            <w:gridSpan w:val="2"/>
            <w:shd w:val="clear" w:color="auto" w:fill="auto"/>
          </w:tcPr>
          <w:p w14:paraId="1DB3E55F" w14:textId="0F2453E5" w:rsidR="005473CF" w:rsidRDefault="005473CF" w:rsidP="007C0B7B">
            <w:pPr>
              <w:spacing w:before="120"/>
              <w:jc w:val="both"/>
              <w:rPr>
                <w:rFonts w:ascii="Arial" w:hAnsi="Arial" w:cs="Arial"/>
                <w:szCs w:val="22"/>
              </w:rPr>
            </w:pPr>
            <w:r w:rsidRPr="00F866CD">
              <w:rPr>
                <w:rFonts w:ascii="Arial" w:hAnsi="Arial" w:cs="Arial"/>
                <w:b/>
                <w:bCs/>
                <w:szCs w:val="22"/>
              </w:rPr>
              <w:t xml:space="preserve">Sustainable Development Goals: </w:t>
            </w:r>
            <w:r w:rsidR="00213555">
              <w:rPr>
                <w:rFonts w:ascii="Arial" w:hAnsi="Arial" w:cs="Arial"/>
                <w:szCs w:val="22"/>
              </w:rPr>
              <w:t>Th</w:t>
            </w:r>
            <w:r w:rsidR="005C1D00">
              <w:rPr>
                <w:rFonts w:ascii="Arial" w:hAnsi="Arial" w:cs="Arial"/>
                <w:szCs w:val="22"/>
              </w:rPr>
              <w:t xml:space="preserve">e present indicator supports numerous </w:t>
            </w:r>
            <w:r w:rsidR="00213555">
              <w:rPr>
                <w:rFonts w:ascii="Arial" w:hAnsi="Arial" w:cs="Arial"/>
                <w:szCs w:val="22"/>
              </w:rPr>
              <w:t xml:space="preserve">if not all </w:t>
            </w:r>
            <w:r w:rsidR="005C1D00">
              <w:rPr>
                <w:rFonts w:ascii="Arial" w:hAnsi="Arial" w:cs="Arial"/>
                <w:szCs w:val="22"/>
              </w:rPr>
              <w:t>Goals and Targets</w:t>
            </w:r>
            <w:r w:rsidR="00F45C2D">
              <w:rPr>
                <w:rFonts w:ascii="Arial" w:hAnsi="Arial" w:cs="Arial"/>
                <w:szCs w:val="22"/>
              </w:rPr>
              <w:t xml:space="preserve"> of the 2030 Agenda</w:t>
            </w:r>
            <w:r w:rsidR="00213555">
              <w:rPr>
                <w:rFonts w:ascii="Arial" w:hAnsi="Arial" w:cs="Arial"/>
                <w:szCs w:val="22"/>
              </w:rPr>
              <w:t xml:space="preserve">, insofar </w:t>
            </w:r>
            <w:r w:rsidR="009070F1">
              <w:rPr>
                <w:rFonts w:ascii="Arial" w:hAnsi="Arial" w:cs="Arial"/>
                <w:szCs w:val="22"/>
              </w:rPr>
              <w:t>as</w:t>
            </w:r>
            <w:r w:rsidR="00213555" w:rsidRPr="008629D7">
              <w:rPr>
                <w:rFonts w:ascii="Arial" w:hAnsi="Arial" w:cs="Arial"/>
                <w:szCs w:val="22"/>
              </w:rPr>
              <w:t xml:space="preserve"> ICH safeguarding </w:t>
            </w:r>
            <w:r w:rsidR="00213555">
              <w:rPr>
                <w:rFonts w:ascii="Arial" w:hAnsi="Arial" w:cs="Arial"/>
                <w:szCs w:val="22"/>
              </w:rPr>
              <w:t xml:space="preserve">itself </w:t>
            </w:r>
            <w:r w:rsidR="00213555" w:rsidRPr="008629D7">
              <w:rPr>
                <w:rFonts w:ascii="Arial" w:hAnsi="Arial" w:cs="Arial"/>
                <w:szCs w:val="22"/>
              </w:rPr>
              <w:t xml:space="preserve">can </w:t>
            </w:r>
            <w:r w:rsidR="00213555">
              <w:rPr>
                <w:rFonts w:ascii="Arial" w:hAnsi="Arial" w:cs="Arial"/>
                <w:szCs w:val="22"/>
              </w:rPr>
              <w:t xml:space="preserve">contribute to many if not all </w:t>
            </w:r>
            <w:r w:rsidR="00F45C2D">
              <w:rPr>
                <w:rFonts w:ascii="Arial" w:hAnsi="Arial" w:cs="Arial"/>
                <w:szCs w:val="22"/>
              </w:rPr>
              <w:t xml:space="preserve">Sustainable Development </w:t>
            </w:r>
            <w:r w:rsidR="00213555">
              <w:rPr>
                <w:rFonts w:ascii="Arial" w:hAnsi="Arial" w:cs="Arial"/>
                <w:szCs w:val="22"/>
              </w:rPr>
              <w:t xml:space="preserve">Goals. However, unlike indicators 11 and 12, this indicator </w:t>
            </w:r>
            <w:r w:rsidR="00F45C2D">
              <w:rPr>
                <w:rFonts w:ascii="Arial" w:hAnsi="Arial" w:cs="Arial"/>
                <w:szCs w:val="22"/>
              </w:rPr>
              <w:t xml:space="preserve">seeks to identify </w:t>
            </w:r>
            <w:r w:rsidR="00213555">
              <w:rPr>
                <w:rFonts w:ascii="Arial" w:hAnsi="Arial" w:cs="Arial"/>
                <w:szCs w:val="22"/>
              </w:rPr>
              <w:t xml:space="preserve">the use of ICH safeguarding in </w:t>
            </w:r>
            <w:r w:rsidR="00F45C2D">
              <w:rPr>
                <w:rFonts w:ascii="Arial" w:hAnsi="Arial" w:cs="Arial"/>
                <w:szCs w:val="22"/>
              </w:rPr>
              <w:t xml:space="preserve">the plans and programmes in fields </w:t>
            </w:r>
            <w:r w:rsidR="00213555">
              <w:rPr>
                <w:rFonts w:ascii="Arial" w:hAnsi="Arial" w:cs="Arial"/>
                <w:szCs w:val="22"/>
              </w:rPr>
              <w:t>other than culture or education</w:t>
            </w:r>
            <w:r w:rsidR="00F45C2D">
              <w:rPr>
                <w:rFonts w:ascii="Arial" w:hAnsi="Arial" w:cs="Arial"/>
                <w:szCs w:val="22"/>
              </w:rPr>
              <w:t xml:space="preserve"> such as those </w:t>
            </w:r>
            <w:r w:rsidR="00F45C2D" w:rsidRPr="008629D7">
              <w:rPr>
                <w:rFonts w:ascii="Arial" w:hAnsi="Arial" w:cs="Arial"/>
                <w:szCs w:val="22"/>
              </w:rPr>
              <w:t>related to sustainable agriculture (SDG 2), health</w:t>
            </w:r>
            <w:r w:rsidR="00F45C2D">
              <w:rPr>
                <w:rFonts w:ascii="Arial" w:hAnsi="Arial" w:cs="Arial"/>
                <w:szCs w:val="22"/>
              </w:rPr>
              <w:t xml:space="preserve"> and well-being (SDG </w:t>
            </w:r>
            <w:r w:rsidR="00F45C2D" w:rsidRPr="008629D7">
              <w:rPr>
                <w:rFonts w:ascii="Arial" w:hAnsi="Arial" w:cs="Arial"/>
                <w:szCs w:val="22"/>
              </w:rPr>
              <w:t xml:space="preserve">3), sustainable water-use (SDG 6), biodiversity (SDG 15), </w:t>
            </w:r>
            <w:r w:rsidR="00F45C2D">
              <w:rPr>
                <w:rFonts w:ascii="Arial" w:hAnsi="Arial" w:cs="Arial"/>
                <w:szCs w:val="22"/>
              </w:rPr>
              <w:t xml:space="preserve">and </w:t>
            </w:r>
            <w:r w:rsidR="00F45C2D" w:rsidRPr="008629D7">
              <w:rPr>
                <w:rFonts w:ascii="Arial" w:hAnsi="Arial" w:cs="Arial"/>
                <w:szCs w:val="22"/>
              </w:rPr>
              <w:t>others</w:t>
            </w:r>
            <w:r w:rsidR="00213555">
              <w:rPr>
                <w:rFonts w:ascii="Arial" w:hAnsi="Arial" w:cs="Arial"/>
                <w:szCs w:val="22"/>
              </w:rPr>
              <w:t xml:space="preserve">. </w:t>
            </w:r>
            <w:r w:rsidR="00F45C2D">
              <w:rPr>
                <w:rFonts w:ascii="Arial" w:hAnsi="Arial" w:cs="Arial"/>
                <w:szCs w:val="22"/>
              </w:rPr>
              <w:t xml:space="preserve">In that sense this indicator possibly has the broadest application to the Sustainable Development Goals. </w:t>
            </w:r>
          </w:p>
          <w:p w14:paraId="717D534D" w14:textId="73ECE8D4" w:rsidR="005473CF" w:rsidRPr="007C0B7B" w:rsidRDefault="005473CF" w:rsidP="00786500">
            <w:pPr>
              <w:spacing w:before="120"/>
              <w:jc w:val="both"/>
              <w:rPr>
                <w:rFonts w:ascii="Arial" w:hAnsi="Arial" w:cs="Arial"/>
                <w:bCs/>
                <w:szCs w:val="22"/>
              </w:rPr>
            </w:pPr>
            <w:r w:rsidRPr="00F866CD">
              <w:rPr>
                <w:rFonts w:ascii="Arial" w:hAnsi="Arial" w:cs="Arial"/>
                <w:b/>
                <w:szCs w:val="22"/>
              </w:rPr>
              <w:t>Relation to other indicators:</w:t>
            </w:r>
            <w:r w:rsidRPr="00F866CD">
              <w:rPr>
                <w:rFonts w:ascii="Arial" w:hAnsi="Arial" w:cs="Arial"/>
                <w:bCs/>
                <w:szCs w:val="22"/>
              </w:rPr>
              <w:t xml:space="preserve"> </w:t>
            </w:r>
            <w:r w:rsidR="007C0B7B">
              <w:rPr>
                <w:rFonts w:ascii="Arial" w:hAnsi="Arial" w:cs="Arial"/>
                <w:bCs/>
                <w:szCs w:val="22"/>
              </w:rPr>
              <w:t xml:space="preserve">Taking in a broad range of policies and legal and administrative measures in a number of development sectors, Indicator 13 complements Indicator 11, </w:t>
            </w:r>
            <w:r w:rsidR="00612FDA">
              <w:rPr>
                <w:rFonts w:ascii="Arial" w:hAnsi="Arial" w:cs="Arial"/>
                <w:bCs/>
                <w:szCs w:val="22"/>
              </w:rPr>
              <w:t xml:space="preserve">which is </w:t>
            </w:r>
            <w:r w:rsidR="007C0B7B">
              <w:rPr>
                <w:rFonts w:ascii="Arial" w:hAnsi="Arial" w:cs="Arial"/>
                <w:bCs/>
                <w:szCs w:val="22"/>
              </w:rPr>
              <w:t xml:space="preserve">focused on the culture sector, and Indicator 12, </w:t>
            </w:r>
            <w:r w:rsidR="00612FDA">
              <w:rPr>
                <w:rFonts w:ascii="Arial" w:hAnsi="Arial" w:cs="Arial"/>
                <w:bCs/>
                <w:szCs w:val="22"/>
              </w:rPr>
              <w:t>which is</w:t>
            </w:r>
            <w:r w:rsidR="007C0B7B">
              <w:rPr>
                <w:rFonts w:ascii="Arial" w:hAnsi="Arial" w:cs="Arial"/>
                <w:bCs/>
                <w:szCs w:val="22"/>
              </w:rPr>
              <w:t xml:space="preserve"> focussed on the education sector. In turn, Indicator 14 focuses on certain desirable conditions for policies and measures in every sector. Where the present indicator concerns the policy context, Indicators 15 and 16 turn to the programmes </w:t>
            </w:r>
            <w:r w:rsidR="007C0B7B">
              <w:rPr>
                <w:rFonts w:ascii="Arial" w:hAnsi="Arial" w:cs="Arial"/>
                <w:bCs/>
                <w:szCs w:val="22"/>
              </w:rPr>
              <w:lastRenderedPageBreak/>
              <w:t xml:space="preserve">and plans through which those policies are translated into action, particularly in the area of sustainable development. </w:t>
            </w:r>
          </w:p>
        </w:tc>
      </w:tr>
      <w:tr w:rsidR="00896177" w:rsidRPr="00F866CD" w14:paraId="29FB4F01" w14:textId="77777777" w:rsidTr="00E609BA">
        <w:trPr>
          <w:cantSplit/>
        </w:trPr>
        <w:tc>
          <w:tcPr>
            <w:tcW w:w="786" w:type="pct"/>
            <w:shd w:val="clear" w:color="auto" w:fill="auto"/>
          </w:tcPr>
          <w:p w14:paraId="26CD9598" w14:textId="77777777" w:rsidR="00896177" w:rsidRPr="00F866CD" w:rsidRDefault="002C28BA" w:rsidP="00A7283F">
            <w:pPr>
              <w:spacing w:before="120"/>
              <w:rPr>
                <w:rFonts w:ascii="Arial" w:hAnsi="Arial" w:cs="Arial"/>
                <w:b/>
                <w:szCs w:val="22"/>
              </w:rPr>
            </w:pPr>
            <w:r w:rsidRPr="00F866CD">
              <w:rPr>
                <w:rFonts w:ascii="Arial" w:hAnsi="Arial" w:cs="Arial"/>
                <w:b/>
                <w:szCs w:val="22"/>
              </w:rPr>
              <w:lastRenderedPageBreak/>
              <w:t>Rationale for action</w:t>
            </w:r>
          </w:p>
        </w:tc>
        <w:tc>
          <w:tcPr>
            <w:tcW w:w="4214" w:type="pct"/>
            <w:gridSpan w:val="2"/>
            <w:shd w:val="clear" w:color="auto" w:fill="auto"/>
          </w:tcPr>
          <w:p w14:paraId="37F0BFD0" w14:textId="6DD85318" w:rsidR="00704766" w:rsidRPr="00F866CD" w:rsidRDefault="00D044CD" w:rsidP="00F45C2D">
            <w:pPr>
              <w:keepLines/>
              <w:spacing w:before="120"/>
              <w:jc w:val="both"/>
              <w:rPr>
                <w:rFonts w:asciiTheme="minorBidi" w:hAnsiTheme="minorBidi" w:cstheme="minorBidi"/>
                <w:szCs w:val="22"/>
              </w:rPr>
            </w:pPr>
            <w:r>
              <w:rPr>
                <w:rFonts w:asciiTheme="minorBidi" w:hAnsiTheme="minorBidi" w:cstheme="minorBidi"/>
                <w:szCs w:val="22"/>
              </w:rPr>
              <w:t xml:space="preserve">The Convention calls upon each State to ‘adopt </w:t>
            </w:r>
            <w:r w:rsidRPr="00D044CD">
              <w:rPr>
                <w:rFonts w:asciiTheme="minorBidi" w:hAnsiTheme="minorBidi" w:cstheme="minorBidi"/>
                <w:szCs w:val="22"/>
              </w:rPr>
              <w:t>a general policy aimed at promoting the function of the intangible cultural heritage in</w:t>
            </w:r>
            <w:r>
              <w:rPr>
                <w:rFonts w:asciiTheme="minorBidi" w:hAnsiTheme="minorBidi" w:cstheme="minorBidi"/>
                <w:szCs w:val="22"/>
              </w:rPr>
              <w:t xml:space="preserve"> </w:t>
            </w:r>
            <w:r w:rsidRPr="00D044CD">
              <w:rPr>
                <w:rFonts w:asciiTheme="minorBidi" w:hAnsiTheme="minorBidi" w:cstheme="minorBidi"/>
                <w:szCs w:val="22"/>
              </w:rPr>
              <w:t>society, and at integrating the safeguarding of such heritage into planning programmes</w:t>
            </w:r>
            <w:r>
              <w:rPr>
                <w:rFonts w:asciiTheme="minorBidi" w:hAnsiTheme="minorBidi" w:cstheme="minorBidi"/>
                <w:szCs w:val="22"/>
              </w:rPr>
              <w:t xml:space="preserve">’ (Article 13(a)). In response, States have adopted </w:t>
            </w:r>
            <w:r w:rsidR="004063DD">
              <w:rPr>
                <w:rFonts w:asciiTheme="minorBidi" w:hAnsiTheme="minorBidi" w:cstheme="minorBidi"/>
                <w:szCs w:val="22"/>
              </w:rPr>
              <w:t>Chapter VI</w:t>
            </w:r>
            <w:r>
              <w:rPr>
                <w:rFonts w:asciiTheme="minorBidi" w:hAnsiTheme="minorBidi" w:cstheme="minorBidi"/>
                <w:szCs w:val="22"/>
              </w:rPr>
              <w:t xml:space="preserve"> of </w:t>
            </w:r>
            <w:r w:rsidR="004063DD">
              <w:rPr>
                <w:rFonts w:asciiTheme="minorBidi" w:hAnsiTheme="minorBidi" w:cstheme="minorBidi"/>
                <w:szCs w:val="22"/>
              </w:rPr>
              <w:t xml:space="preserve">the </w:t>
            </w:r>
            <w:r>
              <w:rPr>
                <w:rFonts w:asciiTheme="minorBidi" w:hAnsiTheme="minorBidi" w:cstheme="minorBidi"/>
                <w:szCs w:val="22"/>
              </w:rPr>
              <w:t>Operational Directives</w:t>
            </w:r>
            <w:r w:rsidR="004063DD">
              <w:rPr>
                <w:rFonts w:asciiTheme="minorBidi" w:hAnsiTheme="minorBidi" w:cstheme="minorBidi"/>
                <w:szCs w:val="22"/>
              </w:rPr>
              <w:t>,</w:t>
            </w:r>
            <w:r>
              <w:rPr>
                <w:rFonts w:asciiTheme="minorBidi" w:hAnsiTheme="minorBidi" w:cstheme="minorBidi"/>
                <w:szCs w:val="22"/>
              </w:rPr>
              <w:t xml:space="preserve"> addressing the relations between safeguarding ICH and sustainable development (ODs 170-197) and calling for a range of programmes and activities to be implemented, along with policies and legal and administrative measures to guide such programmes and maximize their impacts. </w:t>
            </w:r>
            <w:r w:rsidR="00CC520F">
              <w:rPr>
                <w:rFonts w:asciiTheme="minorBidi" w:hAnsiTheme="minorBidi" w:cstheme="minorBidi"/>
                <w:szCs w:val="22"/>
              </w:rPr>
              <w:t>Few</w:t>
            </w:r>
            <w:r w:rsidR="00F45C2D">
              <w:rPr>
                <w:rFonts w:asciiTheme="minorBidi" w:hAnsiTheme="minorBidi" w:cstheme="minorBidi"/>
                <w:szCs w:val="22"/>
              </w:rPr>
              <w:t>,</w:t>
            </w:r>
            <w:r w:rsidR="00CC520F">
              <w:rPr>
                <w:rFonts w:asciiTheme="minorBidi" w:hAnsiTheme="minorBidi" w:cstheme="minorBidi"/>
                <w:szCs w:val="22"/>
              </w:rPr>
              <w:t xml:space="preserve"> </w:t>
            </w:r>
            <w:r w:rsidR="00F45C2D">
              <w:rPr>
                <w:rFonts w:asciiTheme="minorBidi" w:hAnsiTheme="minorBidi" w:cstheme="minorBidi"/>
                <w:szCs w:val="22"/>
              </w:rPr>
              <w:t xml:space="preserve">if any, </w:t>
            </w:r>
            <w:r w:rsidR="00CC520F">
              <w:rPr>
                <w:rFonts w:asciiTheme="minorBidi" w:hAnsiTheme="minorBidi" w:cstheme="minorBidi"/>
                <w:szCs w:val="22"/>
              </w:rPr>
              <w:t>States will address policy development simultaneously in the full range of sectors reflected in this indicator or the relevant directives, but many will find it useful to establish or revise policies and legal and administrative measures addressing one or more of the sectors identified here.</w:t>
            </w:r>
          </w:p>
        </w:tc>
      </w:tr>
      <w:tr w:rsidR="00704766" w:rsidRPr="00F866CD" w14:paraId="4FEABE19" w14:textId="77777777" w:rsidTr="00E609BA">
        <w:trPr>
          <w:cantSplit/>
        </w:trPr>
        <w:tc>
          <w:tcPr>
            <w:tcW w:w="786" w:type="pct"/>
            <w:shd w:val="clear" w:color="auto" w:fill="auto"/>
          </w:tcPr>
          <w:p w14:paraId="2EF8C9B3" w14:textId="77777777" w:rsidR="00704766" w:rsidRPr="00F866CD" w:rsidRDefault="00704766" w:rsidP="00BE5B3F">
            <w:pPr>
              <w:spacing w:before="120" w:after="60"/>
              <w:jc w:val="both"/>
              <w:rPr>
                <w:rFonts w:asciiTheme="minorBidi" w:hAnsiTheme="minorBidi" w:cstheme="minorBidi"/>
                <w:b/>
                <w:szCs w:val="22"/>
              </w:rPr>
            </w:pPr>
            <w:r w:rsidRPr="00F866CD">
              <w:rPr>
                <w:rFonts w:asciiTheme="minorBidi" w:hAnsiTheme="minorBidi" w:cstheme="minorBidi"/>
                <w:b/>
                <w:szCs w:val="22"/>
              </w:rPr>
              <w:t>Key terms</w:t>
            </w:r>
          </w:p>
        </w:tc>
        <w:tc>
          <w:tcPr>
            <w:tcW w:w="4214" w:type="pct"/>
            <w:gridSpan w:val="2"/>
            <w:shd w:val="clear" w:color="auto" w:fill="auto"/>
          </w:tcPr>
          <w:p w14:paraId="195EA714" w14:textId="77777777" w:rsidR="00D36EFE" w:rsidRDefault="00D36EFE"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Policies</w:t>
            </w:r>
          </w:p>
          <w:p w14:paraId="5F3C75F1" w14:textId="77777777" w:rsidR="00D36EFE" w:rsidRDefault="00D36EFE"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Legal measures</w:t>
            </w:r>
          </w:p>
          <w:p w14:paraId="2D8589ED" w14:textId="77777777" w:rsidR="00D36EFE" w:rsidRDefault="00D36EFE"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Administrative measures</w:t>
            </w:r>
          </w:p>
          <w:p w14:paraId="770907BC" w14:textId="77777777" w:rsidR="00704766" w:rsidRDefault="00FC18A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Diversity (of ICH and its practitioners)</w:t>
            </w:r>
          </w:p>
          <w:p w14:paraId="307AB1CE" w14:textId="77777777" w:rsidR="00FC18A3" w:rsidRDefault="00FC18A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Ethical Principles for Safeguarding Intangible Cultural Heritage</w:t>
            </w:r>
          </w:p>
          <w:p w14:paraId="6E040513" w14:textId="77777777" w:rsidR="00FC18A3" w:rsidRDefault="00FC18A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Inclusive social development</w:t>
            </w:r>
          </w:p>
          <w:p w14:paraId="2B43908E" w14:textId="77777777" w:rsidR="00FC18A3" w:rsidRPr="00377899" w:rsidRDefault="00FC18A3" w:rsidP="00704766">
            <w:pPr>
              <w:pStyle w:val="ListParagraph"/>
              <w:numPr>
                <w:ilvl w:val="0"/>
                <w:numId w:val="71"/>
              </w:numPr>
              <w:spacing w:before="120" w:after="120"/>
              <w:ind w:left="714" w:hanging="357"/>
              <w:jc w:val="both"/>
              <w:rPr>
                <w:rFonts w:asciiTheme="minorBidi" w:hAnsiTheme="minorBidi" w:cstheme="minorBidi"/>
                <w:lang w:val="en-GB"/>
              </w:rPr>
            </w:pPr>
            <w:r>
              <w:rPr>
                <w:rFonts w:asciiTheme="minorBidi" w:hAnsiTheme="minorBidi" w:cstheme="minorBidi"/>
                <w:lang w:val="en-GB"/>
              </w:rPr>
              <w:t xml:space="preserve">Inclusive economic </w:t>
            </w:r>
            <w:r w:rsidRPr="00377899">
              <w:rPr>
                <w:rFonts w:asciiTheme="minorBidi" w:hAnsiTheme="minorBidi" w:cstheme="minorBidi"/>
                <w:lang w:val="en-GB"/>
              </w:rPr>
              <w:t>development</w:t>
            </w:r>
          </w:p>
          <w:p w14:paraId="5A0D6BBB" w14:textId="77777777" w:rsidR="00377899" w:rsidRPr="00F866CD" w:rsidRDefault="00377899" w:rsidP="00704766">
            <w:pPr>
              <w:pStyle w:val="ListParagraph"/>
              <w:numPr>
                <w:ilvl w:val="0"/>
                <w:numId w:val="71"/>
              </w:numPr>
              <w:spacing w:before="120" w:after="120"/>
              <w:ind w:left="714" w:hanging="357"/>
              <w:jc w:val="both"/>
              <w:rPr>
                <w:rFonts w:asciiTheme="minorBidi" w:hAnsiTheme="minorBidi" w:cstheme="minorBidi"/>
                <w:lang w:val="en-GB"/>
              </w:rPr>
            </w:pPr>
            <w:r w:rsidRPr="00377899">
              <w:rPr>
                <w:rFonts w:asciiTheme="minorBidi" w:hAnsiTheme="minorBidi"/>
                <w:lang w:val="en-GB"/>
              </w:rPr>
              <w:t>Natural and other resources required for the practice of ICH</w:t>
            </w:r>
          </w:p>
        </w:tc>
      </w:tr>
    </w:tbl>
    <w:p w14:paraId="7B8BA4C3" w14:textId="77777777" w:rsidR="0054175C" w:rsidRPr="00F866CD" w:rsidRDefault="0054175C" w:rsidP="0054175C">
      <w:pPr>
        <w:jc w:val="center"/>
        <w:rPr>
          <w:rFonts w:ascii="Arial" w:hAnsi="Arial" w:cs="Arial"/>
          <w:b/>
          <w:sz w:val="24"/>
        </w:rPr>
        <w:sectPr w:rsidR="0054175C" w:rsidRPr="00F866CD" w:rsidSect="000F25BA">
          <w:headerReference w:type="default" r:id="rId8"/>
          <w:footerReference w:type="default" r:id="rId9"/>
          <w:pgSz w:w="11906" w:h="16838" w:code="9"/>
          <w:pgMar w:top="1418" w:right="1134" w:bottom="1134" w:left="1134" w:header="397" w:footer="284" w:gutter="0"/>
          <w:cols w:space="708"/>
          <w:docGrid w:linePitch="360"/>
        </w:sectPr>
      </w:pPr>
    </w:p>
    <w:p w14:paraId="373CCB52" w14:textId="77777777" w:rsidR="0054175C" w:rsidRPr="00F866CD" w:rsidRDefault="0054175C" w:rsidP="00F5644D">
      <w:pPr>
        <w:keepNext/>
        <w:jc w:val="center"/>
        <w:rPr>
          <w:rFonts w:ascii="Arial" w:hAnsi="Arial" w:cs="Arial"/>
          <w:b/>
          <w:sz w:val="24"/>
        </w:rPr>
      </w:pPr>
      <w:r w:rsidRPr="00F866CD">
        <w:rPr>
          <w:rFonts w:ascii="Arial" w:hAnsi="Arial" w:cs="Arial"/>
          <w:b/>
          <w:sz w:val="24"/>
        </w:rPr>
        <w:t>Specific guidance on monitoring and periodic reporting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8415"/>
      </w:tblGrid>
      <w:tr w:rsidR="009C0510" w:rsidRPr="00F866CD" w14:paraId="22C3A027" w14:textId="77777777" w:rsidTr="00E609BA">
        <w:tc>
          <w:tcPr>
            <w:tcW w:w="730" w:type="pct"/>
            <w:shd w:val="clear" w:color="auto" w:fill="auto"/>
          </w:tcPr>
          <w:p w14:paraId="3250D3A5" w14:textId="77777777" w:rsidR="002C28BA" w:rsidRPr="00F866CD" w:rsidRDefault="002C28BA" w:rsidP="006B0DB6">
            <w:pPr>
              <w:spacing w:before="120"/>
              <w:rPr>
                <w:rFonts w:ascii="Arial" w:hAnsi="Arial" w:cs="Arial"/>
                <w:b/>
                <w:szCs w:val="22"/>
              </w:rPr>
            </w:pPr>
            <w:r w:rsidRPr="00F866CD">
              <w:rPr>
                <w:rFonts w:ascii="Arial" w:hAnsi="Arial" w:cs="Arial"/>
                <w:b/>
                <w:szCs w:val="22"/>
              </w:rPr>
              <w:t>Benefits of monitoring</w:t>
            </w:r>
          </w:p>
        </w:tc>
        <w:tc>
          <w:tcPr>
            <w:tcW w:w="4270" w:type="pct"/>
            <w:shd w:val="clear" w:color="auto" w:fill="auto"/>
          </w:tcPr>
          <w:p w14:paraId="61D42606" w14:textId="6D849F81" w:rsidR="002C28BA" w:rsidRPr="00621208" w:rsidRDefault="005F5B3F" w:rsidP="00DF7F7A">
            <w:pPr>
              <w:keepLines/>
              <w:spacing w:before="120"/>
              <w:jc w:val="both"/>
              <w:rPr>
                <w:rFonts w:ascii="Arial" w:hAnsi="Arial" w:cs="Arial"/>
                <w:bCs/>
                <w:szCs w:val="22"/>
              </w:rPr>
            </w:pPr>
            <w:r>
              <w:rPr>
                <w:rFonts w:ascii="Arial" w:hAnsi="Arial" w:cs="Arial"/>
                <w:bCs/>
                <w:szCs w:val="22"/>
              </w:rPr>
              <w:t>Monitoring this indicator can help a State to determine the extent to which it is integrating ICH and its safeguarding into policies and legal and administrative measures aimed at sustainable development. Although other indicators address programmes and activities implemented in line with such policies, it is also important to monitor the policy context itself and</w:t>
            </w:r>
            <w:r w:rsidR="00612FDA">
              <w:rPr>
                <w:rFonts w:ascii="Arial" w:hAnsi="Arial" w:cs="Arial"/>
                <w:bCs/>
                <w:szCs w:val="22"/>
              </w:rPr>
              <w:t>,</w:t>
            </w:r>
            <w:r>
              <w:rPr>
                <w:rFonts w:ascii="Arial" w:hAnsi="Arial" w:cs="Arial"/>
                <w:bCs/>
                <w:szCs w:val="22"/>
              </w:rPr>
              <w:t xml:space="preserve"> specifically</w:t>
            </w:r>
            <w:r w:rsidR="00612FDA">
              <w:rPr>
                <w:rFonts w:ascii="Arial" w:hAnsi="Arial" w:cs="Arial"/>
                <w:bCs/>
                <w:szCs w:val="22"/>
              </w:rPr>
              <w:t>,</w:t>
            </w:r>
            <w:r>
              <w:rPr>
                <w:rFonts w:ascii="Arial" w:hAnsi="Arial" w:cs="Arial"/>
                <w:bCs/>
                <w:szCs w:val="22"/>
              </w:rPr>
              <w:t xml:space="preserve"> whether it reflects the State’s concern with ICH safeguarding and the principles set out in the Ethical Principles for Safeguarding ICH. There are numerous possible connections between safeguarding ICH and sustainable development, and monitoring can help a State </w:t>
            </w:r>
            <w:proofErr w:type="gramStart"/>
            <w:r>
              <w:rPr>
                <w:rFonts w:ascii="Arial" w:hAnsi="Arial" w:cs="Arial"/>
                <w:bCs/>
                <w:szCs w:val="22"/>
              </w:rPr>
              <w:t>identify  opportunities</w:t>
            </w:r>
            <w:proofErr w:type="gramEnd"/>
            <w:r>
              <w:rPr>
                <w:rFonts w:ascii="Arial" w:hAnsi="Arial" w:cs="Arial"/>
                <w:bCs/>
                <w:szCs w:val="22"/>
              </w:rPr>
              <w:t xml:space="preserve"> </w:t>
            </w:r>
            <w:r w:rsidR="00DF7F7A">
              <w:rPr>
                <w:rFonts w:ascii="Arial" w:hAnsi="Arial" w:cs="Arial"/>
                <w:bCs/>
                <w:szCs w:val="22"/>
              </w:rPr>
              <w:t xml:space="preserve">not yet explored </w:t>
            </w:r>
            <w:r>
              <w:rPr>
                <w:rFonts w:ascii="Arial" w:hAnsi="Arial" w:cs="Arial"/>
                <w:bCs/>
                <w:szCs w:val="22"/>
              </w:rPr>
              <w:t>for policy development. At the global level, monitoring can reveal the extent to which States are creatively integrating ICH</w:t>
            </w:r>
            <w:r w:rsidR="00F810ED">
              <w:rPr>
                <w:rFonts w:ascii="Arial" w:hAnsi="Arial" w:cs="Arial"/>
                <w:bCs/>
                <w:szCs w:val="22"/>
              </w:rPr>
              <w:t xml:space="preserve"> safeguarding into policy development, and can point to </w:t>
            </w:r>
            <w:r w:rsidR="00DF7F7A">
              <w:rPr>
                <w:rFonts w:ascii="Arial" w:hAnsi="Arial" w:cs="Arial"/>
                <w:bCs/>
                <w:szCs w:val="22"/>
              </w:rPr>
              <w:t xml:space="preserve">possible areas </w:t>
            </w:r>
            <w:r w:rsidR="00F810ED">
              <w:rPr>
                <w:rFonts w:ascii="Arial" w:hAnsi="Arial" w:cs="Arial"/>
                <w:bCs/>
                <w:szCs w:val="22"/>
              </w:rPr>
              <w:t>for exchange of experiences and perspectives.</w:t>
            </w:r>
          </w:p>
        </w:tc>
      </w:tr>
      <w:tr w:rsidR="0054175C" w:rsidRPr="00F866CD" w14:paraId="33296D60" w14:textId="77777777" w:rsidTr="00E609BA">
        <w:tc>
          <w:tcPr>
            <w:tcW w:w="730" w:type="pct"/>
            <w:shd w:val="clear" w:color="auto" w:fill="auto"/>
          </w:tcPr>
          <w:p w14:paraId="45E3C831" w14:textId="77777777" w:rsidR="0054175C" w:rsidRPr="00F866CD" w:rsidRDefault="0054175C" w:rsidP="0054175C">
            <w:pPr>
              <w:spacing w:before="120"/>
              <w:rPr>
                <w:rFonts w:ascii="Arial" w:hAnsi="Arial" w:cs="Arial"/>
                <w:b/>
                <w:szCs w:val="22"/>
              </w:rPr>
            </w:pPr>
            <w:r w:rsidRPr="00F866CD">
              <w:rPr>
                <w:rFonts w:ascii="Arial" w:hAnsi="Arial" w:cs="Arial"/>
                <w:b/>
                <w:szCs w:val="22"/>
              </w:rPr>
              <w:t>Data sources and collection</w:t>
            </w:r>
          </w:p>
        </w:tc>
        <w:tc>
          <w:tcPr>
            <w:tcW w:w="4270" w:type="pct"/>
            <w:shd w:val="clear" w:color="auto" w:fill="auto"/>
          </w:tcPr>
          <w:p w14:paraId="4E83D957" w14:textId="19C8A7DA" w:rsidR="0054175C" w:rsidRPr="00F866CD" w:rsidRDefault="005577DB" w:rsidP="0054175C">
            <w:pPr>
              <w:spacing w:before="120"/>
              <w:jc w:val="both"/>
              <w:rPr>
                <w:rFonts w:ascii="Arial" w:hAnsi="Arial" w:cs="Arial"/>
                <w:szCs w:val="22"/>
              </w:rPr>
            </w:pPr>
            <w:r>
              <w:rPr>
                <w:rFonts w:ascii="Arial" w:hAnsi="Arial" w:cs="Arial"/>
                <w:bCs/>
                <w:szCs w:val="22"/>
              </w:rPr>
              <w:t>State</w:t>
            </w:r>
            <w:r w:rsidR="00DF7F7A">
              <w:rPr>
                <w:rFonts w:ascii="Arial" w:hAnsi="Arial" w:cs="Arial"/>
                <w:bCs/>
                <w:szCs w:val="22"/>
              </w:rPr>
              <w:t>s</w:t>
            </w:r>
            <w:r>
              <w:rPr>
                <w:rFonts w:ascii="Arial" w:hAnsi="Arial" w:cs="Arial"/>
                <w:bCs/>
                <w:szCs w:val="22"/>
              </w:rPr>
              <w:t xml:space="preserve"> </w:t>
            </w:r>
            <w:r w:rsidR="00DF7F7A">
              <w:rPr>
                <w:rFonts w:ascii="Arial" w:hAnsi="Arial" w:cs="Arial"/>
                <w:bCs/>
                <w:szCs w:val="22"/>
              </w:rPr>
              <w:t xml:space="preserve">may have </w:t>
            </w:r>
            <w:r>
              <w:rPr>
                <w:rFonts w:ascii="Arial" w:hAnsi="Arial" w:cs="Arial"/>
                <w:bCs/>
                <w:szCs w:val="22"/>
              </w:rPr>
              <w:t>established an inclusive and multi-sectoral consultative body or coordinati</w:t>
            </w:r>
            <w:r w:rsidR="00F966F5">
              <w:rPr>
                <w:rFonts w:ascii="Arial" w:hAnsi="Arial" w:cs="Arial"/>
                <w:bCs/>
                <w:szCs w:val="22"/>
              </w:rPr>
              <w:t>o</w:t>
            </w:r>
            <w:r>
              <w:rPr>
                <w:rFonts w:ascii="Arial" w:hAnsi="Arial" w:cs="Arial"/>
                <w:bCs/>
                <w:szCs w:val="22"/>
              </w:rPr>
              <w:t xml:space="preserve">n mechanism </w:t>
            </w:r>
            <w:r w:rsidR="00F966F5">
              <w:rPr>
                <w:rFonts w:ascii="Arial" w:hAnsi="Arial" w:cs="Arial"/>
                <w:bCs/>
                <w:szCs w:val="22"/>
              </w:rPr>
              <w:t>including</w:t>
            </w:r>
            <w:r>
              <w:rPr>
                <w:rFonts w:ascii="Arial" w:hAnsi="Arial" w:cs="Arial"/>
                <w:bCs/>
                <w:szCs w:val="22"/>
              </w:rPr>
              <w:t xml:space="preserve"> members from various development-related ministries. </w:t>
            </w:r>
            <w:r w:rsidR="003618FB">
              <w:rPr>
                <w:rFonts w:ascii="Arial" w:hAnsi="Arial" w:cs="Arial"/>
                <w:bCs/>
                <w:szCs w:val="22"/>
              </w:rPr>
              <w:t xml:space="preserve">There may also be a </w:t>
            </w:r>
            <w:r w:rsidR="00C065BD">
              <w:rPr>
                <w:rFonts w:ascii="Arial" w:hAnsi="Arial" w:cs="Arial"/>
                <w:bCs/>
                <w:szCs w:val="22"/>
              </w:rPr>
              <w:t>M</w:t>
            </w:r>
            <w:r w:rsidR="003618FB">
              <w:rPr>
                <w:rFonts w:ascii="Arial" w:hAnsi="Arial" w:cs="Arial"/>
                <w:bCs/>
                <w:szCs w:val="22"/>
              </w:rPr>
              <w:t xml:space="preserve">inistry of </w:t>
            </w:r>
            <w:r w:rsidR="00C065BD">
              <w:rPr>
                <w:rFonts w:ascii="Arial" w:hAnsi="Arial" w:cs="Arial"/>
                <w:bCs/>
                <w:szCs w:val="22"/>
              </w:rPr>
              <w:t>P</w:t>
            </w:r>
            <w:r w:rsidR="003618FB">
              <w:rPr>
                <w:rFonts w:ascii="Arial" w:hAnsi="Arial" w:cs="Arial"/>
                <w:bCs/>
                <w:szCs w:val="22"/>
              </w:rPr>
              <w:t xml:space="preserve">lanning or </w:t>
            </w:r>
            <w:r w:rsidR="00C065BD">
              <w:rPr>
                <w:rFonts w:ascii="Arial" w:hAnsi="Arial" w:cs="Arial"/>
                <w:bCs/>
                <w:szCs w:val="22"/>
              </w:rPr>
              <w:t xml:space="preserve">a Ministry </w:t>
            </w:r>
            <w:r w:rsidR="003618FB">
              <w:rPr>
                <w:rFonts w:ascii="Arial" w:hAnsi="Arial" w:cs="Arial"/>
                <w:bCs/>
                <w:szCs w:val="22"/>
              </w:rPr>
              <w:t xml:space="preserve">of </w:t>
            </w:r>
            <w:r w:rsidR="00C065BD">
              <w:rPr>
                <w:rFonts w:ascii="Arial" w:hAnsi="Arial" w:cs="Arial"/>
                <w:bCs/>
                <w:szCs w:val="22"/>
              </w:rPr>
              <w:t>S</w:t>
            </w:r>
            <w:r w:rsidR="003618FB">
              <w:rPr>
                <w:rFonts w:ascii="Arial" w:hAnsi="Arial" w:cs="Arial"/>
                <w:bCs/>
                <w:szCs w:val="22"/>
              </w:rPr>
              <w:t xml:space="preserve">ustainable </w:t>
            </w:r>
            <w:r w:rsidR="00C065BD">
              <w:rPr>
                <w:rFonts w:ascii="Arial" w:hAnsi="Arial" w:cs="Arial"/>
                <w:bCs/>
                <w:szCs w:val="22"/>
              </w:rPr>
              <w:t>D</w:t>
            </w:r>
            <w:r w:rsidR="003618FB">
              <w:rPr>
                <w:rFonts w:ascii="Arial" w:hAnsi="Arial" w:cs="Arial"/>
                <w:bCs/>
                <w:szCs w:val="22"/>
              </w:rPr>
              <w:t xml:space="preserve">evelopment that maintains a broad overview of policies in this area. </w:t>
            </w:r>
            <w:r w:rsidR="002A51D7">
              <w:rPr>
                <w:rFonts w:ascii="Arial" w:hAnsi="Arial" w:cs="Arial"/>
                <w:bCs/>
                <w:szCs w:val="22"/>
              </w:rPr>
              <w:t>In the absence of a coordination mechanism or a dedicated Ministry, those responsible for monitoring and reporting may need to consult p</w:t>
            </w:r>
            <w:r w:rsidR="002A51D7">
              <w:rPr>
                <w:rFonts w:ascii="Arial" w:hAnsi="Arial" w:cs="Arial"/>
              </w:rPr>
              <w:t>olicies and/or legal and administrative documents of relevant ministries involved in sustainable development</w:t>
            </w:r>
            <w:r w:rsidR="002A51D7">
              <w:rPr>
                <w:rFonts w:ascii="Arial" w:hAnsi="Arial" w:cs="Arial"/>
                <w:bCs/>
                <w:szCs w:val="22"/>
              </w:rPr>
              <w:t>.</w:t>
            </w:r>
          </w:p>
          <w:p w14:paraId="3335BAC5" w14:textId="77777777" w:rsidR="0054175C" w:rsidRPr="00F866CD" w:rsidRDefault="00BE5B3F" w:rsidP="00704766">
            <w:pPr>
              <w:keepNext/>
              <w:spacing w:before="120" w:after="60"/>
              <w:jc w:val="both"/>
              <w:rPr>
                <w:rFonts w:ascii="Arial" w:hAnsi="Arial" w:cs="Arial"/>
                <w:b/>
                <w:szCs w:val="22"/>
              </w:rPr>
            </w:pPr>
            <w:r w:rsidRPr="00F866CD">
              <w:rPr>
                <w:rFonts w:ascii="Arial" w:hAnsi="Arial" w:cs="Arial"/>
                <w:b/>
                <w:szCs w:val="22"/>
              </w:rPr>
              <w:t>P</w:t>
            </w:r>
            <w:r w:rsidR="0054175C" w:rsidRPr="00F866CD">
              <w:rPr>
                <w:rFonts w:ascii="Arial" w:hAnsi="Arial" w:cs="Arial"/>
                <w:b/>
                <w:szCs w:val="22"/>
              </w:rPr>
              <w:t>ossible data sources</w:t>
            </w:r>
          </w:p>
          <w:p w14:paraId="2F4ADB14" w14:textId="77777777" w:rsidR="00BF726A" w:rsidRDefault="00BF726A" w:rsidP="00BF726A">
            <w:pPr>
              <w:pStyle w:val="ListParagraph"/>
              <w:numPr>
                <w:ilvl w:val="0"/>
                <w:numId w:val="73"/>
              </w:numPr>
              <w:spacing w:before="120"/>
              <w:jc w:val="both"/>
              <w:rPr>
                <w:rFonts w:ascii="Arial" w:hAnsi="Arial" w:cs="Arial"/>
                <w:lang w:val="en-GB"/>
              </w:rPr>
            </w:pPr>
            <w:r>
              <w:rPr>
                <w:rFonts w:ascii="Arial" w:hAnsi="Arial" w:cs="Arial"/>
                <w:lang w:val="en-GB"/>
              </w:rPr>
              <w:t>Official journals or compendia of laws and legal regulations</w:t>
            </w:r>
          </w:p>
          <w:p w14:paraId="65C35AFD" w14:textId="77777777" w:rsidR="00BF726A" w:rsidRDefault="00BF726A" w:rsidP="00BF726A">
            <w:pPr>
              <w:pStyle w:val="ListParagraph"/>
              <w:numPr>
                <w:ilvl w:val="0"/>
                <w:numId w:val="73"/>
              </w:numPr>
              <w:spacing w:before="120"/>
              <w:jc w:val="both"/>
              <w:rPr>
                <w:rFonts w:ascii="Arial" w:hAnsi="Arial" w:cs="Arial"/>
                <w:lang w:val="en-GB"/>
              </w:rPr>
            </w:pPr>
            <w:r>
              <w:rPr>
                <w:rFonts w:ascii="Arial" w:hAnsi="Arial" w:cs="Arial"/>
                <w:lang w:val="en-GB"/>
              </w:rPr>
              <w:t>Policy documents of relevant ministries involved in sustainable development</w:t>
            </w:r>
            <w:r w:rsidR="00612FDA">
              <w:rPr>
                <w:rFonts w:ascii="Arial" w:hAnsi="Arial" w:cs="Arial"/>
                <w:lang w:val="en-GB"/>
              </w:rPr>
              <w:t xml:space="preserve">, especially those active in sectors mentioned in Chapter VI of the ODs </w:t>
            </w:r>
          </w:p>
          <w:p w14:paraId="12869C1E" w14:textId="77777777" w:rsidR="00BF726A" w:rsidRDefault="00BF726A" w:rsidP="00BF726A">
            <w:pPr>
              <w:pStyle w:val="ListParagraph"/>
              <w:numPr>
                <w:ilvl w:val="0"/>
                <w:numId w:val="73"/>
              </w:numPr>
              <w:spacing w:before="120"/>
              <w:jc w:val="both"/>
              <w:rPr>
                <w:rFonts w:ascii="Arial" w:hAnsi="Arial" w:cs="Arial"/>
                <w:lang w:val="en-GB"/>
              </w:rPr>
            </w:pPr>
            <w:r>
              <w:rPr>
                <w:rFonts w:ascii="Arial" w:hAnsi="Arial" w:cs="Arial"/>
                <w:lang w:val="en-GB"/>
              </w:rPr>
              <w:t>Budgets and financial reports of relevant ministries involved in sustainable development</w:t>
            </w:r>
          </w:p>
          <w:p w14:paraId="511FD635" w14:textId="77777777" w:rsidR="00BF726A" w:rsidRDefault="00BF726A" w:rsidP="00BF726A">
            <w:pPr>
              <w:pStyle w:val="ListParagraph"/>
              <w:numPr>
                <w:ilvl w:val="0"/>
                <w:numId w:val="73"/>
              </w:numPr>
              <w:spacing w:before="120"/>
              <w:jc w:val="both"/>
              <w:rPr>
                <w:rFonts w:ascii="Arial" w:hAnsi="Arial" w:cs="Arial"/>
                <w:lang w:val="en-GB"/>
              </w:rPr>
            </w:pPr>
            <w:r>
              <w:rPr>
                <w:rFonts w:ascii="Arial" w:hAnsi="Arial" w:cs="Arial"/>
                <w:lang w:val="en-GB"/>
              </w:rPr>
              <w:lastRenderedPageBreak/>
              <w:t>National sustainable development strategy such as a five-year plan or ten-year plan</w:t>
            </w:r>
          </w:p>
          <w:p w14:paraId="4D6988A5" w14:textId="77777777" w:rsidR="00BF726A" w:rsidRDefault="00BF726A" w:rsidP="00BF726A">
            <w:pPr>
              <w:pStyle w:val="ListParagraph"/>
              <w:numPr>
                <w:ilvl w:val="0"/>
                <w:numId w:val="73"/>
              </w:numPr>
              <w:spacing w:before="120"/>
              <w:jc w:val="both"/>
              <w:rPr>
                <w:rFonts w:ascii="Arial" w:hAnsi="Arial" w:cs="Arial"/>
                <w:lang w:val="en-GB"/>
              </w:rPr>
            </w:pPr>
            <w:r>
              <w:rPr>
                <w:rFonts w:ascii="Arial" w:hAnsi="Arial" w:cs="Arial"/>
                <w:lang w:val="en-GB"/>
              </w:rPr>
              <w:t>National and local plans for DRR (disaster risk reduction) and monitoring reports on such plans</w:t>
            </w:r>
          </w:p>
          <w:p w14:paraId="64ABF02A" w14:textId="77777777" w:rsidR="0054175C" w:rsidRPr="00F866CD" w:rsidRDefault="00BF726A" w:rsidP="00BF726A">
            <w:pPr>
              <w:pStyle w:val="ListParagraph"/>
              <w:numPr>
                <w:ilvl w:val="0"/>
                <w:numId w:val="73"/>
              </w:numPr>
              <w:spacing w:before="120"/>
              <w:jc w:val="both"/>
              <w:rPr>
                <w:rFonts w:ascii="Arial" w:hAnsi="Arial" w:cs="Arial"/>
                <w:lang w:val="en-GB"/>
              </w:rPr>
            </w:pPr>
            <w:r>
              <w:rPr>
                <w:rFonts w:ascii="Arial" w:hAnsi="Arial" w:cs="Arial"/>
                <w:lang w:val="en-GB"/>
              </w:rPr>
              <w:t>Surveys or research carried out by research institutes examining development policy</w:t>
            </w:r>
          </w:p>
        </w:tc>
      </w:tr>
    </w:tbl>
    <w:p w14:paraId="71806AA9" w14:textId="77777777" w:rsidR="00320242" w:rsidRPr="00F866CD" w:rsidRDefault="00320242" w:rsidP="00A5709F">
      <w:pPr>
        <w:rPr>
          <w:rFonts w:ascii="Arial" w:hAnsi="Arial" w:cs="Arial"/>
        </w:rPr>
      </w:pPr>
      <w:bookmarkStart w:id="0" w:name="_GoBack"/>
      <w:bookmarkEnd w:id="0"/>
    </w:p>
    <w:sectPr w:rsidR="00320242" w:rsidRPr="00F866CD" w:rsidSect="0054175C">
      <w:type w:val="continuous"/>
      <w:pgSz w:w="11906" w:h="16838" w:code="9"/>
      <w:pgMar w:top="1418"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0047" w14:textId="77777777" w:rsidR="00024F4C" w:rsidRDefault="00024F4C" w:rsidP="002938F2">
      <w:r>
        <w:separator/>
      </w:r>
    </w:p>
    <w:p w14:paraId="490CA977" w14:textId="77777777" w:rsidR="00024F4C" w:rsidRDefault="00024F4C"/>
  </w:endnote>
  <w:endnote w:type="continuationSeparator" w:id="0">
    <w:p w14:paraId="4E29C51B" w14:textId="77777777" w:rsidR="00024F4C" w:rsidRDefault="00024F4C" w:rsidP="002938F2">
      <w:r>
        <w:continuationSeparator/>
      </w:r>
    </w:p>
    <w:p w14:paraId="337B8662" w14:textId="77777777" w:rsidR="00024F4C" w:rsidRDefault="00024F4C"/>
  </w:endnote>
  <w:endnote w:type="continuationNotice" w:id="1">
    <w:p w14:paraId="21FA2040" w14:textId="77777777" w:rsidR="00024F4C" w:rsidRDefault="00024F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4B3D" w14:textId="49433710" w:rsidR="00C04344" w:rsidRPr="000A0709" w:rsidRDefault="00821F23" w:rsidP="000A0709">
    <w:pPr>
      <w:pStyle w:val="Footer"/>
      <w:jc w:val="center"/>
      <w:rPr>
        <w:rFonts w:ascii="Arial" w:hAnsi="Arial"/>
      </w:rPr>
    </w:pPr>
    <w:r w:rsidRPr="000F25BA">
      <w:rPr>
        <w:rFonts w:ascii="Arial" w:hAnsi="Arial" w:cs="Arial"/>
      </w:rPr>
      <w:fldChar w:fldCharType="begin"/>
    </w:r>
    <w:r w:rsidR="000F25BA" w:rsidRPr="000F25BA">
      <w:rPr>
        <w:rFonts w:ascii="Arial" w:hAnsi="Arial" w:cs="Arial"/>
      </w:rPr>
      <w:instrText xml:space="preserve"> PAGE   \* MERGEFORMAT </w:instrText>
    </w:r>
    <w:r w:rsidRPr="000F25BA">
      <w:rPr>
        <w:rFonts w:ascii="Arial" w:hAnsi="Arial" w:cs="Arial"/>
      </w:rPr>
      <w:fldChar w:fldCharType="separate"/>
    </w:r>
    <w:r w:rsidR="001B1634">
      <w:rPr>
        <w:rFonts w:ascii="Arial" w:hAnsi="Arial" w:cs="Arial"/>
        <w:noProof/>
      </w:rPr>
      <w:t>3</w:t>
    </w:r>
    <w:r w:rsidRPr="000F25B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C69C7" w14:textId="77777777" w:rsidR="00024F4C" w:rsidRDefault="00024F4C" w:rsidP="002938F2">
      <w:r>
        <w:separator/>
      </w:r>
    </w:p>
  </w:footnote>
  <w:footnote w:type="continuationSeparator" w:id="0">
    <w:p w14:paraId="747D3989" w14:textId="77777777" w:rsidR="00024F4C" w:rsidRDefault="00024F4C" w:rsidP="002938F2">
      <w:r>
        <w:continuationSeparator/>
      </w:r>
    </w:p>
    <w:p w14:paraId="031529A5" w14:textId="77777777" w:rsidR="00024F4C" w:rsidRDefault="00024F4C"/>
  </w:footnote>
  <w:footnote w:type="continuationNotice" w:id="1">
    <w:p w14:paraId="27586976" w14:textId="77777777" w:rsidR="00024F4C" w:rsidRDefault="00024F4C">
      <w:pPr>
        <w:spacing w:after="0"/>
      </w:pPr>
    </w:p>
  </w:footnote>
  <w:footnote w:id="2">
    <w:p w14:paraId="6FA33EBC" w14:textId="77777777" w:rsidR="00FC18A3" w:rsidRPr="00791BFD" w:rsidRDefault="00FC18A3" w:rsidP="00402EDD">
      <w:pPr>
        <w:pStyle w:val="FootnoteText"/>
        <w:spacing w:before="60" w:after="60"/>
        <w:ind w:left="567" w:hanging="567"/>
        <w:jc w:val="both"/>
        <w:rPr>
          <w:rFonts w:ascii="Arial" w:hAnsi="Arial" w:cs="Arial"/>
          <w:sz w:val="18"/>
          <w:szCs w:val="18"/>
          <w:lang w:val="en-US"/>
        </w:rPr>
      </w:pPr>
      <w:r w:rsidRPr="00791BFD">
        <w:rPr>
          <w:rFonts w:ascii="Arial" w:hAnsi="Arial" w:cs="Arial"/>
          <w:sz w:val="18"/>
          <w:szCs w:val="18"/>
        </w:rPr>
        <w:footnoteRef/>
      </w:r>
      <w:r w:rsidRPr="00791BFD">
        <w:rPr>
          <w:rFonts w:ascii="Arial" w:hAnsi="Arial" w:cs="Arial"/>
          <w:sz w:val="18"/>
          <w:szCs w:val="18"/>
          <w:lang w:val="en-US"/>
        </w:rPr>
        <w:t>.</w:t>
      </w:r>
      <w:r w:rsidRPr="00791BFD">
        <w:rPr>
          <w:rFonts w:ascii="Arial" w:hAnsi="Arial" w:cs="Arial"/>
          <w:sz w:val="18"/>
          <w:szCs w:val="18"/>
          <w:lang w:val="en-US"/>
        </w:rPr>
        <w:tab/>
        <w:t>In conformity with Chapter VI of the Operational Directives, ‘inclusive social development’ comprises food security, health care, gender equality, access to clean and safe water and sustainable water use; quality education is included within indicator 12.</w:t>
      </w:r>
    </w:p>
  </w:footnote>
  <w:footnote w:id="3">
    <w:p w14:paraId="64AAB711" w14:textId="77777777" w:rsidR="00FC18A3" w:rsidRPr="00791BFD" w:rsidRDefault="00FC18A3" w:rsidP="00402EDD">
      <w:pPr>
        <w:pStyle w:val="FootnoteText"/>
        <w:spacing w:before="60" w:after="60"/>
        <w:ind w:left="567" w:hanging="567"/>
        <w:jc w:val="both"/>
        <w:rPr>
          <w:rFonts w:ascii="Arial" w:hAnsi="Arial" w:cs="Arial"/>
          <w:sz w:val="18"/>
          <w:szCs w:val="18"/>
          <w:lang w:val="en-US"/>
        </w:rPr>
      </w:pPr>
      <w:r w:rsidRPr="00791BFD">
        <w:rPr>
          <w:rFonts w:ascii="Arial" w:hAnsi="Arial" w:cs="Arial"/>
          <w:sz w:val="18"/>
          <w:szCs w:val="18"/>
        </w:rPr>
        <w:footnoteRef/>
      </w:r>
      <w:r w:rsidRPr="00791BFD">
        <w:rPr>
          <w:rFonts w:ascii="Arial" w:hAnsi="Arial" w:cs="Arial"/>
          <w:sz w:val="18"/>
          <w:szCs w:val="18"/>
          <w:lang w:val="en-US"/>
        </w:rPr>
        <w:t>.</w:t>
      </w:r>
      <w:r w:rsidRPr="00791BFD">
        <w:rPr>
          <w:rFonts w:ascii="Arial" w:hAnsi="Arial" w:cs="Arial"/>
          <w:sz w:val="18"/>
          <w:szCs w:val="18"/>
          <w:lang w:val="en-US"/>
        </w:rPr>
        <w:tab/>
        <w:t>In conformity with Chapter VI of the Operational Directives, ‘inclusive economic development’ comprises income generation and sustainable livelihoods, productive employment and decent work, and impact of tourism on the safeguarding of ICH and vice versa.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7A9D" w14:textId="77777777" w:rsidR="00E609BA" w:rsidRDefault="00E6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EBF25D28"/>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4791B11"/>
    <w:multiLevelType w:val="hybridMultilevel"/>
    <w:tmpl w:val="354AE31A"/>
    <w:lvl w:ilvl="0" w:tplc="FC362CB2">
      <w:start w:val="1"/>
      <w:numFmt w:val="decimal"/>
      <w:lvlText w:val="%1."/>
      <w:lvlJc w:val="left"/>
      <w:pPr>
        <w:ind w:left="720" w:hanging="360"/>
      </w:pPr>
      <w:rPr>
        <w:rFonts w:ascii="Arial Narrow" w:hAnsi="Arial Narrow" w:cs="Arial Unicode M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DF0"/>
    <w:multiLevelType w:val="hybridMultilevel"/>
    <w:tmpl w:val="DCF6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14F7"/>
    <w:multiLevelType w:val="hybridMultilevel"/>
    <w:tmpl w:val="C212CBF0"/>
    <w:lvl w:ilvl="0" w:tplc="668A1C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865AC"/>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F11C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D5155C1"/>
    <w:multiLevelType w:val="multilevel"/>
    <w:tmpl w:val="145462B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3" w15:restartNumberingAfterBreak="0">
    <w:nsid w:val="1D5A2EAD"/>
    <w:multiLevelType w:val="multilevel"/>
    <w:tmpl w:val="6C06BF2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22A59F8"/>
    <w:multiLevelType w:val="hybridMultilevel"/>
    <w:tmpl w:val="837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06E1C"/>
    <w:multiLevelType w:val="multilevel"/>
    <w:tmpl w:val="13423B5A"/>
    <w:lvl w:ilvl="0">
      <w:start w:val="1"/>
      <w:numFmt w:val="decimal"/>
      <w:lvlText w:val="%1."/>
      <w:lvlJc w:val="left"/>
      <w:pPr>
        <w:ind w:left="360" w:hanging="360"/>
      </w:pPr>
      <w:rPr>
        <w:rFonts w:ascii="Arial Narrow" w:hAnsi="Arial Narrow" w:hint="default"/>
        <w:b w:val="0"/>
        <w:i w:val="0"/>
        <w:caps w:val="0"/>
        <w:strike w:val="0"/>
        <w:dstrike w:val="0"/>
        <w:vanish w:val="0"/>
        <w:sz w:val="18"/>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03CC3"/>
    <w:multiLevelType w:val="multilevel"/>
    <w:tmpl w:val="765075C4"/>
    <w:lvl w:ilvl="0">
      <w:start w:val="2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526D2C"/>
    <w:multiLevelType w:val="multilevel"/>
    <w:tmpl w:val="F098B3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380631B"/>
    <w:multiLevelType w:val="hybridMultilevel"/>
    <w:tmpl w:val="7D4EBB94"/>
    <w:lvl w:ilvl="0" w:tplc="040C0001">
      <w:start w:val="1"/>
      <w:numFmt w:val="bullet"/>
      <w:lvlText w:val=""/>
      <w:lvlJc w:val="left"/>
      <w:pPr>
        <w:ind w:left="360" w:hanging="360"/>
      </w:pPr>
      <w:rPr>
        <w:rFonts w:ascii="Symbol" w:hAnsi="Symbol" w:hint="default"/>
        <w:b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7" w15:restartNumberingAfterBreak="0">
    <w:nsid w:val="3B7E05F0"/>
    <w:multiLevelType w:val="hybridMultilevel"/>
    <w:tmpl w:val="CE2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9"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2" w15:restartNumberingAfterBreak="0">
    <w:nsid w:val="42573C49"/>
    <w:multiLevelType w:val="hybridMultilevel"/>
    <w:tmpl w:val="1E2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4" w15:restartNumberingAfterBreak="0">
    <w:nsid w:val="461F5C72"/>
    <w:multiLevelType w:val="multilevel"/>
    <w:tmpl w:val="925091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545EAC"/>
    <w:multiLevelType w:val="multilevel"/>
    <w:tmpl w:val="924049E2"/>
    <w:lvl w:ilvl="0">
      <w:start w:val="5"/>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6" w15:restartNumberingAfterBreak="0">
    <w:nsid w:val="4B9B4C5A"/>
    <w:multiLevelType w:val="multilevel"/>
    <w:tmpl w:val="BA60A44C"/>
    <w:lvl w:ilvl="0">
      <w:start w:val="2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8" w15:restartNumberingAfterBreak="0">
    <w:nsid w:val="595D0D35"/>
    <w:multiLevelType w:val="hybridMultilevel"/>
    <w:tmpl w:val="D39E136C"/>
    <w:lvl w:ilvl="0" w:tplc="0409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C1F5D61"/>
    <w:multiLevelType w:val="multilevel"/>
    <w:tmpl w:val="51FEE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D415796"/>
    <w:multiLevelType w:val="multilevel"/>
    <w:tmpl w:val="9D3EE0F2"/>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12C121A"/>
    <w:multiLevelType w:val="multilevel"/>
    <w:tmpl w:val="465831DA"/>
    <w:lvl w:ilvl="0">
      <w:start w:val="13"/>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4"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451BC5"/>
    <w:multiLevelType w:val="hybridMultilevel"/>
    <w:tmpl w:val="27A0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E114153"/>
    <w:multiLevelType w:val="hybridMultilevel"/>
    <w:tmpl w:val="8EB0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26031E"/>
    <w:multiLevelType w:val="multilevel"/>
    <w:tmpl w:val="A6C0A71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C94CCC"/>
    <w:multiLevelType w:val="multilevel"/>
    <w:tmpl w:val="06AE9C56"/>
    <w:lvl w:ilvl="0">
      <w:start w:val="3"/>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53" w15:restartNumberingAfterBreak="0">
    <w:nsid w:val="75C4390A"/>
    <w:multiLevelType w:val="hybridMultilevel"/>
    <w:tmpl w:val="D9B822DC"/>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7558E"/>
    <w:multiLevelType w:val="multilevel"/>
    <w:tmpl w:val="84BEDA8C"/>
    <w:lvl w:ilvl="0">
      <w:start w:val="1"/>
      <w:numFmt w:val="decimal"/>
      <w:lvlText w:val="%1."/>
      <w:lvlJc w:val="left"/>
      <w:pPr>
        <w:ind w:left="360" w:hanging="36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C367C2A"/>
    <w:multiLevelType w:val="multilevel"/>
    <w:tmpl w:val="A5D6A5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2"/>
  </w:num>
  <w:num w:numId="2">
    <w:abstractNumId w:val="25"/>
  </w:num>
  <w:num w:numId="3">
    <w:abstractNumId w:val="11"/>
  </w:num>
  <w:num w:numId="4">
    <w:abstractNumId w:val="55"/>
  </w:num>
  <w:num w:numId="5">
    <w:abstractNumId w:val="46"/>
  </w:num>
  <w:num w:numId="6">
    <w:abstractNumId w:val="4"/>
  </w:num>
  <w:num w:numId="7">
    <w:abstractNumId w:val="15"/>
  </w:num>
  <w:num w:numId="8">
    <w:abstractNumId w:val="24"/>
  </w:num>
  <w:num w:numId="9">
    <w:abstractNumId w:val="49"/>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38"/>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53"/>
  </w:num>
  <w:num w:numId="27">
    <w:abstractNumId w:val="24"/>
  </w:num>
  <w:num w:numId="28">
    <w:abstractNumId w:val="24"/>
  </w:num>
  <w:num w:numId="29">
    <w:abstractNumId w:val="24"/>
  </w:num>
  <w:num w:numId="30">
    <w:abstractNumId w:val="24"/>
  </w:num>
  <w:num w:numId="31">
    <w:abstractNumId w:val="10"/>
  </w:num>
  <w:num w:numId="32">
    <w:abstractNumId w:val="8"/>
  </w:num>
  <w:num w:numId="33">
    <w:abstractNumId w:val="16"/>
  </w:num>
  <w:num w:numId="34">
    <w:abstractNumId w:val="47"/>
  </w:num>
  <w:num w:numId="35">
    <w:abstractNumId w:val="20"/>
  </w:num>
  <w:num w:numId="36">
    <w:abstractNumId w:val="40"/>
  </w:num>
  <w:num w:numId="37">
    <w:abstractNumId w:val="17"/>
  </w:num>
  <w:num w:numId="38">
    <w:abstractNumId w:val="9"/>
  </w:num>
  <w:num w:numId="39">
    <w:abstractNumId w:val="6"/>
  </w:num>
  <w:num w:numId="40">
    <w:abstractNumId w:val="19"/>
  </w:num>
  <w:num w:numId="41">
    <w:abstractNumId w:val="54"/>
  </w:num>
  <w:num w:numId="42">
    <w:abstractNumId w:val="51"/>
  </w:num>
  <w:num w:numId="43">
    <w:abstractNumId w:val="28"/>
  </w:num>
  <w:num w:numId="44">
    <w:abstractNumId w:val="12"/>
  </w:num>
  <w:num w:numId="45">
    <w:abstractNumId w:val="52"/>
  </w:num>
  <w:num w:numId="46">
    <w:abstractNumId w:val="5"/>
  </w:num>
  <w:num w:numId="47">
    <w:abstractNumId w:val="35"/>
  </w:num>
  <w:num w:numId="48">
    <w:abstractNumId w:val="56"/>
  </w:num>
  <w:num w:numId="49">
    <w:abstractNumId w:val="31"/>
  </w:num>
  <w:num w:numId="50">
    <w:abstractNumId w:val="29"/>
  </w:num>
  <w:num w:numId="51">
    <w:abstractNumId w:val="26"/>
  </w:num>
  <w:num w:numId="52">
    <w:abstractNumId w:val="37"/>
  </w:num>
  <w:num w:numId="53">
    <w:abstractNumId w:val="14"/>
  </w:num>
  <w:num w:numId="54">
    <w:abstractNumId w:val="1"/>
  </w:num>
  <w:num w:numId="55">
    <w:abstractNumId w:val="33"/>
  </w:num>
  <w:num w:numId="56">
    <w:abstractNumId w:val="39"/>
  </w:num>
  <w:num w:numId="57">
    <w:abstractNumId w:val="0"/>
  </w:num>
  <w:num w:numId="58">
    <w:abstractNumId w:val="3"/>
  </w:num>
  <w:num w:numId="59">
    <w:abstractNumId w:val="44"/>
  </w:num>
  <w:num w:numId="60">
    <w:abstractNumId w:val="2"/>
  </w:num>
  <w:num w:numId="61">
    <w:abstractNumId w:val="30"/>
  </w:num>
  <w:num w:numId="62">
    <w:abstractNumId w:val="21"/>
  </w:num>
  <w:num w:numId="63">
    <w:abstractNumId w:val="48"/>
  </w:num>
  <w:num w:numId="64">
    <w:abstractNumId w:val="18"/>
  </w:num>
  <w:num w:numId="65">
    <w:abstractNumId w:val="23"/>
  </w:num>
  <w:num w:numId="66">
    <w:abstractNumId w:val="45"/>
  </w:num>
  <w:num w:numId="67">
    <w:abstractNumId w:val="36"/>
  </w:num>
  <w:num w:numId="68">
    <w:abstractNumId w:val="13"/>
  </w:num>
  <w:num w:numId="69">
    <w:abstractNumId w:val="41"/>
  </w:num>
  <w:num w:numId="70">
    <w:abstractNumId w:val="32"/>
  </w:num>
  <w:num w:numId="71">
    <w:abstractNumId w:val="27"/>
  </w:num>
  <w:num w:numId="72">
    <w:abstractNumId w:val="50"/>
  </w:num>
  <w:num w:numId="73">
    <w:abstractNumId w:val="7"/>
  </w:num>
  <w:num w:numId="74">
    <w:abstractNumId w:val="34"/>
  </w:num>
  <w:num w:numId="75">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FC18A3"/>
    <w:rsid w:val="000016A4"/>
    <w:rsid w:val="000019DB"/>
    <w:rsid w:val="000047CC"/>
    <w:rsid w:val="00005BA5"/>
    <w:rsid w:val="00005BFA"/>
    <w:rsid w:val="00006F66"/>
    <w:rsid w:val="00010E2D"/>
    <w:rsid w:val="000120FD"/>
    <w:rsid w:val="00013A65"/>
    <w:rsid w:val="0001506E"/>
    <w:rsid w:val="00015B9D"/>
    <w:rsid w:val="0001601A"/>
    <w:rsid w:val="00021831"/>
    <w:rsid w:val="00022C19"/>
    <w:rsid w:val="00024F4C"/>
    <w:rsid w:val="00031A37"/>
    <w:rsid w:val="00036843"/>
    <w:rsid w:val="00047E58"/>
    <w:rsid w:val="00054FDC"/>
    <w:rsid w:val="000632E2"/>
    <w:rsid w:val="0007203D"/>
    <w:rsid w:val="000729D2"/>
    <w:rsid w:val="00073D20"/>
    <w:rsid w:val="00074E7D"/>
    <w:rsid w:val="000755E1"/>
    <w:rsid w:val="0007681B"/>
    <w:rsid w:val="000769F1"/>
    <w:rsid w:val="00083694"/>
    <w:rsid w:val="00085541"/>
    <w:rsid w:val="00092AE6"/>
    <w:rsid w:val="00093063"/>
    <w:rsid w:val="000A0709"/>
    <w:rsid w:val="000A0F0D"/>
    <w:rsid w:val="000A112A"/>
    <w:rsid w:val="000A21DA"/>
    <w:rsid w:val="000A34CE"/>
    <w:rsid w:val="000B59B9"/>
    <w:rsid w:val="000C03BF"/>
    <w:rsid w:val="000C15BD"/>
    <w:rsid w:val="000C65E4"/>
    <w:rsid w:val="000C7EE0"/>
    <w:rsid w:val="000D1EBC"/>
    <w:rsid w:val="000D260B"/>
    <w:rsid w:val="000D345F"/>
    <w:rsid w:val="000D7375"/>
    <w:rsid w:val="000E2EE7"/>
    <w:rsid w:val="000F025E"/>
    <w:rsid w:val="000F25BA"/>
    <w:rsid w:val="000F2B3F"/>
    <w:rsid w:val="000F7E6F"/>
    <w:rsid w:val="00101D76"/>
    <w:rsid w:val="00106B72"/>
    <w:rsid w:val="00106D19"/>
    <w:rsid w:val="0011334A"/>
    <w:rsid w:val="00115830"/>
    <w:rsid w:val="00116489"/>
    <w:rsid w:val="0011750D"/>
    <w:rsid w:val="00121B41"/>
    <w:rsid w:val="001301DF"/>
    <w:rsid w:val="001412DE"/>
    <w:rsid w:val="00142D78"/>
    <w:rsid w:val="00144A4D"/>
    <w:rsid w:val="00151351"/>
    <w:rsid w:val="00156788"/>
    <w:rsid w:val="001609A1"/>
    <w:rsid w:val="00162554"/>
    <w:rsid w:val="00163F68"/>
    <w:rsid w:val="00167213"/>
    <w:rsid w:val="00173B50"/>
    <w:rsid w:val="00173E0E"/>
    <w:rsid w:val="00174B39"/>
    <w:rsid w:val="00183F6C"/>
    <w:rsid w:val="00194802"/>
    <w:rsid w:val="00194AEB"/>
    <w:rsid w:val="001A431C"/>
    <w:rsid w:val="001A5519"/>
    <w:rsid w:val="001A7C3A"/>
    <w:rsid w:val="001B1634"/>
    <w:rsid w:val="001B5C26"/>
    <w:rsid w:val="001C08BC"/>
    <w:rsid w:val="001C56BA"/>
    <w:rsid w:val="001C6D7D"/>
    <w:rsid w:val="001D00B5"/>
    <w:rsid w:val="001D3B29"/>
    <w:rsid w:val="001D59C8"/>
    <w:rsid w:val="001E4EEB"/>
    <w:rsid w:val="001E6026"/>
    <w:rsid w:val="001F3696"/>
    <w:rsid w:val="001F37CA"/>
    <w:rsid w:val="0020163D"/>
    <w:rsid w:val="00203AD7"/>
    <w:rsid w:val="002042CC"/>
    <w:rsid w:val="00204B37"/>
    <w:rsid w:val="002074D6"/>
    <w:rsid w:val="00210CBC"/>
    <w:rsid w:val="002119C5"/>
    <w:rsid w:val="00213555"/>
    <w:rsid w:val="00222AF2"/>
    <w:rsid w:val="00223C3B"/>
    <w:rsid w:val="00224346"/>
    <w:rsid w:val="0022597C"/>
    <w:rsid w:val="00226582"/>
    <w:rsid w:val="00230F77"/>
    <w:rsid w:val="00232E4E"/>
    <w:rsid w:val="00234AE4"/>
    <w:rsid w:val="00237935"/>
    <w:rsid w:val="00237E43"/>
    <w:rsid w:val="00245E26"/>
    <w:rsid w:val="002539EA"/>
    <w:rsid w:val="002542FD"/>
    <w:rsid w:val="00254B4E"/>
    <w:rsid w:val="00254CA1"/>
    <w:rsid w:val="0026007A"/>
    <w:rsid w:val="002638C0"/>
    <w:rsid w:val="00264326"/>
    <w:rsid w:val="00265E42"/>
    <w:rsid w:val="00266B45"/>
    <w:rsid w:val="0027198B"/>
    <w:rsid w:val="00273658"/>
    <w:rsid w:val="00281AA4"/>
    <w:rsid w:val="00282A9D"/>
    <w:rsid w:val="00286C0C"/>
    <w:rsid w:val="00287687"/>
    <w:rsid w:val="00290D5F"/>
    <w:rsid w:val="002938F2"/>
    <w:rsid w:val="00293CCC"/>
    <w:rsid w:val="002A195D"/>
    <w:rsid w:val="002A51D7"/>
    <w:rsid w:val="002B4305"/>
    <w:rsid w:val="002B43D6"/>
    <w:rsid w:val="002B6B98"/>
    <w:rsid w:val="002C28BA"/>
    <w:rsid w:val="002C3B8F"/>
    <w:rsid w:val="002C444C"/>
    <w:rsid w:val="002C5021"/>
    <w:rsid w:val="002C5280"/>
    <w:rsid w:val="002C5C29"/>
    <w:rsid w:val="002D396D"/>
    <w:rsid w:val="002D71D4"/>
    <w:rsid w:val="002E113D"/>
    <w:rsid w:val="002F17E1"/>
    <w:rsid w:val="002F3BA9"/>
    <w:rsid w:val="003043A9"/>
    <w:rsid w:val="0030454E"/>
    <w:rsid w:val="00320242"/>
    <w:rsid w:val="00322A3A"/>
    <w:rsid w:val="00324A32"/>
    <w:rsid w:val="00325D6E"/>
    <w:rsid w:val="00334977"/>
    <w:rsid w:val="00337194"/>
    <w:rsid w:val="00342EE8"/>
    <w:rsid w:val="00344D78"/>
    <w:rsid w:val="00346517"/>
    <w:rsid w:val="00351CCB"/>
    <w:rsid w:val="0035648A"/>
    <w:rsid w:val="003618FB"/>
    <w:rsid w:val="00362B41"/>
    <w:rsid w:val="00363995"/>
    <w:rsid w:val="00364E5E"/>
    <w:rsid w:val="00370E9B"/>
    <w:rsid w:val="00377899"/>
    <w:rsid w:val="00377E4B"/>
    <w:rsid w:val="00383BA9"/>
    <w:rsid w:val="003845B0"/>
    <w:rsid w:val="00385B34"/>
    <w:rsid w:val="00386C08"/>
    <w:rsid w:val="00387D88"/>
    <w:rsid w:val="0039446E"/>
    <w:rsid w:val="003A260A"/>
    <w:rsid w:val="003A2BC4"/>
    <w:rsid w:val="003B31BE"/>
    <w:rsid w:val="003B504D"/>
    <w:rsid w:val="003C7065"/>
    <w:rsid w:val="003C7E33"/>
    <w:rsid w:val="003D2E0D"/>
    <w:rsid w:val="003D5113"/>
    <w:rsid w:val="003D5BFC"/>
    <w:rsid w:val="003D6E10"/>
    <w:rsid w:val="003E0C0F"/>
    <w:rsid w:val="003E0E28"/>
    <w:rsid w:val="003E19D5"/>
    <w:rsid w:val="003E214D"/>
    <w:rsid w:val="003E76A8"/>
    <w:rsid w:val="003F5B90"/>
    <w:rsid w:val="00404856"/>
    <w:rsid w:val="004063DD"/>
    <w:rsid w:val="00406ED7"/>
    <w:rsid w:val="004108B6"/>
    <w:rsid w:val="0041110F"/>
    <w:rsid w:val="0041300C"/>
    <w:rsid w:val="00414B68"/>
    <w:rsid w:val="00430ED2"/>
    <w:rsid w:val="00434773"/>
    <w:rsid w:val="004367F5"/>
    <w:rsid w:val="004458C9"/>
    <w:rsid w:val="0044751F"/>
    <w:rsid w:val="00447C66"/>
    <w:rsid w:val="00462F38"/>
    <w:rsid w:val="00471B34"/>
    <w:rsid w:val="00474AFE"/>
    <w:rsid w:val="00477E66"/>
    <w:rsid w:val="00480809"/>
    <w:rsid w:val="004831C7"/>
    <w:rsid w:val="00486A5E"/>
    <w:rsid w:val="00493F92"/>
    <w:rsid w:val="004A0C2B"/>
    <w:rsid w:val="004A610E"/>
    <w:rsid w:val="004C20E2"/>
    <w:rsid w:val="004E056C"/>
    <w:rsid w:val="004E2817"/>
    <w:rsid w:val="004E2AE8"/>
    <w:rsid w:val="004E418A"/>
    <w:rsid w:val="005016FB"/>
    <w:rsid w:val="00504256"/>
    <w:rsid w:val="00511D17"/>
    <w:rsid w:val="005157E2"/>
    <w:rsid w:val="0051699F"/>
    <w:rsid w:val="00516DE3"/>
    <w:rsid w:val="005300BF"/>
    <w:rsid w:val="00532631"/>
    <w:rsid w:val="005414A1"/>
    <w:rsid w:val="0054175C"/>
    <w:rsid w:val="005473CF"/>
    <w:rsid w:val="005577DB"/>
    <w:rsid w:val="00570355"/>
    <w:rsid w:val="00574530"/>
    <w:rsid w:val="00581423"/>
    <w:rsid w:val="00582F4C"/>
    <w:rsid w:val="0058407A"/>
    <w:rsid w:val="00586643"/>
    <w:rsid w:val="00594539"/>
    <w:rsid w:val="005A1BCE"/>
    <w:rsid w:val="005A65BD"/>
    <w:rsid w:val="005A7D00"/>
    <w:rsid w:val="005B0FE5"/>
    <w:rsid w:val="005B357C"/>
    <w:rsid w:val="005B4A0B"/>
    <w:rsid w:val="005B53C6"/>
    <w:rsid w:val="005C0015"/>
    <w:rsid w:val="005C0052"/>
    <w:rsid w:val="005C05F4"/>
    <w:rsid w:val="005C0660"/>
    <w:rsid w:val="005C1D00"/>
    <w:rsid w:val="005C44A6"/>
    <w:rsid w:val="005C4935"/>
    <w:rsid w:val="005C7D6A"/>
    <w:rsid w:val="005D2DDA"/>
    <w:rsid w:val="005E3A3E"/>
    <w:rsid w:val="005E6A2B"/>
    <w:rsid w:val="005E7C7C"/>
    <w:rsid w:val="005F5B3F"/>
    <w:rsid w:val="00601DD6"/>
    <w:rsid w:val="006032AE"/>
    <w:rsid w:val="00603F71"/>
    <w:rsid w:val="00605202"/>
    <w:rsid w:val="00612FDA"/>
    <w:rsid w:val="00621092"/>
    <w:rsid w:val="00621208"/>
    <w:rsid w:val="00621A6F"/>
    <w:rsid w:val="00632B30"/>
    <w:rsid w:val="006340A1"/>
    <w:rsid w:val="00636760"/>
    <w:rsid w:val="00644B92"/>
    <w:rsid w:val="00645B77"/>
    <w:rsid w:val="0065099D"/>
    <w:rsid w:val="006515C9"/>
    <w:rsid w:val="00651944"/>
    <w:rsid w:val="00652318"/>
    <w:rsid w:val="00652484"/>
    <w:rsid w:val="00653314"/>
    <w:rsid w:val="0067005F"/>
    <w:rsid w:val="0067015A"/>
    <w:rsid w:val="006736EC"/>
    <w:rsid w:val="00673D90"/>
    <w:rsid w:val="00676C1E"/>
    <w:rsid w:val="00686D60"/>
    <w:rsid w:val="00691869"/>
    <w:rsid w:val="006A0D86"/>
    <w:rsid w:val="006A49AE"/>
    <w:rsid w:val="006A56C0"/>
    <w:rsid w:val="006C0911"/>
    <w:rsid w:val="006C737A"/>
    <w:rsid w:val="006D46FB"/>
    <w:rsid w:val="006E29C0"/>
    <w:rsid w:val="006E752A"/>
    <w:rsid w:val="006E7CF0"/>
    <w:rsid w:val="006F3E83"/>
    <w:rsid w:val="006F4B83"/>
    <w:rsid w:val="006F7F47"/>
    <w:rsid w:val="00701458"/>
    <w:rsid w:val="00701D7E"/>
    <w:rsid w:val="00704766"/>
    <w:rsid w:val="007119B8"/>
    <w:rsid w:val="0072415E"/>
    <w:rsid w:val="007247D7"/>
    <w:rsid w:val="007250E3"/>
    <w:rsid w:val="007277C8"/>
    <w:rsid w:val="00732057"/>
    <w:rsid w:val="007368A2"/>
    <w:rsid w:val="007418AE"/>
    <w:rsid w:val="00742DB0"/>
    <w:rsid w:val="00742DD1"/>
    <w:rsid w:val="0074360F"/>
    <w:rsid w:val="00746204"/>
    <w:rsid w:val="00747715"/>
    <w:rsid w:val="00747F86"/>
    <w:rsid w:val="00750138"/>
    <w:rsid w:val="00753DA3"/>
    <w:rsid w:val="007546C0"/>
    <w:rsid w:val="007610D3"/>
    <w:rsid w:val="007629DB"/>
    <w:rsid w:val="00764F50"/>
    <w:rsid w:val="00767871"/>
    <w:rsid w:val="00770A92"/>
    <w:rsid w:val="00774D9C"/>
    <w:rsid w:val="00776A63"/>
    <w:rsid w:val="00786500"/>
    <w:rsid w:val="00790C65"/>
    <w:rsid w:val="00792FA1"/>
    <w:rsid w:val="0079316B"/>
    <w:rsid w:val="007A0565"/>
    <w:rsid w:val="007A0EAA"/>
    <w:rsid w:val="007A1247"/>
    <w:rsid w:val="007A1E0A"/>
    <w:rsid w:val="007A6F91"/>
    <w:rsid w:val="007A7D45"/>
    <w:rsid w:val="007B4ADA"/>
    <w:rsid w:val="007C0B7B"/>
    <w:rsid w:val="007C105C"/>
    <w:rsid w:val="007C1B00"/>
    <w:rsid w:val="007C49EC"/>
    <w:rsid w:val="007D0F1D"/>
    <w:rsid w:val="007D2881"/>
    <w:rsid w:val="007D31CE"/>
    <w:rsid w:val="007D3AD8"/>
    <w:rsid w:val="007D5BB7"/>
    <w:rsid w:val="007D6A69"/>
    <w:rsid w:val="007E0621"/>
    <w:rsid w:val="007E4E37"/>
    <w:rsid w:val="007F4B07"/>
    <w:rsid w:val="008029A6"/>
    <w:rsid w:val="008147BA"/>
    <w:rsid w:val="00821F23"/>
    <w:rsid w:val="008269B0"/>
    <w:rsid w:val="0083067E"/>
    <w:rsid w:val="00832357"/>
    <w:rsid w:val="0083488D"/>
    <w:rsid w:val="008466C3"/>
    <w:rsid w:val="00846809"/>
    <w:rsid w:val="00851458"/>
    <w:rsid w:val="00861A47"/>
    <w:rsid w:val="008707FF"/>
    <w:rsid w:val="008724E5"/>
    <w:rsid w:val="00877AC5"/>
    <w:rsid w:val="00877F27"/>
    <w:rsid w:val="0088173A"/>
    <w:rsid w:val="00881EB9"/>
    <w:rsid w:val="008848E9"/>
    <w:rsid w:val="00884C09"/>
    <w:rsid w:val="00885596"/>
    <w:rsid w:val="00885B33"/>
    <w:rsid w:val="00886B71"/>
    <w:rsid w:val="0089499E"/>
    <w:rsid w:val="00896177"/>
    <w:rsid w:val="008A0BE3"/>
    <w:rsid w:val="008A2566"/>
    <w:rsid w:val="008A6663"/>
    <w:rsid w:val="008B6B4C"/>
    <w:rsid w:val="008B7346"/>
    <w:rsid w:val="008C7F60"/>
    <w:rsid w:val="008D3BF7"/>
    <w:rsid w:val="008E0DAA"/>
    <w:rsid w:val="008E194D"/>
    <w:rsid w:val="008F16C6"/>
    <w:rsid w:val="008F2A76"/>
    <w:rsid w:val="008F34A1"/>
    <w:rsid w:val="008F4F13"/>
    <w:rsid w:val="008F5052"/>
    <w:rsid w:val="008F5193"/>
    <w:rsid w:val="0090187D"/>
    <w:rsid w:val="00903C3D"/>
    <w:rsid w:val="009070F1"/>
    <w:rsid w:val="0090710F"/>
    <w:rsid w:val="00910B12"/>
    <w:rsid w:val="00911179"/>
    <w:rsid w:val="009121CE"/>
    <w:rsid w:val="009127D8"/>
    <w:rsid w:val="00916F7B"/>
    <w:rsid w:val="00917A4D"/>
    <w:rsid w:val="00921F65"/>
    <w:rsid w:val="0092574C"/>
    <w:rsid w:val="009342E8"/>
    <w:rsid w:val="009357B4"/>
    <w:rsid w:val="00946D71"/>
    <w:rsid w:val="009577E1"/>
    <w:rsid w:val="00971CA1"/>
    <w:rsid w:val="0097349C"/>
    <w:rsid w:val="009814C2"/>
    <w:rsid w:val="00982FFD"/>
    <w:rsid w:val="00985265"/>
    <w:rsid w:val="00985856"/>
    <w:rsid w:val="009A4969"/>
    <w:rsid w:val="009B1466"/>
    <w:rsid w:val="009B6973"/>
    <w:rsid w:val="009C0510"/>
    <w:rsid w:val="009C3663"/>
    <w:rsid w:val="009D098F"/>
    <w:rsid w:val="009D4547"/>
    <w:rsid w:val="009D5A49"/>
    <w:rsid w:val="009D5E38"/>
    <w:rsid w:val="009D602F"/>
    <w:rsid w:val="009D68D0"/>
    <w:rsid w:val="009E17AF"/>
    <w:rsid w:val="009F0D42"/>
    <w:rsid w:val="009F1B82"/>
    <w:rsid w:val="009F34A4"/>
    <w:rsid w:val="009F3988"/>
    <w:rsid w:val="00A003D0"/>
    <w:rsid w:val="00A073FD"/>
    <w:rsid w:val="00A10B7E"/>
    <w:rsid w:val="00A150C7"/>
    <w:rsid w:val="00A2307A"/>
    <w:rsid w:val="00A260E9"/>
    <w:rsid w:val="00A462C6"/>
    <w:rsid w:val="00A519A2"/>
    <w:rsid w:val="00A51BDC"/>
    <w:rsid w:val="00A535B7"/>
    <w:rsid w:val="00A5709F"/>
    <w:rsid w:val="00A616C4"/>
    <w:rsid w:val="00A61F20"/>
    <w:rsid w:val="00A64796"/>
    <w:rsid w:val="00A66CD4"/>
    <w:rsid w:val="00A70883"/>
    <w:rsid w:val="00A77AEB"/>
    <w:rsid w:val="00A81F0A"/>
    <w:rsid w:val="00A85C7A"/>
    <w:rsid w:val="00A86042"/>
    <w:rsid w:val="00AA36F9"/>
    <w:rsid w:val="00AA444A"/>
    <w:rsid w:val="00AB1528"/>
    <w:rsid w:val="00AD6BD4"/>
    <w:rsid w:val="00AE1B18"/>
    <w:rsid w:val="00AE1D83"/>
    <w:rsid w:val="00AE2DFB"/>
    <w:rsid w:val="00AE3061"/>
    <w:rsid w:val="00AF15BA"/>
    <w:rsid w:val="00AF1C32"/>
    <w:rsid w:val="00AF65C6"/>
    <w:rsid w:val="00B11AE3"/>
    <w:rsid w:val="00B121A6"/>
    <w:rsid w:val="00B300B8"/>
    <w:rsid w:val="00B32A28"/>
    <w:rsid w:val="00B33904"/>
    <w:rsid w:val="00B3751E"/>
    <w:rsid w:val="00B427FE"/>
    <w:rsid w:val="00B51737"/>
    <w:rsid w:val="00B6102A"/>
    <w:rsid w:val="00B6167A"/>
    <w:rsid w:val="00B62ED0"/>
    <w:rsid w:val="00B64196"/>
    <w:rsid w:val="00B66A7A"/>
    <w:rsid w:val="00B70266"/>
    <w:rsid w:val="00B74304"/>
    <w:rsid w:val="00B82F05"/>
    <w:rsid w:val="00B87142"/>
    <w:rsid w:val="00B8750E"/>
    <w:rsid w:val="00B92374"/>
    <w:rsid w:val="00B924C8"/>
    <w:rsid w:val="00B95E33"/>
    <w:rsid w:val="00B973B5"/>
    <w:rsid w:val="00B97FD1"/>
    <w:rsid w:val="00BA6367"/>
    <w:rsid w:val="00BB1062"/>
    <w:rsid w:val="00BB28EF"/>
    <w:rsid w:val="00BB5DEE"/>
    <w:rsid w:val="00BC002E"/>
    <w:rsid w:val="00BC393F"/>
    <w:rsid w:val="00BC75FC"/>
    <w:rsid w:val="00BD59BD"/>
    <w:rsid w:val="00BE5B3F"/>
    <w:rsid w:val="00BF351F"/>
    <w:rsid w:val="00BF3F50"/>
    <w:rsid w:val="00BF6F37"/>
    <w:rsid w:val="00BF726A"/>
    <w:rsid w:val="00C02924"/>
    <w:rsid w:val="00C04344"/>
    <w:rsid w:val="00C065BD"/>
    <w:rsid w:val="00C17FE4"/>
    <w:rsid w:val="00C21897"/>
    <w:rsid w:val="00C276EE"/>
    <w:rsid w:val="00C43146"/>
    <w:rsid w:val="00C43757"/>
    <w:rsid w:val="00C43BCE"/>
    <w:rsid w:val="00C47CF1"/>
    <w:rsid w:val="00C52006"/>
    <w:rsid w:val="00C53AB4"/>
    <w:rsid w:val="00C542F1"/>
    <w:rsid w:val="00C572B3"/>
    <w:rsid w:val="00C57CA1"/>
    <w:rsid w:val="00C6300B"/>
    <w:rsid w:val="00C6426B"/>
    <w:rsid w:val="00C6478B"/>
    <w:rsid w:val="00C87194"/>
    <w:rsid w:val="00C90629"/>
    <w:rsid w:val="00C90C51"/>
    <w:rsid w:val="00CA3ED6"/>
    <w:rsid w:val="00CA7CF4"/>
    <w:rsid w:val="00CB0F37"/>
    <w:rsid w:val="00CB1135"/>
    <w:rsid w:val="00CB590B"/>
    <w:rsid w:val="00CC02C5"/>
    <w:rsid w:val="00CC2BC6"/>
    <w:rsid w:val="00CC3AAB"/>
    <w:rsid w:val="00CC520F"/>
    <w:rsid w:val="00CD324E"/>
    <w:rsid w:val="00CD4A28"/>
    <w:rsid w:val="00CD54BD"/>
    <w:rsid w:val="00CD6C36"/>
    <w:rsid w:val="00CE2586"/>
    <w:rsid w:val="00CF05D7"/>
    <w:rsid w:val="00CF34A6"/>
    <w:rsid w:val="00CF3F93"/>
    <w:rsid w:val="00D020F3"/>
    <w:rsid w:val="00D044CD"/>
    <w:rsid w:val="00D04515"/>
    <w:rsid w:val="00D065AD"/>
    <w:rsid w:val="00D22831"/>
    <w:rsid w:val="00D36EFE"/>
    <w:rsid w:val="00D404B7"/>
    <w:rsid w:val="00D44509"/>
    <w:rsid w:val="00D448CB"/>
    <w:rsid w:val="00D47226"/>
    <w:rsid w:val="00D47ED5"/>
    <w:rsid w:val="00D50C7F"/>
    <w:rsid w:val="00D61779"/>
    <w:rsid w:val="00D62576"/>
    <w:rsid w:val="00D73DB6"/>
    <w:rsid w:val="00D809E5"/>
    <w:rsid w:val="00D81948"/>
    <w:rsid w:val="00D90819"/>
    <w:rsid w:val="00D93291"/>
    <w:rsid w:val="00D9501F"/>
    <w:rsid w:val="00DB50D5"/>
    <w:rsid w:val="00DC5537"/>
    <w:rsid w:val="00DD11EE"/>
    <w:rsid w:val="00DD52A0"/>
    <w:rsid w:val="00DE5590"/>
    <w:rsid w:val="00DE6364"/>
    <w:rsid w:val="00DF1D9E"/>
    <w:rsid w:val="00DF3DA3"/>
    <w:rsid w:val="00DF5DA4"/>
    <w:rsid w:val="00DF7F7A"/>
    <w:rsid w:val="00DF7FDE"/>
    <w:rsid w:val="00E06492"/>
    <w:rsid w:val="00E065CE"/>
    <w:rsid w:val="00E06A00"/>
    <w:rsid w:val="00E13E03"/>
    <w:rsid w:val="00E22B99"/>
    <w:rsid w:val="00E24A9D"/>
    <w:rsid w:val="00E258D9"/>
    <w:rsid w:val="00E25E13"/>
    <w:rsid w:val="00E35B8C"/>
    <w:rsid w:val="00E439CA"/>
    <w:rsid w:val="00E46DDB"/>
    <w:rsid w:val="00E473F3"/>
    <w:rsid w:val="00E5219B"/>
    <w:rsid w:val="00E56905"/>
    <w:rsid w:val="00E609BA"/>
    <w:rsid w:val="00E60C78"/>
    <w:rsid w:val="00E64BE4"/>
    <w:rsid w:val="00E85565"/>
    <w:rsid w:val="00E87F91"/>
    <w:rsid w:val="00E94BC6"/>
    <w:rsid w:val="00EA0563"/>
    <w:rsid w:val="00EA198F"/>
    <w:rsid w:val="00EA2EA1"/>
    <w:rsid w:val="00EA3CB9"/>
    <w:rsid w:val="00EA59EB"/>
    <w:rsid w:val="00EA67F3"/>
    <w:rsid w:val="00EB48F8"/>
    <w:rsid w:val="00ED0C60"/>
    <w:rsid w:val="00ED3D26"/>
    <w:rsid w:val="00ED5218"/>
    <w:rsid w:val="00EE1D9D"/>
    <w:rsid w:val="00EF0BCB"/>
    <w:rsid w:val="00EF0E74"/>
    <w:rsid w:val="00EF2549"/>
    <w:rsid w:val="00F00E8A"/>
    <w:rsid w:val="00F16242"/>
    <w:rsid w:val="00F17FCB"/>
    <w:rsid w:val="00F226CC"/>
    <w:rsid w:val="00F2691E"/>
    <w:rsid w:val="00F279DD"/>
    <w:rsid w:val="00F3242E"/>
    <w:rsid w:val="00F33650"/>
    <w:rsid w:val="00F348F9"/>
    <w:rsid w:val="00F37E4B"/>
    <w:rsid w:val="00F4144E"/>
    <w:rsid w:val="00F41B00"/>
    <w:rsid w:val="00F45C2D"/>
    <w:rsid w:val="00F473CB"/>
    <w:rsid w:val="00F50245"/>
    <w:rsid w:val="00F5644D"/>
    <w:rsid w:val="00F63DDA"/>
    <w:rsid w:val="00F67029"/>
    <w:rsid w:val="00F70858"/>
    <w:rsid w:val="00F71BBC"/>
    <w:rsid w:val="00F7397F"/>
    <w:rsid w:val="00F75949"/>
    <w:rsid w:val="00F75CF4"/>
    <w:rsid w:val="00F810ED"/>
    <w:rsid w:val="00F866CD"/>
    <w:rsid w:val="00F941F0"/>
    <w:rsid w:val="00F966F5"/>
    <w:rsid w:val="00F97FF5"/>
    <w:rsid w:val="00FA7CE6"/>
    <w:rsid w:val="00FB1313"/>
    <w:rsid w:val="00FC18A3"/>
    <w:rsid w:val="00FC2238"/>
    <w:rsid w:val="00FC2459"/>
    <w:rsid w:val="00FC268E"/>
    <w:rsid w:val="00FC2BFD"/>
    <w:rsid w:val="00FC309D"/>
    <w:rsid w:val="00FC47E0"/>
    <w:rsid w:val="00FD0D73"/>
    <w:rsid w:val="00FD1C42"/>
    <w:rsid w:val="00FD1E96"/>
    <w:rsid w:val="00FD1FE7"/>
    <w:rsid w:val="00FD6442"/>
    <w:rsid w:val="00FE0148"/>
    <w:rsid w:val="00FE15F6"/>
    <w:rsid w:val="00FE1F8A"/>
    <w:rsid w:val="00FF14AA"/>
    <w:rsid w:val="00FF26CC"/>
    <w:rsid w:val="00FF2B1D"/>
    <w:rsid w:val="00FF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5D479"/>
  <w15:docId w15:val="{B7F6CEBA-C160-4BDA-920B-E2C8DAA0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766"/>
    <w:pPr>
      <w:spacing w:after="120"/>
    </w:pPr>
    <w:rPr>
      <w:rFonts w:ascii="Times New Roman" w:eastAsia="Times New Roman" w:hAnsi="Times New Roman"/>
      <w:sz w:val="22"/>
      <w:szCs w:val="24"/>
      <w:lang w:val="en-GB" w:eastAsia="fr-FR" w:bidi="ar-SA"/>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0C7EE0"/>
    <w:pPr>
      <w:keepNext/>
      <w:keepLines/>
      <w:tabs>
        <w:tab w:val="left" w:pos="567"/>
      </w:tabs>
      <w:snapToGrid w:val="0"/>
      <w:spacing w:before="360"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spacing w:after="0"/>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val="fr-FR" w:eastAsia="fr-FR" w:bidi="ar-SA"/>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0C7EE0"/>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uiPriority w:val="99"/>
    <w:rsid w:val="00B11AE3"/>
    <w:rPr>
      <w:sz w:val="20"/>
      <w:szCs w:val="20"/>
    </w:rPr>
  </w:style>
  <w:style w:type="character" w:customStyle="1" w:styleId="CommentTextChar">
    <w:name w:val="Comment Text Char"/>
    <w:link w:val="CommentText"/>
    <w:uiPriority w:val="99"/>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rsid w:val="00B11AE3"/>
    <w:rPr>
      <w:b/>
      <w:bCs/>
    </w:rPr>
  </w:style>
  <w:style w:type="character" w:customStyle="1" w:styleId="CommentSubjectChar">
    <w:name w:val="Comment Subject Char"/>
    <w:link w:val="CommentSubject"/>
    <w:uiPriority w:val="99"/>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bidi="ar-SA"/>
    </w:rPr>
  </w:style>
  <w:style w:type="paragraph" w:customStyle="1" w:styleId="Sansinterligne2">
    <w:name w:val="Sans interligne2"/>
    <w:uiPriority w:val="1"/>
    <w:rsid w:val="006E7CF0"/>
    <w:rPr>
      <w:rFonts w:ascii="Times New Roman" w:eastAsia="Times New Roman" w:hAnsi="Times New Roman"/>
      <w:sz w:val="24"/>
      <w:szCs w:val="24"/>
      <w:lang w:val="fr-FR" w:eastAsia="fr-FR" w:bidi="ar-SA"/>
    </w:rPr>
  </w:style>
  <w:style w:type="character" w:styleId="Hyperlink">
    <w:name w:val="Hyperlink"/>
    <w:uiPriority w:val="99"/>
    <w:unhideWhenUsed/>
    <w:rsid w:val="006E7CF0"/>
    <w:rPr>
      <w:color w:val="0000FF"/>
      <w:u w:val="single"/>
    </w:rPr>
  </w:style>
  <w:style w:type="character" w:customStyle="1" w:styleId="Mention1">
    <w:name w:val="Mention1"/>
    <w:uiPriority w:val="99"/>
    <w:semiHidden/>
    <w:unhideWhenUsed/>
    <w:rsid w:val="00254CA1"/>
    <w:rPr>
      <w:color w:val="2B579A"/>
      <w:shd w:val="clear" w:color="auto" w:fill="E6E6E6"/>
    </w:rPr>
  </w:style>
  <w:style w:type="paragraph" w:styleId="FootnoteText">
    <w:name w:val="footnote text"/>
    <w:basedOn w:val="Normal"/>
    <w:link w:val="FootnoteTextChar"/>
    <w:uiPriority w:val="99"/>
    <w:unhideWhenUsed/>
    <w:rsid w:val="00210CBC"/>
    <w:pPr>
      <w:spacing w:after="0"/>
    </w:pPr>
    <w:rPr>
      <w:sz w:val="20"/>
      <w:szCs w:val="20"/>
    </w:rPr>
  </w:style>
  <w:style w:type="character" w:customStyle="1" w:styleId="FootnoteTextChar">
    <w:name w:val="Footnote Text Char"/>
    <w:link w:val="FootnoteText"/>
    <w:uiPriority w:val="99"/>
    <w:rsid w:val="00210CBC"/>
    <w:rPr>
      <w:rFonts w:ascii="Times New Roman" w:eastAsia="Times New Roman" w:hAnsi="Times New Roman"/>
      <w:lang w:val="en-GB"/>
    </w:rPr>
  </w:style>
  <w:style w:type="character" w:styleId="FootnoteReference">
    <w:name w:val="footnote reference"/>
    <w:uiPriority w:val="99"/>
    <w:semiHidden/>
    <w:unhideWhenUsed/>
    <w:rsid w:val="00210CBC"/>
    <w:rPr>
      <w:vertAlign w:val="superscript"/>
    </w:rPr>
  </w:style>
  <w:style w:type="character" w:styleId="FollowedHyperlink">
    <w:name w:val="FollowedHyperlink"/>
    <w:semiHidden/>
    <w:unhideWhenUsed/>
    <w:rsid w:val="00B62ED0"/>
    <w:rPr>
      <w:color w:val="800080"/>
      <w:u w:val="single"/>
    </w:rPr>
  </w:style>
  <w:style w:type="paragraph" w:styleId="Revision">
    <w:name w:val="Revision"/>
    <w:hidden/>
    <w:uiPriority w:val="99"/>
    <w:semiHidden/>
    <w:rsid w:val="001609A1"/>
    <w:rPr>
      <w:rFonts w:ascii="Times New Roman" w:eastAsia="Times New Roman" w:hAnsi="Times New Roman"/>
      <w:sz w:val="22"/>
      <w:szCs w:val="24"/>
      <w:lang w:val="en-GB" w:eastAsia="fr-FR" w:bidi="ar-SA"/>
    </w:rPr>
  </w:style>
  <w:style w:type="paragraph" w:customStyle="1" w:styleId="Default">
    <w:name w:val="Default"/>
    <w:rsid w:val="000F2B3F"/>
    <w:pPr>
      <w:autoSpaceDE w:val="0"/>
      <w:autoSpaceDN w:val="0"/>
      <w:adjustRightInd w:val="0"/>
    </w:pPr>
    <w:rPr>
      <w:rFonts w:ascii="Arial" w:hAnsi="Arial" w:cs="Arial"/>
      <w:color w:val="000000"/>
      <w:sz w:val="24"/>
      <w:szCs w:val="24"/>
      <w:lang w:eastAsia="fr-FR" w:bidi="ar-SA"/>
    </w:rPr>
  </w:style>
  <w:style w:type="paragraph" w:styleId="ListParagraph">
    <w:name w:val="List Paragraph"/>
    <w:basedOn w:val="Normal"/>
    <w:uiPriority w:val="34"/>
    <w:qFormat/>
    <w:rsid w:val="00D47226"/>
    <w:pPr>
      <w:spacing w:after="160" w:line="259" w:lineRule="auto"/>
      <w:ind w:left="720"/>
      <w:contextualSpacing/>
    </w:pPr>
    <w:rPr>
      <w:rFonts w:ascii="Calibri" w:eastAsia="Calibri" w:hAnsi="Calibri"/>
      <w:szCs w:val="22"/>
      <w:lang w:val="en-US" w:eastAsia="en-US"/>
    </w:rPr>
  </w:style>
  <w:style w:type="table" w:customStyle="1" w:styleId="TableGrid1">
    <w:name w:val="Table Grid1"/>
    <w:basedOn w:val="TableNormal"/>
    <w:next w:val="TableGrid"/>
    <w:uiPriority w:val="59"/>
    <w:rsid w:val="00D47226"/>
    <w:rPr>
      <w:rFonts w:eastAsia="Malgun 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47226"/>
    <w:pPr>
      <w:spacing w:after="0"/>
    </w:pPr>
    <w:rPr>
      <w:rFonts w:ascii="Calibri" w:eastAsia="Calibri" w:hAnsi="Calibri"/>
      <w:sz w:val="20"/>
      <w:szCs w:val="20"/>
      <w:lang w:val="en-US" w:eastAsia="en-US"/>
    </w:rPr>
  </w:style>
  <w:style w:type="character" w:customStyle="1" w:styleId="EndnoteTextChar">
    <w:name w:val="Endnote Text Char"/>
    <w:link w:val="EndnoteText"/>
    <w:uiPriority w:val="99"/>
    <w:semiHidden/>
    <w:rsid w:val="00D47226"/>
    <w:rPr>
      <w:rFonts w:ascii="Calibri" w:eastAsia="Calibri" w:hAnsi="Calibri" w:cs="Times New Roman"/>
      <w:lang w:val="en-US" w:eastAsia="en-US"/>
    </w:rPr>
  </w:style>
  <w:style w:type="character" w:styleId="EndnoteReference">
    <w:name w:val="endnote reference"/>
    <w:uiPriority w:val="99"/>
    <w:semiHidden/>
    <w:unhideWhenUsed/>
    <w:rsid w:val="00D47226"/>
    <w:rPr>
      <w:vertAlign w:val="superscript"/>
    </w:rPr>
  </w:style>
  <w:style w:type="character" w:customStyle="1" w:styleId="UnresolvedMention1">
    <w:name w:val="Unresolved Mention1"/>
    <w:basedOn w:val="DefaultParagraphFont"/>
    <w:uiPriority w:val="99"/>
    <w:semiHidden/>
    <w:unhideWhenUsed/>
    <w:rsid w:val="009C0510"/>
    <w:rPr>
      <w:color w:val="605E5C"/>
      <w:shd w:val="clear" w:color="auto" w:fill="E1DFDD"/>
    </w:rPr>
  </w:style>
  <w:style w:type="character" w:customStyle="1" w:styleId="UnresolvedMention2">
    <w:name w:val="Unresolved Mention2"/>
    <w:basedOn w:val="DefaultParagraphFont"/>
    <w:uiPriority w:val="99"/>
    <w:semiHidden/>
    <w:unhideWhenUsed/>
    <w:rsid w:val="00704766"/>
    <w:rPr>
      <w:color w:val="605E5C"/>
      <w:shd w:val="clear" w:color="auto" w:fill="E1DFDD"/>
    </w:rPr>
  </w:style>
  <w:style w:type="paragraph" w:customStyle="1" w:styleId="Footnote">
    <w:name w:val="Footnote"/>
    <w:basedOn w:val="EndnoteText"/>
    <w:link w:val="FootnoteChar"/>
    <w:qFormat/>
    <w:rsid w:val="00322A3A"/>
    <w:pPr>
      <w:ind w:left="709" w:hanging="709"/>
    </w:pPr>
    <w:rPr>
      <w:rFonts w:eastAsia="Times New Roman" w:cs="Arial"/>
      <w:lang w:val="fr-FR" w:eastAsia="fr-FR"/>
    </w:rPr>
  </w:style>
  <w:style w:type="character" w:customStyle="1" w:styleId="FootnoteChar">
    <w:name w:val="Footnote Char"/>
    <w:aliases w:val="No Spacing Char,Title Ed Char"/>
    <w:link w:val="Footnote"/>
    <w:rsid w:val="00322A3A"/>
    <w:rPr>
      <w:rFonts w:eastAsia="Times New Roman" w:cs="Arial"/>
      <w:lang w:val="fr-FR" w:eastAsia="fr-FR" w:bidi="ar-SA"/>
    </w:rPr>
  </w:style>
  <w:style w:type="character" w:customStyle="1" w:styleId="UnresolvedMention20">
    <w:name w:val="Unresolved Mention2"/>
    <w:basedOn w:val="DefaultParagraphFont"/>
    <w:uiPriority w:val="99"/>
    <w:semiHidden/>
    <w:unhideWhenUsed/>
    <w:rsid w:val="00E60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17284">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718970526">
      <w:bodyDiv w:val="1"/>
      <w:marLeft w:val="0"/>
      <w:marRight w:val="0"/>
      <w:marTop w:val="0"/>
      <w:marBottom w:val="0"/>
      <w:divBdr>
        <w:top w:val="none" w:sz="0" w:space="0" w:color="auto"/>
        <w:left w:val="none" w:sz="0" w:space="0" w:color="auto"/>
        <w:bottom w:val="none" w:sz="0" w:space="0" w:color="auto"/>
        <w:right w:val="none" w:sz="0" w:space="0" w:color="auto"/>
      </w:divBdr>
    </w:div>
    <w:div w:id="1724719700">
      <w:bodyDiv w:val="1"/>
      <w:marLeft w:val="0"/>
      <w:marRight w:val="0"/>
      <w:marTop w:val="0"/>
      <w:marBottom w:val="0"/>
      <w:divBdr>
        <w:top w:val="none" w:sz="0" w:space="0" w:color="auto"/>
        <w:left w:val="none" w:sz="0" w:space="0" w:color="auto"/>
        <w:bottom w:val="none" w:sz="0" w:space="0" w:color="auto"/>
        <w:right w:val="none" w:sz="0" w:space="0" w:color="auto"/>
      </w:divBdr>
    </w:div>
    <w:div w:id="184334797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207832">
      <w:bodyDiv w:val="1"/>
      <w:marLeft w:val="0"/>
      <w:marRight w:val="0"/>
      <w:marTop w:val="0"/>
      <w:marBottom w:val="0"/>
      <w:divBdr>
        <w:top w:val="none" w:sz="0" w:space="0" w:color="auto"/>
        <w:left w:val="none" w:sz="0" w:space="0" w:color="auto"/>
        <w:bottom w:val="none" w:sz="0" w:space="0" w:color="auto"/>
        <w:right w:val="none" w:sz="0" w:space="0" w:color="auto"/>
      </w:divBdr>
    </w:div>
    <w:div w:id="20588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Documents\Custom%20Office%20Templates\Guidance%20notes%20template_201904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682C-5DE5-413B-BD8E-FCF05CBF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 notes template_20190423</Template>
  <TotalTime>2</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Proschan</dc:creator>
  <cp:keywords/>
  <cp:lastModifiedBy>scepi</cp:lastModifiedBy>
  <cp:revision>4</cp:revision>
  <dcterms:created xsi:type="dcterms:W3CDTF">2019-07-23T00:14:00Z</dcterms:created>
  <dcterms:modified xsi:type="dcterms:W3CDTF">2019-12-06T17:07:00Z</dcterms:modified>
</cp:coreProperties>
</file>