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752A" w14:textId="77777777" w:rsidR="000C5A25" w:rsidRPr="00602CC7" w:rsidRDefault="000C5A25" w:rsidP="002A3B1F">
      <w:pPr>
        <w:pageBreakBefore/>
        <w:bidi/>
        <w:jc w:val="center"/>
        <w:rPr>
          <w:rFonts w:asciiTheme="majorBidi" w:hAnsiTheme="majorBidi" w:cstheme="majorBidi"/>
          <w:b/>
          <w:bCs/>
          <w:sz w:val="28"/>
          <w:szCs w:val="28"/>
        </w:rPr>
      </w:pPr>
      <w:r w:rsidRPr="00602CC7">
        <w:rPr>
          <w:rFonts w:asciiTheme="majorBidi" w:hAnsiTheme="majorBidi" w:cstheme="majorBidi"/>
          <w:b/>
          <w:bCs/>
          <w:sz w:val="28"/>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602CC7" w14:paraId="381F6FEB" w14:textId="77777777" w:rsidTr="0002664A">
        <w:trPr>
          <w:cantSplit/>
        </w:trPr>
        <w:tc>
          <w:tcPr>
            <w:tcW w:w="786" w:type="pct"/>
            <w:shd w:val="clear" w:color="auto" w:fill="auto"/>
          </w:tcPr>
          <w:p w14:paraId="266E1D7C" w14:textId="59FE4935" w:rsidR="005473CF" w:rsidRPr="002B664C" w:rsidRDefault="000C5A25" w:rsidP="002A3B1F">
            <w:pPr>
              <w:bidi/>
              <w:spacing w:before="120"/>
              <w:jc w:val="both"/>
              <w:rPr>
                <w:rFonts w:asciiTheme="majorBidi" w:hAnsiTheme="majorBidi" w:cstheme="majorBidi"/>
                <w:b/>
                <w:sz w:val="24"/>
              </w:rPr>
            </w:pPr>
            <w:r w:rsidRPr="002B664C">
              <w:rPr>
                <w:rFonts w:asciiTheme="majorBidi" w:hAnsiTheme="majorBidi" w:cstheme="majorBidi"/>
                <w:b/>
                <w:bCs/>
                <w:sz w:val="24"/>
                <w:rtl/>
              </w:rPr>
              <w:t>المؤشر</w:t>
            </w:r>
          </w:p>
        </w:tc>
        <w:tc>
          <w:tcPr>
            <w:tcW w:w="4214" w:type="pct"/>
            <w:gridSpan w:val="2"/>
            <w:shd w:val="clear" w:color="auto" w:fill="auto"/>
          </w:tcPr>
          <w:p w14:paraId="696DE60D" w14:textId="2DCFBF5F" w:rsidR="005473CF" w:rsidRPr="002B664C" w:rsidRDefault="00A10DDC" w:rsidP="002A3B1F">
            <w:pPr>
              <w:pStyle w:val="ListParagraph"/>
              <w:keepLines/>
              <w:numPr>
                <w:ilvl w:val="0"/>
                <w:numId w:val="77"/>
              </w:numPr>
              <w:bidi/>
              <w:spacing w:before="120"/>
              <w:jc w:val="both"/>
              <w:rPr>
                <w:rFonts w:asciiTheme="majorBidi" w:hAnsiTheme="majorBidi" w:cstheme="majorBidi"/>
                <w:bCs/>
                <w:sz w:val="24"/>
                <w:szCs w:val="24"/>
              </w:rPr>
            </w:pPr>
            <w:r w:rsidRPr="002B664C">
              <w:rPr>
                <w:rFonts w:asciiTheme="majorBidi" w:hAnsiTheme="majorBidi" w:cstheme="majorBidi"/>
                <w:bCs/>
                <w:sz w:val="24"/>
                <w:szCs w:val="24"/>
                <w:rtl/>
              </w:rPr>
              <w:t>مدى احترام السياسات والتدابير القانونية والإدارية للحقوق والممارسات وأشكال التعبير العرفية، لا سيما فيما يتعلّق بممارسة التراث الثقافي غير المادي ونقله</w:t>
            </w:r>
          </w:p>
        </w:tc>
      </w:tr>
      <w:tr w:rsidR="005B0FE5" w:rsidRPr="00602CC7" w14:paraId="7E2FCA33" w14:textId="77777777" w:rsidTr="0002664A">
        <w:trPr>
          <w:cantSplit/>
        </w:trPr>
        <w:tc>
          <w:tcPr>
            <w:tcW w:w="786" w:type="pct"/>
            <w:vMerge w:val="restart"/>
            <w:shd w:val="clear" w:color="auto" w:fill="auto"/>
          </w:tcPr>
          <w:p w14:paraId="29155321" w14:textId="6838AF67" w:rsidR="005B0FE5" w:rsidRPr="002B664C" w:rsidRDefault="000C5A25" w:rsidP="002A3B1F">
            <w:pPr>
              <w:bidi/>
              <w:spacing w:before="120"/>
              <w:jc w:val="both"/>
              <w:rPr>
                <w:rFonts w:asciiTheme="majorBidi" w:hAnsiTheme="majorBidi" w:cstheme="majorBidi"/>
                <w:b/>
                <w:sz w:val="24"/>
              </w:rPr>
            </w:pPr>
            <w:r w:rsidRPr="002B664C">
              <w:rPr>
                <w:rFonts w:asciiTheme="majorBidi" w:hAnsiTheme="majorBidi" w:cstheme="majorBidi"/>
                <w:b/>
                <w:bCs/>
                <w:sz w:val="24"/>
                <w:rtl/>
              </w:rPr>
              <w:t>عوامل التقييم الشامل</w:t>
            </w:r>
          </w:p>
        </w:tc>
        <w:tc>
          <w:tcPr>
            <w:tcW w:w="4214" w:type="pct"/>
            <w:gridSpan w:val="2"/>
            <w:shd w:val="clear" w:color="auto" w:fill="auto"/>
          </w:tcPr>
          <w:p w14:paraId="3222DAC7" w14:textId="0BE92DBC" w:rsidR="005B0FE5" w:rsidRPr="002B664C" w:rsidRDefault="00774FA2" w:rsidP="002A3B1F">
            <w:pPr>
              <w:keepLines/>
              <w:bidi/>
              <w:spacing w:before="120"/>
              <w:jc w:val="both"/>
              <w:rPr>
                <w:rFonts w:asciiTheme="majorBidi" w:hAnsiTheme="majorBidi" w:cstheme="majorBidi"/>
                <w:b/>
                <w:sz w:val="24"/>
                <w:lang w:bidi="ar-EG"/>
              </w:rPr>
            </w:pPr>
            <w:r w:rsidRPr="002B664C">
              <w:rPr>
                <w:rFonts w:asciiTheme="majorBidi" w:hAnsiTheme="majorBidi" w:cstheme="majorBidi"/>
                <w:sz w:val="24"/>
                <w:rtl/>
              </w:rPr>
              <w:t xml:space="preserve">يتم تقييم هذا المؤشر على أساس ثلاثة عوامل على الصعيد القطري ترصدها كل دولة طرف </w:t>
            </w:r>
            <w:r w:rsidR="00B21492" w:rsidRPr="002B664C">
              <w:rPr>
                <w:rFonts w:asciiTheme="majorBidi" w:hAnsiTheme="majorBidi" w:cstheme="majorBidi"/>
                <w:sz w:val="24"/>
                <w:rtl/>
                <w:lang w:bidi="ar-EG"/>
              </w:rPr>
              <w:t>و</w:t>
            </w:r>
            <w:r w:rsidR="000A3359" w:rsidRPr="002B664C">
              <w:rPr>
                <w:rFonts w:asciiTheme="majorBidi" w:hAnsiTheme="majorBidi" w:cstheme="majorBidi"/>
                <w:sz w:val="24"/>
                <w:rtl/>
                <w:lang w:bidi="ar-EG"/>
              </w:rPr>
              <w:t>ت</w:t>
            </w:r>
            <w:r w:rsidR="00146BE9">
              <w:rPr>
                <w:rFonts w:asciiTheme="majorBidi" w:hAnsiTheme="majorBidi" w:cstheme="majorBidi" w:hint="cs"/>
                <w:sz w:val="24"/>
                <w:rtl/>
                <w:lang w:bidi="ar-EG"/>
              </w:rPr>
              <w:t>عد التقرير</w:t>
            </w:r>
            <w:r w:rsidR="000A3359" w:rsidRPr="002B664C">
              <w:rPr>
                <w:rFonts w:asciiTheme="majorBidi" w:hAnsiTheme="majorBidi" w:cstheme="majorBidi"/>
                <w:sz w:val="24"/>
                <w:rtl/>
                <w:lang w:bidi="ar-EG"/>
              </w:rPr>
              <w:t xml:space="preserve"> عنها</w:t>
            </w:r>
            <w:r w:rsidRPr="002B664C">
              <w:rPr>
                <w:rFonts w:asciiTheme="majorBidi" w:hAnsiTheme="majorBidi" w:cstheme="majorBidi"/>
                <w:sz w:val="24"/>
                <w:rtl/>
              </w:rPr>
              <w:t>:</w:t>
            </w:r>
          </w:p>
        </w:tc>
      </w:tr>
      <w:tr w:rsidR="009B0DEA" w:rsidRPr="00602CC7" w14:paraId="6885E766" w14:textId="77777777" w:rsidTr="0002664A">
        <w:trPr>
          <w:cantSplit/>
        </w:trPr>
        <w:tc>
          <w:tcPr>
            <w:tcW w:w="786" w:type="pct"/>
            <w:vMerge/>
            <w:shd w:val="clear" w:color="auto" w:fill="auto"/>
          </w:tcPr>
          <w:p w14:paraId="0A6CF26D" w14:textId="77777777" w:rsidR="009B0DEA" w:rsidRPr="002B664C" w:rsidRDefault="009B0DEA" w:rsidP="002A3B1F">
            <w:pPr>
              <w:bidi/>
              <w:spacing w:before="120"/>
              <w:jc w:val="both"/>
              <w:rPr>
                <w:rFonts w:asciiTheme="majorBidi" w:hAnsiTheme="majorBidi" w:cstheme="majorBidi"/>
                <w:b/>
                <w:sz w:val="24"/>
              </w:rPr>
            </w:pPr>
          </w:p>
        </w:tc>
        <w:tc>
          <w:tcPr>
            <w:tcW w:w="3418" w:type="pct"/>
            <w:shd w:val="clear" w:color="auto" w:fill="auto"/>
            <w:vAlign w:val="center"/>
          </w:tcPr>
          <w:p w14:paraId="3BC5144D" w14:textId="3A92F77A" w:rsidR="009B0DEA" w:rsidRPr="002B664C" w:rsidRDefault="00C97763" w:rsidP="002A3B1F">
            <w:pPr>
              <w:keepLines/>
              <w:bidi/>
              <w:spacing w:before="120"/>
              <w:jc w:val="both"/>
              <w:rPr>
                <w:rFonts w:asciiTheme="majorBidi" w:hAnsiTheme="majorBidi" w:cstheme="majorBidi"/>
                <w:sz w:val="24"/>
              </w:rPr>
            </w:pPr>
            <w:r w:rsidRPr="002B664C">
              <w:rPr>
                <w:rFonts w:asciiTheme="majorBidi" w:hAnsiTheme="majorBidi" w:cstheme="majorBidi"/>
                <w:sz w:val="24"/>
                <w:rtl/>
              </w:rPr>
              <w:t>14-1 توفير أشكال الحماية القانونية، مثل حقوق الملكية الفكرية وحقوق الخصوصية، لممارسي التراث الثقافي غير المادي وحملته وجماعاتهم عندما يستغلّ آخرون تراثهم الثقافي غير المادي لأغراض تجارية أو لأغراض أخرى.</w:t>
            </w:r>
          </w:p>
        </w:tc>
        <w:tc>
          <w:tcPr>
            <w:tcW w:w="796" w:type="pct"/>
            <w:shd w:val="clear" w:color="auto" w:fill="auto"/>
            <w:vAlign w:val="center"/>
          </w:tcPr>
          <w:p w14:paraId="12A895C2" w14:textId="28ACBC9B" w:rsidR="009B0DEA" w:rsidRPr="002B664C" w:rsidRDefault="00B21492" w:rsidP="002A3B1F">
            <w:pPr>
              <w:keepLines/>
              <w:bidi/>
              <w:spacing w:before="120"/>
              <w:jc w:val="both"/>
              <w:rPr>
                <w:rFonts w:asciiTheme="majorBidi" w:hAnsiTheme="majorBidi" w:cstheme="majorBidi"/>
                <w:sz w:val="24"/>
              </w:rPr>
            </w:pPr>
            <w:r w:rsidRPr="002B664C">
              <w:rPr>
                <w:rFonts w:asciiTheme="majorBidi" w:hAnsiTheme="majorBidi" w:cstheme="majorBidi"/>
                <w:sz w:val="24"/>
                <w:rtl/>
              </w:rPr>
              <w:t>التوجيه</w:t>
            </w:r>
            <w:r w:rsidR="00D93F46" w:rsidRPr="002B664C">
              <w:rPr>
                <w:rFonts w:asciiTheme="majorBidi" w:hAnsiTheme="majorBidi" w:cstheme="majorBidi"/>
                <w:sz w:val="24"/>
                <w:rtl/>
              </w:rPr>
              <w:t xml:space="preserve"> </w:t>
            </w:r>
            <w:r w:rsidR="000A3359" w:rsidRPr="002B664C">
              <w:rPr>
                <w:rFonts w:asciiTheme="majorBidi" w:hAnsiTheme="majorBidi" w:cstheme="majorBidi"/>
                <w:sz w:val="24"/>
                <w:rtl/>
              </w:rPr>
              <w:t>التنفيذي</w:t>
            </w:r>
            <w:r w:rsidR="002B664C">
              <w:rPr>
                <w:rFonts w:asciiTheme="majorBidi" w:hAnsiTheme="majorBidi" w:cstheme="majorBidi" w:hint="cs"/>
                <w:sz w:val="24"/>
                <w:rtl/>
              </w:rPr>
              <w:t xml:space="preserve"> </w:t>
            </w:r>
            <w:r w:rsidRPr="002B664C">
              <w:rPr>
                <w:rFonts w:asciiTheme="majorBidi" w:hAnsiTheme="majorBidi" w:cstheme="majorBidi"/>
                <w:sz w:val="24"/>
                <w:rtl/>
              </w:rPr>
              <w:t>104</w:t>
            </w:r>
            <w:r w:rsidR="00D93F46" w:rsidRPr="002B664C">
              <w:rPr>
                <w:rFonts w:asciiTheme="majorBidi" w:hAnsiTheme="majorBidi" w:cstheme="majorBidi"/>
                <w:sz w:val="24"/>
                <w:rtl/>
              </w:rPr>
              <w:t>، و</w:t>
            </w:r>
            <w:r w:rsidR="003938AB" w:rsidRPr="002B664C">
              <w:rPr>
                <w:rFonts w:asciiTheme="majorBidi" w:hAnsiTheme="majorBidi" w:cstheme="majorBidi"/>
                <w:sz w:val="24"/>
                <w:rtl/>
              </w:rPr>
              <w:t>التوجيه</w:t>
            </w:r>
            <w:r w:rsidR="00D93F46" w:rsidRPr="002B664C">
              <w:rPr>
                <w:rFonts w:asciiTheme="majorBidi" w:hAnsiTheme="majorBidi" w:cstheme="majorBidi"/>
                <w:sz w:val="24"/>
                <w:rtl/>
              </w:rPr>
              <w:t xml:space="preserve"> </w:t>
            </w:r>
            <w:r w:rsidR="000A3359" w:rsidRPr="002B664C">
              <w:rPr>
                <w:rFonts w:asciiTheme="majorBidi" w:hAnsiTheme="majorBidi" w:cstheme="majorBidi"/>
                <w:sz w:val="24"/>
                <w:rtl/>
              </w:rPr>
              <w:t>التنفيذي</w:t>
            </w:r>
            <w:r w:rsidR="002B664C">
              <w:rPr>
                <w:rFonts w:asciiTheme="majorBidi" w:hAnsiTheme="majorBidi" w:cstheme="majorBidi" w:hint="cs"/>
                <w:sz w:val="24"/>
                <w:rtl/>
              </w:rPr>
              <w:t xml:space="preserve"> </w:t>
            </w:r>
            <w:r w:rsidR="003938AB" w:rsidRPr="002B664C">
              <w:rPr>
                <w:rFonts w:asciiTheme="majorBidi" w:hAnsiTheme="majorBidi" w:cstheme="majorBidi"/>
                <w:sz w:val="24"/>
                <w:rtl/>
              </w:rPr>
              <w:t>173</w:t>
            </w:r>
          </w:p>
        </w:tc>
      </w:tr>
      <w:tr w:rsidR="009B0DEA" w:rsidRPr="00602CC7" w14:paraId="35D9F410" w14:textId="77777777" w:rsidTr="0002664A">
        <w:trPr>
          <w:cantSplit/>
        </w:trPr>
        <w:tc>
          <w:tcPr>
            <w:tcW w:w="786" w:type="pct"/>
            <w:vMerge/>
            <w:shd w:val="clear" w:color="auto" w:fill="auto"/>
          </w:tcPr>
          <w:p w14:paraId="740B2F89" w14:textId="77777777" w:rsidR="009B0DEA" w:rsidRPr="002B664C" w:rsidRDefault="009B0DEA" w:rsidP="002A3B1F">
            <w:pPr>
              <w:bidi/>
              <w:spacing w:before="120"/>
              <w:jc w:val="both"/>
              <w:rPr>
                <w:rFonts w:asciiTheme="majorBidi" w:hAnsiTheme="majorBidi" w:cstheme="majorBidi"/>
                <w:b/>
                <w:sz w:val="24"/>
              </w:rPr>
            </w:pPr>
          </w:p>
        </w:tc>
        <w:tc>
          <w:tcPr>
            <w:tcW w:w="3418" w:type="pct"/>
            <w:shd w:val="clear" w:color="auto" w:fill="auto"/>
            <w:vAlign w:val="center"/>
          </w:tcPr>
          <w:p w14:paraId="6C2B81CB" w14:textId="694330B7" w:rsidR="009B0DEA" w:rsidRPr="002B664C" w:rsidRDefault="00C97763" w:rsidP="002A3B1F">
            <w:pPr>
              <w:keepLines/>
              <w:bidi/>
              <w:spacing w:before="120"/>
              <w:jc w:val="both"/>
              <w:rPr>
                <w:rFonts w:asciiTheme="majorBidi" w:hAnsiTheme="majorBidi" w:cstheme="majorBidi"/>
                <w:sz w:val="24"/>
              </w:rPr>
            </w:pPr>
            <w:r w:rsidRPr="002B664C">
              <w:rPr>
                <w:rFonts w:asciiTheme="majorBidi" w:hAnsiTheme="majorBidi" w:cstheme="majorBidi"/>
                <w:sz w:val="24"/>
                <w:rtl/>
              </w:rPr>
              <w:t>14-2 الاعتراف بأهميّة الحقوق العرفية للجماعات والمجموعات في النظم الإيكولوجية البرية والبحرية والغابية اللازمة لممارسة التراث الثقافي غير المادي ونقله في السياسات و/أو التدابير القانونية والإدارية.</w:t>
            </w:r>
          </w:p>
        </w:tc>
        <w:tc>
          <w:tcPr>
            <w:tcW w:w="796" w:type="pct"/>
            <w:shd w:val="clear" w:color="auto" w:fill="auto"/>
            <w:vAlign w:val="center"/>
          </w:tcPr>
          <w:p w14:paraId="5C1F3FA8" w14:textId="5916D6E0" w:rsidR="009B0DEA" w:rsidRPr="002B664C" w:rsidRDefault="003938AB" w:rsidP="002A3B1F">
            <w:pPr>
              <w:bidi/>
              <w:spacing w:before="60" w:after="60"/>
              <w:jc w:val="both"/>
              <w:rPr>
                <w:rFonts w:asciiTheme="majorBidi" w:hAnsiTheme="majorBidi" w:cstheme="majorBidi"/>
                <w:sz w:val="24"/>
              </w:rPr>
            </w:pPr>
            <w:r w:rsidRPr="002B664C">
              <w:rPr>
                <w:rFonts w:asciiTheme="majorBidi" w:hAnsiTheme="majorBidi" w:cstheme="majorBidi"/>
                <w:sz w:val="24"/>
                <w:rtl/>
              </w:rPr>
              <w:t xml:space="preserve">التوجيه </w:t>
            </w:r>
            <w:r w:rsidR="000A3359" w:rsidRPr="002B664C">
              <w:rPr>
                <w:rFonts w:asciiTheme="majorBidi" w:hAnsiTheme="majorBidi" w:cstheme="majorBidi"/>
                <w:sz w:val="24"/>
                <w:rtl/>
              </w:rPr>
              <w:t>التنفيذي</w:t>
            </w:r>
            <w:r w:rsidR="00D93F46" w:rsidRPr="002B664C">
              <w:rPr>
                <w:rFonts w:asciiTheme="majorBidi" w:hAnsiTheme="majorBidi" w:cstheme="majorBidi"/>
                <w:sz w:val="24"/>
                <w:rtl/>
              </w:rPr>
              <w:t xml:space="preserve"> </w:t>
            </w:r>
            <w:r w:rsidRPr="002B664C">
              <w:rPr>
                <w:rFonts w:asciiTheme="majorBidi" w:hAnsiTheme="majorBidi" w:cstheme="majorBidi"/>
                <w:sz w:val="24"/>
                <w:rtl/>
              </w:rPr>
              <w:t>178 (ج)</w:t>
            </w:r>
          </w:p>
        </w:tc>
      </w:tr>
      <w:tr w:rsidR="009B0DEA" w:rsidRPr="00602CC7" w14:paraId="5D2760F0" w14:textId="77777777" w:rsidTr="0002664A">
        <w:trPr>
          <w:cantSplit/>
        </w:trPr>
        <w:tc>
          <w:tcPr>
            <w:tcW w:w="786" w:type="pct"/>
            <w:vMerge/>
            <w:shd w:val="clear" w:color="auto" w:fill="auto"/>
          </w:tcPr>
          <w:p w14:paraId="0574D019" w14:textId="77777777" w:rsidR="009B0DEA" w:rsidRPr="002B664C" w:rsidRDefault="009B0DEA" w:rsidP="002A3B1F">
            <w:pPr>
              <w:bidi/>
              <w:spacing w:before="120"/>
              <w:jc w:val="both"/>
              <w:rPr>
                <w:rFonts w:asciiTheme="majorBidi" w:hAnsiTheme="majorBidi" w:cstheme="majorBidi"/>
                <w:b/>
                <w:sz w:val="24"/>
              </w:rPr>
            </w:pPr>
          </w:p>
        </w:tc>
        <w:tc>
          <w:tcPr>
            <w:tcW w:w="3418" w:type="pct"/>
            <w:shd w:val="clear" w:color="auto" w:fill="auto"/>
            <w:vAlign w:val="center"/>
          </w:tcPr>
          <w:p w14:paraId="6D601117" w14:textId="589B114B" w:rsidR="009B0DEA" w:rsidRPr="002B664C" w:rsidRDefault="00C97763" w:rsidP="002A3B1F">
            <w:pPr>
              <w:keepLines/>
              <w:bidi/>
              <w:spacing w:before="120"/>
              <w:jc w:val="both"/>
              <w:rPr>
                <w:rFonts w:asciiTheme="majorBidi" w:hAnsiTheme="majorBidi" w:cstheme="majorBidi"/>
                <w:sz w:val="24"/>
              </w:rPr>
            </w:pPr>
            <w:r w:rsidRPr="002B664C">
              <w:rPr>
                <w:rFonts w:asciiTheme="majorBidi" w:hAnsiTheme="majorBidi" w:cstheme="majorBidi"/>
                <w:sz w:val="24"/>
                <w:rtl/>
              </w:rPr>
              <w:t>14-3 اعتراف السياسات و/أو التدابير القانونية والإدارية بأشكال التعبير عن التراث الثقافي غير المادي وممارساته وتمثيلاته التي تُسهم في تجنّب المنازعات وتسويتها بالطرق السلمية.</w:t>
            </w:r>
          </w:p>
        </w:tc>
        <w:tc>
          <w:tcPr>
            <w:tcW w:w="796" w:type="pct"/>
            <w:shd w:val="clear" w:color="auto" w:fill="auto"/>
            <w:vAlign w:val="center"/>
          </w:tcPr>
          <w:p w14:paraId="197CA089" w14:textId="5F030A9C" w:rsidR="009B0DEA" w:rsidRPr="002B664C" w:rsidRDefault="00B21492" w:rsidP="002A3B1F">
            <w:pPr>
              <w:keepLines/>
              <w:bidi/>
              <w:spacing w:before="120"/>
              <w:jc w:val="both"/>
              <w:rPr>
                <w:rFonts w:asciiTheme="majorBidi" w:hAnsiTheme="majorBidi" w:cstheme="majorBidi"/>
                <w:sz w:val="24"/>
              </w:rPr>
            </w:pPr>
            <w:r w:rsidRPr="002B664C">
              <w:rPr>
                <w:rFonts w:asciiTheme="majorBidi" w:hAnsiTheme="majorBidi" w:cstheme="majorBidi"/>
                <w:sz w:val="24"/>
                <w:rtl/>
              </w:rPr>
              <w:t>التوجيه</w:t>
            </w:r>
            <w:r w:rsidR="00E675BA" w:rsidRPr="002B664C">
              <w:rPr>
                <w:rFonts w:asciiTheme="majorBidi" w:hAnsiTheme="majorBidi" w:cstheme="majorBidi"/>
                <w:sz w:val="24"/>
                <w:rtl/>
              </w:rPr>
              <w:t xml:space="preserve"> </w:t>
            </w:r>
            <w:r w:rsidR="000A3359" w:rsidRPr="002B664C">
              <w:rPr>
                <w:rFonts w:asciiTheme="majorBidi" w:hAnsiTheme="majorBidi" w:cstheme="majorBidi"/>
                <w:sz w:val="24"/>
                <w:rtl/>
              </w:rPr>
              <w:t>التنفيذي</w:t>
            </w:r>
            <w:r w:rsidR="002B664C">
              <w:rPr>
                <w:rFonts w:asciiTheme="majorBidi" w:hAnsiTheme="majorBidi" w:cstheme="majorBidi" w:hint="cs"/>
                <w:sz w:val="24"/>
                <w:rtl/>
              </w:rPr>
              <w:t xml:space="preserve"> </w:t>
            </w:r>
            <w:r w:rsidRPr="002B664C">
              <w:rPr>
                <w:rFonts w:asciiTheme="majorBidi" w:hAnsiTheme="majorBidi" w:cstheme="majorBidi"/>
                <w:sz w:val="24"/>
                <w:rtl/>
              </w:rPr>
              <w:t>194</w:t>
            </w:r>
            <w:r w:rsidR="00E675BA" w:rsidRPr="002B664C">
              <w:rPr>
                <w:rFonts w:asciiTheme="majorBidi" w:hAnsiTheme="majorBidi" w:cstheme="majorBidi"/>
                <w:sz w:val="24"/>
                <w:rtl/>
              </w:rPr>
              <w:t>، و</w:t>
            </w:r>
            <w:r w:rsidR="00ED415B" w:rsidRPr="002B664C">
              <w:rPr>
                <w:rFonts w:asciiTheme="majorBidi" w:hAnsiTheme="majorBidi" w:cstheme="majorBidi"/>
                <w:sz w:val="24"/>
                <w:rtl/>
              </w:rPr>
              <w:t>التوجيه</w:t>
            </w:r>
            <w:r w:rsidR="00E675BA" w:rsidRPr="002B664C">
              <w:rPr>
                <w:rFonts w:asciiTheme="majorBidi" w:hAnsiTheme="majorBidi" w:cstheme="majorBidi"/>
                <w:sz w:val="24"/>
                <w:rtl/>
              </w:rPr>
              <w:t xml:space="preserve"> </w:t>
            </w:r>
            <w:r w:rsidR="000A3359" w:rsidRPr="002B664C">
              <w:rPr>
                <w:rFonts w:asciiTheme="majorBidi" w:hAnsiTheme="majorBidi" w:cstheme="majorBidi"/>
                <w:sz w:val="24"/>
                <w:rtl/>
              </w:rPr>
              <w:t>التنفيذي</w:t>
            </w:r>
            <w:r w:rsidR="002B664C">
              <w:rPr>
                <w:rFonts w:asciiTheme="majorBidi" w:hAnsiTheme="majorBidi" w:cstheme="majorBidi" w:hint="cs"/>
                <w:sz w:val="24"/>
                <w:rtl/>
                <w:lang w:bidi="ar-EG"/>
              </w:rPr>
              <w:t xml:space="preserve"> </w:t>
            </w:r>
            <w:r w:rsidR="00ED415B" w:rsidRPr="002B664C">
              <w:rPr>
                <w:rFonts w:asciiTheme="majorBidi" w:hAnsiTheme="majorBidi" w:cstheme="majorBidi"/>
                <w:sz w:val="24"/>
                <w:rtl/>
              </w:rPr>
              <w:t>195</w:t>
            </w:r>
          </w:p>
        </w:tc>
      </w:tr>
      <w:tr w:rsidR="005473CF" w:rsidRPr="00602CC7" w14:paraId="6A4C162C" w14:textId="77777777" w:rsidTr="0002664A">
        <w:trPr>
          <w:cantSplit/>
        </w:trPr>
        <w:tc>
          <w:tcPr>
            <w:tcW w:w="786" w:type="pct"/>
            <w:shd w:val="clear" w:color="auto" w:fill="auto"/>
          </w:tcPr>
          <w:p w14:paraId="4ABEC7BB" w14:textId="483762DA" w:rsidR="005473CF" w:rsidRPr="002B664C" w:rsidRDefault="000C5A25" w:rsidP="002A3B1F">
            <w:pPr>
              <w:bidi/>
              <w:spacing w:before="120"/>
              <w:jc w:val="both"/>
              <w:rPr>
                <w:rFonts w:asciiTheme="majorBidi" w:hAnsiTheme="majorBidi" w:cstheme="majorBidi"/>
                <w:b/>
                <w:sz w:val="24"/>
              </w:rPr>
            </w:pPr>
            <w:r w:rsidRPr="002B664C">
              <w:rPr>
                <w:rFonts w:asciiTheme="majorBidi" w:hAnsiTheme="majorBidi" w:cstheme="majorBidi"/>
                <w:b/>
                <w:bCs/>
                <w:sz w:val="24"/>
                <w:rtl/>
              </w:rPr>
              <w:t>العلاقة مع أهداف التنمية المستدامة والمؤشرات الأخرى</w:t>
            </w:r>
          </w:p>
        </w:tc>
        <w:tc>
          <w:tcPr>
            <w:tcW w:w="4214" w:type="pct"/>
            <w:gridSpan w:val="2"/>
            <w:shd w:val="clear" w:color="auto" w:fill="auto"/>
          </w:tcPr>
          <w:p w14:paraId="0F390769" w14:textId="4C61D7FE" w:rsidR="00A7441B" w:rsidRPr="002B664C" w:rsidRDefault="00A7441B" w:rsidP="002A3B1F">
            <w:pPr>
              <w:keepLines/>
              <w:bidi/>
              <w:spacing w:before="120"/>
              <w:jc w:val="both"/>
              <w:rPr>
                <w:rFonts w:asciiTheme="majorBidi" w:hAnsiTheme="majorBidi" w:cstheme="majorBidi"/>
                <w:sz w:val="24"/>
                <w:rtl/>
              </w:rPr>
            </w:pPr>
            <w:r w:rsidRPr="002B664C">
              <w:rPr>
                <w:rFonts w:asciiTheme="majorBidi" w:hAnsiTheme="majorBidi" w:cstheme="majorBidi"/>
                <w:b/>
                <w:bCs/>
                <w:sz w:val="24"/>
                <w:rtl/>
              </w:rPr>
              <w:t xml:space="preserve">أهداف التنمية المستدامة: </w:t>
            </w:r>
            <w:r w:rsidRPr="002B664C">
              <w:rPr>
                <w:rFonts w:asciiTheme="majorBidi" w:hAnsiTheme="majorBidi" w:cstheme="majorBidi"/>
                <w:sz w:val="24"/>
                <w:rtl/>
              </w:rPr>
              <w:t>يتوافق هذا المؤشر مع العديد من أهداف التنمية المستدامة وغاياتها. وفي إطار اهتمامه بحماية المعارف التقليدية، يكمل عامل التقييم</w:t>
            </w:r>
            <w:r w:rsidR="00B21492" w:rsidRPr="002B664C">
              <w:rPr>
                <w:rFonts w:asciiTheme="majorBidi" w:hAnsiTheme="majorBidi" w:cstheme="majorBidi"/>
                <w:sz w:val="24"/>
                <w:rtl/>
              </w:rPr>
              <w:t xml:space="preserve"> الشامل</w:t>
            </w:r>
            <w:r w:rsidRPr="002B664C">
              <w:rPr>
                <w:rFonts w:asciiTheme="majorBidi" w:hAnsiTheme="majorBidi" w:cstheme="majorBidi"/>
                <w:sz w:val="24"/>
                <w:rtl/>
              </w:rPr>
              <w:t xml:space="preserve"> 14-1 الغاية 2-5 من أهداف التنمية المستدامة </w:t>
            </w:r>
            <w:r w:rsidR="00951FC2" w:rsidRPr="002B664C">
              <w:rPr>
                <w:rFonts w:asciiTheme="majorBidi" w:hAnsiTheme="majorBidi" w:cstheme="majorBidi" w:hint="cs"/>
                <w:sz w:val="24"/>
                <w:rtl/>
              </w:rPr>
              <w:t>تنادي بـ</w:t>
            </w:r>
            <w:r w:rsidRPr="002B664C">
              <w:rPr>
                <w:rFonts w:asciiTheme="majorBidi" w:hAnsiTheme="majorBidi" w:cstheme="majorBidi"/>
                <w:sz w:val="24"/>
                <w:rtl/>
              </w:rPr>
              <w:t xml:space="preserve"> "ضمان الوصول </w:t>
            </w:r>
            <w:r w:rsidR="00205048" w:rsidRPr="002B664C">
              <w:rPr>
                <w:rFonts w:asciiTheme="majorBidi" w:hAnsiTheme="majorBidi" w:cstheme="majorBidi"/>
                <w:sz w:val="24"/>
                <w:rtl/>
              </w:rPr>
              <w:t>إلى</w:t>
            </w:r>
            <w:r w:rsidRPr="002B664C">
              <w:rPr>
                <w:rFonts w:asciiTheme="majorBidi" w:hAnsiTheme="majorBidi" w:cstheme="majorBidi"/>
                <w:sz w:val="24"/>
                <w:rtl/>
              </w:rPr>
              <w:t xml:space="preserve"> وتقاسم المنافع الناشئة عن استخدام الموارد الجينية وما يتّصل بها من معارف تقليدية بعدل وإنصاف" وكذلك الغاية 15-6 من أهداف التنمية المستدامة التي تردد الشيء نفسه. تم التذرع بالحقوق العرفية للمرأة على وجه الخصوص في الغاية </w:t>
            </w:r>
            <w:r w:rsidR="005477A0" w:rsidRPr="002B664C">
              <w:rPr>
                <w:rFonts w:asciiTheme="majorBidi" w:hAnsiTheme="majorBidi" w:cstheme="majorBidi" w:hint="cs"/>
                <w:sz w:val="24"/>
                <w:rtl/>
              </w:rPr>
              <w:t>5-أ</w:t>
            </w:r>
            <w:r w:rsidRPr="002B664C">
              <w:rPr>
                <w:rFonts w:asciiTheme="majorBidi" w:hAnsiTheme="majorBidi" w:cstheme="majorBidi"/>
                <w:sz w:val="24"/>
                <w:rtl/>
              </w:rPr>
              <w:t xml:space="preserve"> من أهداف التنمية المستدامة التي تشير إلى "إمكانية حصولها على حق الملكية والتصرّف في الأراضي... والموارد الطبيعية". يُكمل عامل التقييم</w:t>
            </w:r>
            <w:r w:rsidR="00B21492" w:rsidRPr="002B664C">
              <w:rPr>
                <w:rFonts w:asciiTheme="majorBidi" w:hAnsiTheme="majorBidi" w:cstheme="majorBidi"/>
                <w:sz w:val="24"/>
                <w:rtl/>
              </w:rPr>
              <w:t xml:space="preserve"> الشامل</w:t>
            </w:r>
            <w:r w:rsidRPr="002B664C">
              <w:rPr>
                <w:rFonts w:asciiTheme="majorBidi" w:hAnsiTheme="majorBidi" w:cstheme="majorBidi"/>
                <w:sz w:val="24"/>
                <w:rtl/>
              </w:rPr>
              <w:t xml:space="preserve"> 14-3 الغاية 16-أ من أهداف التنمية المستدامة في الاهتمام بـ "بناء القدرات على جميع المستويات... لمنع العنف". </w:t>
            </w:r>
            <w:r w:rsidR="00672C92" w:rsidRPr="002B664C">
              <w:rPr>
                <w:rFonts w:asciiTheme="majorBidi" w:hAnsiTheme="majorBidi" w:cstheme="majorBidi" w:hint="cs"/>
                <w:sz w:val="24"/>
                <w:rtl/>
              </w:rPr>
              <w:t xml:space="preserve">وبوجه </w:t>
            </w:r>
            <w:r w:rsidRPr="002B664C">
              <w:rPr>
                <w:rFonts w:asciiTheme="majorBidi" w:hAnsiTheme="majorBidi" w:cstheme="majorBidi"/>
                <w:sz w:val="24"/>
                <w:rtl/>
              </w:rPr>
              <w:t>عام، يتناول المؤشر 14 الغاية 17-14 من أهداف التنمية المستدامة ("تعزيز اتساق السياسات من أجل تحقيق التنمية المستدامة") والغاية 17-15 من أهداف التنمية المستدامة ("احترام الحيز السياساتي والقيادة الخاصين بكل بلد لوضع وتنفيذ سياسات للقضاء على الفقر وتحقيق التنمية المستدامة"). كما يتناول المؤشر الحالي الغاية 11-4 من أهداف التنمية المستدامة التي تسعى إلى "تعزيز الجهود الرامية إلى حماية وصون التراث الثقافي والطبيعي العالمي".</w:t>
            </w:r>
          </w:p>
          <w:p w14:paraId="0AD00B3F" w14:textId="57FFD927" w:rsidR="005473CF" w:rsidRPr="002B664C" w:rsidRDefault="000D04E2" w:rsidP="002A3B1F">
            <w:pPr>
              <w:keepLines/>
              <w:bidi/>
              <w:spacing w:before="120"/>
              <w:jc w:val="both"/>
              <w:rPr>
                <w:rFonts w:asciiTheme="majorBidi" w:hAnsiTheme="majorBidi" w:cstheme="majorBidi"/>
                <w:bCs/>
                <w:sz w:val="24"/>
              </w:rPr>
            </w:pPr>
            <w:r w:rsidRPr="002B664C">
              <w:rPr>
                <w:rFonts w:asciiTheme="majorBidi" w:hAnsiTheme="majorBidi" w:cstheme="majorBidi"/>
                <w:bCs/>
                <w:sz w:val="24"/>
                <w:rtl/>
              </w:rPr>
              <w:t>العلاقة بالمؤشرات الأخرى:</w:t>
            </w:r>
            <w:r w:rsidRPr="002B664C">
              <w:rPr>
                <w:rFonts w:asciiTheme="majorBidi" w:hAnsiTheme="majorBidi" w:cstheme="majorBidi"/>
                <w:b/>
                <w:sz w:val="24"/>
                <w:rtl/>
              </w:rPr>
              <w:t xml:space="preserve"> يكمل المؤشر الحالي المؤشرات الأخرى المعنية بالسياسات التي تركز تباعًا على قطاع الثقافة (المؤشر 11)، وقطاع التعليم (المؤشر 12)، وقطاعات التنمية المستدامة الأخرى (المؤشر 13). ينصب التركيز هنا على سياق السياسة وليس على محتواها بينما يلتفت المؤشران 15 و16 إلى البرامج والخطط التي تٌترجم من خلالها تلك السياسات إلى أفعال، لا سيما في مجال التنمية المستدامة. ويتعلق المؤشر 17 بحماية حقوق الجماعات والمجموعات والأفراد في إطار الجهود المبذولة </w:t>
            </w:r>
            <w:r w:rsidR="00B21492" w:rsidRPr="002B664C">
              <w:rPr>
                <w:rFonts w:asciiTheme="majorBidi" w:hAnsiTheme="majorBidi" w:cstheme="majorBidi"/>
                <w:b/>
                <w:sz w:val="24"/>
                <w:rtl/>
              </w:rPr>
              <w:t>للتوعية ب</w:t>
            </w:r>
            <w:r w:rsidRPr="002B664C">
              <w:rPr>
                <w:rFonts w:asciiTheme="majorBidi" w:hAnsiTheme="majorBidi" w:cstheme="majorBidi"/>
                <w:b/>
                <w:sz w:val="24"/>
                <w:rtl/>
              </w:rPr>
              <w:t>تراثهم الثقافي غير المادي.</w:t>
            </w:r>
          </w:p>
        </w:tc>
      </w:tr>
      <w:tr w:rsidR="00896177" w:rsidRPr="00602CC7" w14:paraId="227A70BB" w14:textId="77777777" w:rsidTr="0002664A">
        <w:trPr>
          <w:cantSplit/>
        </w:trPr>
        <w:tc>
          <w:tcPr>
            <w:tcW w:w="786" w:type="pct"/>
            <w:shd w:val="clear" w:color="auto" w:fill="auto"/>
          </w:tcPr>
          <w:p w14:paraId="03FB8F39" w14:textId="3FE6B7FD" w:rsidR="00896177" w:rsidRPr="002B664C" w:rsidRDefault="000C5A25" w:rsidP="002A3B1F">
            <w:pPr>
              <w:bidi/>
              <w:spacing w:before="120"/>
              <w:jc w:val="both"/>
              <w:rPr>
                <w:rFonts w:asciiTheme="majorBidi" w:hAnsiTheme="majorBidi" w:cstheme="majorBidi"/>
                <w:b/>
                <w:sz w:val="24"/>
              </w:rPr>
            </w:pPr>
            <w:r w:rsidRPr="002B664C">
              <w:rPr>
                <w:rFonts w:asciiTheme="majorBidi" w:hAnsiTheme="majorBidi" w:cstheme="majorBidi"/>
                <w:b/>
                <w:bCs/>
                <w:sz w:val="24"/>
                <w:rtl/>
              </w:rPr>
              <w:t xml:space="preserve">الأسس المنطقية </w:t>
            </w:r>
            <w:r w:rsidR="00E9431D" w:rsidRPr="002B664C">
              <w:rPr>
                <w:rFonts w:asciiTheme="majorBidi" w:hAnsiTheme="majorBidi" w:cstheme="majorBidi" w:hint="cs"/>
                <w:b/>
                <w:bCs/>
                <w:sz w:val="24"/>
                <w:rtl/>
              </w:rPr>
              <w:t>للإجراءات</w:t>
            </w:r>
          </w:p>
        </w:tc>
        <w:tc>
          <w:tcPr>
            <w:tcW w:w="4214" w:type="pct"/>
            <w:gridSpan w:val="2"/>
            <w:shd w:val="clear" w:color="auto" w:fill="auto"/>
          </w:tcPr>
          <w:p w14:paraId="64B22D22" w14:textId="257FF7B5" w:rsidR="00704766" w:rsidRPr="002B664C" w:rsidRDefault="000B6729" w:rsidP="002A3B1F">
            <w:pPr>
              <w:keepLines/>
              <w:bidi/>
              <w:spacing w:before="120"/>
              <w:jc w:val="both"/>
              <w:rPr>
                <w:rFonts w:asciiTheme="majorBidi" w:hAnsiTheme="majorBidi" w:cstheme="majorBidi"/>
                <w:sz w:val="24"/>
              </w:rPr>
            </w:pPr>
            <w:r w:rsidRPr="002B664C">
              <w:rPr>
                <w:rFonts w:asciiTheme="majorBidi" w:hAnsiTheme="majorBidi" w:cstheme="majorBidi"/>
                <w:sz w:val="24"/>
                <w:rtl/>
              </w:rPr>
              <w:t>يتوافق المؤشر الحالي مع المادة 13(أ) من الاتفاقية، والتي تشير إلى أهمية "إدماج الصون [للتراث الثقافي غير المادي] في البرامج التخطيطية". وجدت العديد من بلدان العالم استفادة متزاي</w:t>
            </w:r>
            <w:r w:rsidR="005F4473" w:rsidRPr="002B664C">
              <w:rPr>
                <w:rFonts w:asciiTheme="majorBidi" w:hAnsiTheme="majorBidi" w:cstheme="majorBidi"/>
                <w:sz w:val="24"/>
                <w:rtl/>
              </w:rPr>
              <w:t>د</w:t>
            </w:r>
            <w:r w:rsidRPr="002B664C">
              <w:rPr>
                <w:rFonts w:asciiTheme="majorBidi" w:hAnsiTheme="majorBidi" w:cstheme="majorBidi"/>
                <w:sz w:val="24"/>
                <w:rtl/>
              </w:rPr>
              <w:t xml:space="preserve">ة في إدماج الحقوق والممارسات وأشكال </w:t>
            </w:r>
            <w:r w:rsidR="005F4473" w:rsidRPr="002B664C">
              <w:rPr>
                <w:rFonts w:asciiTheme="majorBidi" w:hAnsiTheme="majorBidi" w:cstheme="majorBidi"/>
                <w:sz w:val="24"/>
                <w:rtl/>
              </w:rPr>
              <w:t>التعبير العرفية</w:t>
            </w:r>
            <w:r w:rsidRPr="002B664C">
              <w:rPr>
                <w:rFonts w:asciiTheme="majorBidi" w:hAnsiTheme="majorBidi" w:cstheme="majorBidi"/>
                <w:sz w:val="24"/>
                <w:rtl/>
              </w:rPr>
              <w:t xml:space="preserve"> في أطرها القانونية والسياساتية الأكبر، </w:t>
            </w:r>
            <w:r w:rsidR="008D1475" w:rsidRPr="002B664C">
              <w:rPr>
                <w:rFonts w:asciiTheme="majorBidi" w:hAnsiTheme="majorBidi" w:cstheme="majorBidi" w:hint="cs"/>
                <w:sz w:val="24"/>
                <w:rtl/>
              </w:rPr>
              <w:t xml:space="preserve">حيث </w:t>
            </w:r>
            <w:r w:rsidRPr="002B664C">
              <w:rPr>
                <w:rFonts w:asciiTheme="majorBidi" w:hAnsiTheme="majorBidi" w:cstheme="majorBidi"/>
                <w:sz w:val="24"/>
                <w:rtl/>
              </w:rPr>
              <w:t xml:space="preserve">وجدت أن هذا الإدماج يساهم في زيادة المساواة والمشاركة المدنية. إن مثل هذه النظم العرفية - التي غالبًا ما تعترف بها الجماعات والمجموعات كجزء من تراثها الثقافي غير المادي - توفر موردًا مهمًا للتنمية المستدامة. وفيما يتعلق بالشعوب الأصلية بالتحديد، يولي إعلان الأمم المتحدة بشأن حقوق الشعوب الأصلية (المادة 31) اهتمامًا خاصًا </w:t>
            </w:r>
            <w:r w:rsidR="0063771A" w:rsidRPr="002B664C">
              <w:rPr>
                <w:rFonts w:asciiTheme="majorBidi" w:hAnsiTheme="majorBidi" w:cstheme="majorBidi" w:hint="cs"/>
                <w:sz w:val="24"/>
                <w:rtl/>
              </w:rPr>
              <w:t>ب</w:t>
            </w:r>
            <w:r w:rsidRPr="002B664C">
              <w:rPr>
                <w:rFonts w:asciiTheme="majorBidi" w:hAnsiTheme="majorBidi" w:cstheme="majorBidi"/>
                <w:sz w:val="24"/>
                <w:rtl/>
              </w:rPr>
              <w:t xml:space="preserve">ـ "الحق في الحفاظ والسيطرة على تراثها الثقافي ومعارفها التقليدية وتعبيراتها الثقافية التقليدية وحمايتها وتطويرها،" والملكية الفكرية الخاصة بها. قامت العديد من البلدان والمنظمات الدولية بإدراج تقاليد </w:t>
            </w:r>
            <w:r w:rsidR="0063771A" w:rsidRPr="002B664C">
              <w:rPr>
                <w:rFonts w:asciiTheme="majorBidi" w:hAnsiTheme="majorBidi" w:cstheme="majorBidi" w:hint="cs"/>
                <w:sz w:val="24"/>
                <w:rtl/>
              </w:rPr>
              <w:t xml:space="preserve">الشعوب </w:t>
            </w:r>
            <w:r w:rsidRPr="002B664C">
              <w:rPr>
                <w:rFonts w:asciiTheme="majorBidi" w:hAnsiTheme="majorBidi" w:cstheme="majorBidi"/>
                <w:sz w:val="24"/>
                <w:rtl/>
              </w:rPr>
              <w:t>الأصلية و</w:t>
            </w:r>
            <w:r w:rsidR="0063771A" w:rsidRPr="002B664C">
              <w:rPr>
                <w:rFonts w:asciiTheme="majorBidi" w:hAnsiTheme="majorBidi" w:cstheme="majorBidi" w:hint="cs"/>
                <w:sz w:val="24"/>
                <w:rtl/>
              </w:rPr>
              <w:t xml:space="preserve">التقاليد </w:t>
            </w:r>
            <w:r w:rsidRPr="002B664C">
              <w:rPr>
                <w:rFonts w:asciiTheme="majorBidi" w:hAnsiTheme="majorBidi" w:cstheme="majorBidi"/>
                <w:sz w:val="24"/>
                <w:rtl/>
              </w:rPr>
              <w:t xml:space="preserve">غير الرسمية في سياساتها وأنظمتها القضائية </w:t>
            </w:r>
            <w:r w:rsidR="009A3FE7" w:rsidRPr="002B664C">
              <w:rPr>
                <w:rFonts w:asciiTheme="majorBidi" w:hAnsiTheme="majorBidi" w:cstheme="majorBidi" w:hint="cs"/>
                <w:sz w:val="24"/>
                <w:rtl/>
              </w:rPr>
              <w:t xml:space="preserve">بهدف </w:t>
            </w:r>
            <w:r w:rsidRPr="002B664C">
              <w:rPr>
                <w:rFonts w:asciiTheme="majorBidi" w:hAnsiTheme="majorBidi" w:cstheme="majorBidi"/>
                <w:sz w:val="24"/>
                <w:rtl/>
              </w:rPr>
              <w:t>إقامة العدل وتسوية النزاعات. وعلاوة على ذلك، تؤكد المادة 8(ي) من اتفاقية الأمم المتحدة بشأن التنوع البيولوجي على أهمية معارف وممارسات وابتكارات الجماعات الأصلية والمحلية لضمان التنوع البيولوجي.</w:t>
            </w:r>
          </w:p>
        </w:tc>
      </w:tr>
      <w:tr w:rsidR="00704766" w:rsidRPr="00602CC7" w14:paraId="680EAC01" w14:textId="77777777" w:rsidTr="0002664A">
        <w:trPr>
          <w:cantSplit/>
        </w:trPr>
        <w:tc>
          <w:tcPr>
            <w:tcW w:w="786" w:type="pct"/>
            <w:shd w:val="clear" w:color="auto" w:fill="auto"/>
          </w:tcPr>
          <w:p w14:paraId="09D1E492" w14:textId="024EA42B" w:rsidR="00704766" w:rsidRPr="002B664C" w:rsidRDefault="00AB3515" w:rsidP="002A3B1F">
            <w:pPr>
              <w:bidi/>
              <w:spacing w:before="120" w:after="60"/>
              <w:jc w:val="both"/>
              <w:rPr>
                <w:rFonts w:asciiTheme="majorBidi" w:hAnsiTheme="majorBidi" w:cstheme="majorBidi"/>
                <w:b/>
                <w:sz w:val="24"/>
              </w:rPr>
            </w:pPr>
            <w:r w:rsidRPr="002B664C">
              <w:rPr>
                <w:rFonts w:asciiTheme="majorBidi" w:hAnsiTheme="majorBidi" w:cstheme="majorBidi"/>
                <w:b/>
                <w:bCs/>
                <w:sz w:val="24"/>
                <w:rtl/>
              </w:rPr>
              <w:lastRenderedPageBreak/>
              <w:t>المصطلحات الرئيسية</w:t>
            </w:r>
          </w:p>
        </w:tc>
        <w:tc>
          <w:tcPr>
            <w:tcW w:w="4214" w:type="pct"/>
            <w:gridSpan w:val="2"/>
            <w:shd w:val="clear" w:color="auto" w:fill="auto"/>
          </w:tcPr>
          <w:p w14:paraId="70D8FF0D" w14:textId="10BE9290" w:rsidR="000B6729" w:rsidRPr="002B664C" w:rsidRDefault="00E9431D" w:rsidP="002A3B1F">
            <w:pPr>
              <w:pStyle w:val="ListParagraph"/>
              <w:numPr>
                <w:ilvl w:val="0"/>
                <w:numId w:val="71"/>
              </w:numPr>
              <w:bidi/>
              <w:spacing w:before="120"/>
              <w:jc w:val="both"/>
              <w:rPr>
                <w:rFonts w:asciiTheme="majorBidi" w:hAnsiTheme="majorBidi" w:cstheme="majorBidi"/>
                <w:sz w:val="24"/>
                <w:szCs w:val="24"/>
                <w:lang w:val="en-GB"/>
              </w:rPr>
            </w:pPr>
            <w:r w:rsidRPr="002B664C">
              <w:rPr>
                <w:rFonts w:asciiTheme="majorBidi" w:hAnsiTheme="majorBidi" w:cstheme="majorBidi" w:hint="cs"/>
                <w:sz w:val="24"/>
                <w:szCs w:val="24"/>
                <w:rtl/>
                <w:lang w:val="en-GB"/>
              </w:rPr>
              <w:t>ال</w:t>
            </w:r>
            <w:r w:rsidR="000B6729" w:rsidRPr="002B664C">
              <w:rPr>
                <w:rFonts w:asciiTheme="majorBidi" w:hAnsiTheme="majorBidi" w:cstheme="majorBidi"/>
                <w:sz w:val="24"/>
                <w:szCs w:val="24"/>
                <w:rtl/>
                <w:lang w:val="en-GB"/>
              </w:rPr>
              <w:t>سياسات</w:t>
            </w:r>
          </w:p>
          <w:p w14:paraId="4FBD90AE" w14:textId="266200E6" w:rsidR="000B6729" w:rsidRPr="002B664C" w:rsidRDefault="00E9431D" w:rsidP="002A3B1F">
            <w:pPr>
              <w:pStyle w:val="ListParagraph"/>
              <w:numPr>
                <w:ilvl w:val="0"/>
                <w:numId w:val="71"/>
              </w:numPr>
              <w:bidi/>
              <w:spacing w:before="120"/>
              <w:jc w:val="both"/>
              <w:rPr>
                <w:rFonts w:asciiTheme="majorBidi" w:hAnsiTheme="majorBidi" w:cstheme="majorBidi"/>
                <w:sz w:val="24"/>
                <w:szCs w:val="24"/>
                <w:lang w:val="en-GB"/>
              </w:rPr>
            </w:pPr>
            <w:r w:rsidRPr="002B664C">
              <w:rPr>
                <w:rFonts w:asciiTheme="majorBidi" w:hAnsiTheme="majorBidi" w:cstheme="majorBidi" w:hint="cs"/>
                <w:sz w:val="24"/>
                <w:szCs w:val="24"/>
                <w:rtl/>
                <w:lang w:val="en-GB"/>
              </w:rPr>
              <w:t>ال</w:t>
            </w:r>
            <w:r w:rsidR="000B6729" w:rsidRPr="002B664C">
              <w:rPr>
                <w:rFonts w:asciiTheme="majorBidi" w:hAnsiTheme="majorBidi" w:cstheme="majorBidi"/>
                <w:sz w:val="24"/>
                <w:szCs w:val="24"/>
                <w:rtl/>
                <w:lang w:val="en-GB"/>
              </w:rPr>
              <w:t xml:space="preserve">تدابير </w:t>
            </w:r>
            <w:r w:rsidRPr="002B664C">
              <w:rPr>
                <w:rFonts w:asciiTheme="majorBidi" w:hAnsiTheme="majorBidi" w:cstheme="majorBidi" w:hint="cs"/>
                <w:sz w:val="24"/>
                <w:szCs w:val="24"/>
                <w:rtl/>
                <w:lang w:val="en-GB"/>
              </w:rPr>
              <w:t>ال</w:t>
            </w:r>
            <w:r w:rsidR="000B6729" w:rsidRPr="002B664C">
              <w:rPr>
                <w:rFonts w:asciiTheme="majorBidi" w:hAnsiTheme="majorBidi" w:cstheme="majorBidi"/>
                <w:sz w:val="24"/>
                <w:szCs w:val="24"/>
                <w:rtl/>
                <w:lang w:val="en-GB"/>
              </w:rPr>
              <w:t>قانونية</w:t>
            </w:r>
          </w:p>
          <w:p w14:paraId="36643FE6" w14:textId="34D71070" w:rsidR="000B6729" w:rsidRPr="002B664C" w:rsidRDefault="00E9431D" w:rsidP="002A3B1F">
            <w:pPr>
              <w:pStyle w:val="ListParagraph"/>
              <w:numPr>
                <w:ilvl w:val="0"/>
                <w:numId w:val="71"/>
              </w:numPr>
              <w:bidi/>
              <w:spacing w:before="120"/>
              <w:jc w:val="both"/>
              <w:rPr>
                <w:rFonts w:asciiTheme="majorBidi" w:hAnsiTheme="majorBidi" w:cstheme="majorBidi"/>
                <w:sz w:val="24"/>
                <w:szCs w:val="24"/>
                <w:lang w:val="en-GB"/>
              </w:rPr>
            </w:pPr>
            <w:r w:rsidRPr="002B664C">
              <w:rPr>
                <w:rFonts w:asciiTheme="majorBidi" w:hAnsiTheme="majorBidi" w:cstheme="majorBidi" w:hint="cs"/>
                <w:sz w:val="24"/>
                <w:szCs w:val="24"/>
                <w:rtl/>
                <w:lang w:val="en-GB"/>
              </w:rPr>
              <w:t>ال</w:t>
            </w:r>
            <w:r w:rsidR="000B6729" w:rsidRPr="002B664C">
              <w:rPr>
                <w:rFonts w:asciiTheme="majorBidi" w:hAnsiTheme="majorBidi" w:cstheme="majorBidi"/>
                <w:sz w:val="24"/>
                <w:szCs w:val="24"/>
                <w:rtl/>
                <w:lang w:val="en-GB"/>
              </w:rPr>
              <w:t xml:space="preserve">تدابير </w:t>
            </w:r>
            <w:r w:rsidRPr="002B664C">
              <w:rPr>
                <w:rFonts w:asciiTheme="majorBidi" w:hAnsiTheme="majorBidi" w:cstheme="majorBidi" w:hint="cs"/>
                <w:sz w:val="24"/>
                <w:szCs w:val="24"/>
                <w:rtl/>
                <w:lang w:val="en-GB"/>
              </w:rPr>
              <w:t>ال</w:t>
            </w:r>
            <w:r w:rsidR="000B6729" w:rsidRPr="002B664C">
              <w:rPr>
                <w:rFonts w:asciiTheme="majorBidi" w:hAnsiTheme="majorBidi" w:cstheme="majorBidi"/>
                <w:sz w:val="24"/>
                <w:szCs w:val="24"/>
                <w:rtl/>
                <w:lang w:val="en-GB"/>
              </w:rPr>
              <w:t>إدارية</w:t>
            </w:r>
          </w:p>
          <w:p w14:paraId="3EF4287B" w14:textId="1B95F369" w:rsidR="000B6729" w:rsidRPr="002B664C" w:rsidRDefault="00E9431D" w:rsidP="002A3B1F">
            <w:pPr>
              <w:pStyle w:val="ListParagraph"/>
              <w:numPr>
                <w:ilvl w:val="0"/>
                <w:numId w:val="71"/>
              </w:numPr>
              <w:bidi/>
              <w:spacing w:before="120"/>
              <w:jc w:val="both"/>
              <w:rPr>
                <w:rFonts w:asciiTheme="majorBidi" w:hAnsiTheme="majorBidi" w:cstheme="majorBidi"/>
                <w:sz w:val="24"/>
                <w:szCs w:val="24"/>
                <w:lang w:val="en-GB"/>
              </w:rPr>
            </w:pPr>
            <w:r w:rsidRPr="002B664C">
              <w:rPr>
                <w:rFonts w:asciiTheme="majorBidi" w:hAnsiTheme="majorBidi" w:cstheme="majorBidi" w:hint="cs"/>
                <w:sz w:val="24"/>
                <w:szCs w:val="24"/>
                <w:rtl/>
                <w:lang w:val="en-GB"/>
              </w:rPr>
              <w:t>ال</w:t>
            </w:r>
            <w:r w:rsidR="000B6729" w:rsidRPr="002B664C">
              <w:rPr>
                <w:rFonts w:asciiTheme="majorBidi" w:hAnsiTheme="majorBidi" w:cstheme="majorBidi"/>
                <w:sz w:val="24"/>
                <w:szCs w:val="24"/>
                <w:rtl/>
                <w:lang w:val="en-GB"/>
              </w:rPr>
              <w:t xml:space="preserve">حقوق </w:t>
            </w:r>
            <w:r w:rsidRPr="002B664C">
              <w:rPr>
                <w:rFonts w:asciiTheme="majorBidi" w:hAnsiTheme="majorBidi" w:cstheme="majorBidi" w:hint="cs"/>
                <w:sz w:val="24"/>
                <w:szCs w:val="24"/>
                <w:rtl/>
                <w:lang w:val="en-GB"/>
              </w:rPr>
              <w:t>ال</w:t>
            </w:r>
            <w:r w:rsidR="000B6729" w:rsidRPr="002B664C">
              <w:rPr>
                <w:rFonts w:asciiTheme="majorBidi" w:hAnsiTheme="majorBidi" w:cstheme="majorBidi"/>
                <w:sz w:val="24"/>
                <w:szCs w:val="24"/>
                <w:rtl/>
                <w:lang w:val="en-GB"/>
              </w:rPr>
              <w:t>عرفية</w:t>
            </w:r>
          </w:p>
          <w:p w14:paraId="37C1CCED" w14:textId="3EF5C9F9" w:rsidR="000B6729" w:rsidRPr="002B664C" w:rsidRDefault="00E9431D" w:rsidP="002A3B1F">
            <w:pPr>
              <w:pStyle w:val="ListParagraph"/>
              <w:numPr>
                <w:ilvl w:val="0"/>
                <w:numId w:val="71"/>
              </w:numPr>
              <w:bidi/>
              <w:spacing w:before="120"/>
              <w:jc w:val="both"/>
              <w:rPr>
                <w:rFonts w:asciiTheme="majorBidi" w:hAnsiTheme="majorBidi" w:cstheme="majorBidi"/>
                <w:sz w:val="24"/>
                <w:szCs w:val="24"/>
                <w:lang w:val="en-GB"/>
              </w:rPr>
            </w:pPr>
            <w:r w:rsidRPr="002B664C">
              <w:rPr>
                <w:rFonts w:asciiTheme="majorBidi" w:hAnsiTheme="majorBidi" w:cstheme="majorBidi" w:hint="cs"/>
                <w:sz w:val="24"/>
                <w:szCs w:val="24"/>
                <w:rtl/>
                <w:lang w:val="en-GB"/>
              </w:rPr>
              <w:t>ال</w:t>
            </w:r>
            <w:r w:rsidR="000B6729" w:rsidRPr="002B664C">
              <w:rPr>
                <w:rFonts w:asciiTheme="majorBidi" w:hAnsiTheme="majorBidi" w:cstheme="majorBidi"/>
                <w:sz w:val="24"/>
                <w:szCs w:val="24"/>
                <w:rtl/>
                <w:lang w:val="en-GB"/>
              </w:rPr>
              <w:t xml:space="preserve">ممارسات </w:t>
            </w:r>
            <w:r w:rsidRPr="002B664C">
              <w:rPr>
                <w:rFonts w:asciiTheme="majorBidi" w:hAnsiTheme="majorBidi" w:cstheme="majorBidi" w:hint="cs"/>
                <w:sz w:val="24"/>
                <w:szCs w:val="24"/>
                <w:rtl/>
                <w:lang w:val="en-GB"/>
              </w:rPr>
              <w:t>ال</w:t>
            </w:r>
            <w:r w:rsidR="000B6729" w:rsidRPr="002B664C">
              <w:rPr>
                <w:rFonts w:asciiTheme="majorBidi" w:hAnsiTheme="majorBidi" w:cstheme="majorBidi"/>
                <w:sz w:val="24"/>
                <w:szCs w:val="24"/>
                <w:rtl/>
                <w:lang w:val="en-GB"/>
              </w:rPr>
              <w:t>عرفية</w:t>
            </w:r>
          </w:p>
          <w:p w14:paraId="20DF7C90" w14:textId="7FB2924B" w:rsidR="000B6729" w:rsidRPr="002B664C" w:rsidRDefault="00B21492" w:rsidP="002A3B1F">
            <w:pPr>
              <w:pStyle w:val="ListParagraph"/>
              <w:numPr>
                <w:ilvl w:val="0"/>
                <w:numId w:val="71"/>
              </w:numPr>
              <w:bidi/>
              <w:spacing w:before="120"/>
              <w:jc w:val="both"/>
              <w:rPr>
                <w:rFonts w:asciiTheme="majorBidi" w:hAnsiTheme="majorBidi" w:cstheme="majorBidi"/>
                <w:sz w:val="24"/>
                <w:szCs w:val="24"/>
                <w:lang w:val="en-GB"/>
              </w:rPr>
            </w:pPr>
            <w:r w:rsidRPr="002B664C">
              <w:rPr>
                <w:rFonts w:asciiTheme="majorBidi" w:hAnsiTheme="majorBidi" w:cstheme="majorBidi"/>
                <w:sz w:val="24"/>
                <w:szCs w:val="24"/>
                <w:rtl/>
                <w:lang w:val="en-GB"/>
              </w:rPr>
              <w:t xml:space="preserve">حقوق </w:t>
            </w:r>
            <w:r w:rsidR="00E9431D" w:rsidRPr="002B664C">
              <w:rPr>
                <w:rFonts w:asciiTheme="majorBidi" w:hAnsiTheme="majorBidi" w:cstheme="majorBidi" w:hint="cs"/>
                <w:sz w:val="24"/>
                <w:szCs w:val="24"/>
                <w:rtl/>
                <w:lang w:val="en-GB"/>
              </w:rPr>
              <w:t>ال</w:t>
            </w:r>
            <w:r w:rsidRPr="002B664C">
              <w:rPr>
                <w:rFonts w:asciiTheme="majorBidi" w:hAnsiTheme="majorBidi" w:cstheme="majorBidi"/>
                <w:sz w:val="24"/>
                <w:szCs w:val="24"/>
                <w:rtl/>
                <w:lang w:val="en-GB"/>
              </w:rPr>
              <w:t xml:space="preserve">ملكية </w:t>
            </w:r>
            <w:r w:rsidR="00E9431D" w:rsidRPr="002B664C">
              <w:rPr>
                <w:rFonts w:asciiTheme="majorBidi" w:hAnsiTheme="majorBidi" w:cstheme="majorBidi" w:hint="cs"/>
                <w:sz w:val="24"/>
                <w:szCs w:val="24"/>
                <w:rtl/>
                <w:lang w:val="en-GB"/>
              </w:rPr>
              <w:t>ال</w:t>
            </w:r>
            <w:r w:rsidR="000B6729" w:rsidRPr="002B664C">
              <w:rPr>
                <w:rFonts w:asciiTheme="majorBidi" w:hAnsiTheme="majorBidi" w:cstheme="majorBidi"/>
                <w:sz w:val="24"/>
                <w:szCs w:val="24"/>
                <w:rtl/>
                <w:lang w:val="en-GB"/>
              </w:rPr>
              <w:t>فكرية</w:t>
            </w:r>
          </w:p>
          <w:p w14:paraId="38BA5955" w14:textId="044442CB" w:rsidR="000B6729" w:rsidRPr="002B664C" w:rsidRDefault="000B6729" w:rsidP="002A3B1F">
            <w:pPr>
              <w:pStyle w:val="ListParagraph"/>
              <w:numPr>
                <w:ilvl w:val="0"/>
                <w:numId w:val="71"/>
              </w:numPr>
              <w:bidi/>
              <w:spacing w:before="120"/>
              <w:jc w:val="both"/>
              <w:rPr>
                <w:rFonts w:asciiTheme="majorBidi" w:hAnsiTheme="majorBidi" w:cstheme="majorBidi"/>
                <w:sz w:val="24"/>
                <w:szCs w:val="24"/>
                <w:lang w:val="en-GB"/>
              </w:rPr>
            </w:pPr>
            <w:r w:rsidRPr="002B664C">
              <w:rPr>
                <w:rFonts w:asciiTheme="majorBidi" w:hAnsiTheme="majorBidi" w:cstheme="majorBidi"/>
                <w:sz w:val="24"/>
                <w:szCs w:val="24"/>
                <w:rtl/>
                <w:lang w:val="en-GB"/>
              </w:rPr>
              <w:t>الحق</w:t>
            </w:r>
            <w:r w:rsidR="00F934A7" w:rsidRPr="002B664C">
              <w:rPr>
                <w:rFonts w:asciiTheme="majorBidi" w:hAnsiTheme="majorBidi" w:cstheme="majorBidi" w:hint="cs"/>
                <w:sz w:val="24"/>
                <w:szCs w:val="24"/>
                <w:rtl/>
                <w:lang w:val="en-GB"/>
              </w:rPr>
              <w:t>وق</w:t>
            </w:r>
            <w:r w:rsidRPr="002B664C">
              <w:rPr>
                <w:rFonts w:asciiTheme="majorBidi" w:hAnsiTheme="majorBidi" w:cstheme="majorBidi"/>
                <w:sz w:val="24"/>
                <w:szCs w:val="24"/>
                <w:rtl/>
                <w:lang w:val="en-GB"/>
              </w:rPr>
              <w:t xml:space="preserve"> الخصوصية</w:t>
            </w:r>
          </w:p>
          <w:p w14:paraId="34E71C8D" w14:textId="30246E7B" w:rsidR="00B21492" w:rsidRPr="002B664C" w:rsidRDefault="00B21492" w:rsidP="002A3B1F">
            <w:pPr>
              <w:pStyle w:val="ListParagraph"/>
              <w:numPr>
                <w:ilvl w:val="0"/>
                <w:numId w:val="71"/>
              </w:numPr>
              <w:bidi/>
              <w:spacing w:before="120" w:after="120"/>
              <w:jc w:val="both"/>
              <w:rPr>
                <w:rFonts w:asciiTheme="majorBidi" w:hAnsiTheme="majorBidi" w:cstheme="majorBidi"/>
                <w:sz w:val="24"/>
                <w:szCs w:val="24"/>
                <w:lang w:val="en-GB"/>
              </w:rPr>
            </w:pPr>
            <w:r w:rsidRPr="002B664C">
              <w:rPr>
                <w:rFonts w:asciiTheme="majorBidi" w:hAnsiTheme="majorBidi" w:cstheme="majorBidi"/>
                <w:sz w:val="24"/>
                <w:szCs w:val="24"/>
                <w:rtl/>
                <w:lang w:val="en-GB"/>
              </w:rPr>
              <w:t xml:space="preserve">ممارسو </w:t>
            </w:r>
            <w:r w:rsidR="000F644E" w:rsidRPr="002B664C">
              <w:rPr>
                <w:rFonts w:asciiTheme="majorBidi" w:hAnsiTheme="majorBidi" w:cstheme="majorBidi" w:hint="cs"/>
                <w:sz w:val="24"/>
                <w:szCs w:val="24"/>
                <w:rtl/>
                <w:lang w:val="en-GB"/>
              </w:rPr>
              <w:t>التراث وحملته</w:t>
            </w:r>
          </w:p>
          <w:p w14:paraId="267816C8" w14:textId="5FFCACA8" w:rsidR="009B0DEA" w:rsidRPr="002B664C" w:rsidRDefault="00B21492" w:rsidP="002A3B1F">
            <w:pPr>
              <w:pStyle w:val="ListParagraph"/>
              <w:numPr>
                <w:ilvl w:val="0"/>
                <w:numId w:val="71"/>
              </w:numPr>
              <w:bidi/>
              <w:spacing w:before="120" w:after="120"/>
              <w:jc w:val="both"/>
              <w:rPr>
                <w:rFonts w:asciiTheme="majorBidi" w:hAnsiTheme="majorBidi" w:cstheme="majorBidi"/>
                <w:sz w:val="24"/>
                <w:szCs w:val="24"/>
                <w:lang w:val="en-GB"/>
              </w:rPr>
            </w:pPr>
            <w:r w:rsidRPr="002B664C">
              <w:rPr>
                <w:rFonts w:asciiTheme="majorBidi" w:hAnsiTheme="majorBidi" w:cstheme="majorBidi"/>
                <w:sz w:val="24"/>
                <w:szCs w:val="24"/>
                <w:rtl/>
                <w:lang w:val="en-GB"/>
              </w:rPr>
              <w:t xml:space="preserve">جماعات أو </w:t>
            </w:r>
            <w:r w:rsidR="00010A9B" w:rsidRPr="002B664C">
              <w:rPr>
                <w:rFonts w:asciiTheme="majorBidi" w:hAnsiTheme="majorBidi" w:cstheme="majorBidi" w:hint="cs"/>
                <w:sz w:val="24"/>
                <w:szCs w:val="24"/>
                <w:rtl/>
                <w:lang w:val="en-GB"/>
              </w:rPr>
              <w:t>مجموعات</w:t>
            </w:r>
            <w:r w:rsidRPr="002B664C">
              <w:rPr>
                <w:rFonts w:asciiTheme="majorBidi" w:hAnsiTheme="majorBidi" w:cstheme="majorBidi"/>
                <w:sz w:val="24"/>
                <w:szCs w:val="24"/>
                <w:rtl/>
                <w:lang w:val="en-GB"/>
              </w:rPr>
              <w:t xml:space="preserve"> أو أحيانًا </w:t>
            </w:r>
            <w:r w:rsidR="000B6729" w:rsidRPr="002B664C">
              <w:rPr>
                <w:rFonts w:asciiTheme="majorBidi" w:hAnsiTheme="majorBidi" w:cstheme="majorBidi"/>
                <w:sz w:val="24"/>
                <w:szCs w:val="24"/>
                <w:rtl/>
                <w:lang w:val="en-GB"/>
              </w:rPr>
              <w:t>أفراد</w:t>
            </w:r>
          </w:p>
        </w:tc>
      </w:tr>
    </w:tbl>
    <w:p w14:paraId="15E988CB" w14:textId="77777777" w:rsidR="0054175C" w:rsidRPr="001F08B3" w:rsidRDefault="0054175C" w:rsidP="002A3B1F">
      <w:pPr>
        <w:bidi/>
        <w:jc w:val="center"/>
        <w:rPr>
          <w:rFonts w:asciiTheme="majorBidi" w:hAnsiTheme="majorBidi" w:cstheme="majorBidi"/>
          <w:b/>
          <w:sz w:val="28"/>
          <w:szCs w:val="28"/>
        </w:rPr>
        <w:sectPr w:rsidR="0054175C" w:rsidRPr="001F08B3" w:rsidSect="000F25BA">
          <w:footerReference w:type="default" r:id="rId8"/>
          <w:pgSz w:w="11906" w:h="16838" w:code="9"/>
          <w:pgMar w:top="1418" w:right="1134" w:bottom="1134" w:left="1134" w:header="397" w:footer="284" w:gutter="0"/>
          <w:cols w:space="708"/>
          <w:docGrid w:linePitch="360"/>
        </w:sectPr>
      </w:pPr>
    </w:p>
    <w:p w14:paraId="4C1A7EE4" w14:textId="1E25AD33" w:rsidR="00AB3515" w:rsidRPr="001F08B3" w:rsidRDefault="00AB3515" w:rsidP="002A3B1F">
      <w:pPr>
        <w:keepNext/>
        <w:bidi/>
        <w:jc w:val="center"/>
        <w:rPr>
          <w:rFonts w:asciiTheme="majorBidi" w:hAnsiTheme="majorBidi" w:cstheme="majorBidi"/>
          <w:b/>
          <w:bCs/>
          <w:sz w:val="28"/>
          <w:szCs w:val="28"/>
        </w:rPr>
      </w:pPr>
      <w:r w:rsidRPr="001F08B3">
        <w:rPr>
          <w:rFonts w:asciiTheme="majorBidi" w:hAnsiTheme="majorBidi" w:cstheme="majorBidi"/>
          <w:b/>
          <w:bCs/>
          <w:sz w:val="28"/>
          <w:szCs w:val="28"/>
          <w:rtl/>
        </w:rPr>
        <w:t xml:space="preserve">التوجيهات المحددة بشأن الرصد </w:t>
      </w:r>
      <w:proofErr w:type="gramStart"/>
      <w:r w:rsidRPr="001F08B3">
        <w:rPr>
          <w:rFonts w:asciiTheme="majorBidi" w:hAnsiTheme="majorBidi" w:cstheme="majorBidi"/>
          <w:b/>
          <w:bCs/>
          <w:sz w:val="28"/>
          <w:szCs w:val="28"/>
          <w:rtl/>
        </w:rPr>
        <w:t>و</w:t>
      </w:r>
      <w:r w:rsidR="001F08B3">
        <w:rPr>
          <w:rFonts w:asciiTheme="majorBidi" w:hAnsiTheme="majorBidi" w:cstheme="majorBidi" w:hint="cs"/>
          <w:b/>
          <w:bCs/>
          <w:sz w:val="28"/>
          <w:szCs w:val="28"/>
          <w:rtl/>
        </w:rPr>
        <w:t>ال</w:t>
      </w:r>
      <w:r w:rsidR="00D63B4C">
        <w:rPr>
          <w:rFonts w:asciiTheme="majorBidi" w:hAnsiTheme="majorBidi" w:cstheme="majorBidi" w:hint="cs"/>
          <w:b/>
          <w:bCs/>
          <w:sz w:val="28"/>
          <w:szCs w:val="28"/>
          <w:rtl/>
        </w:rPr>
        <w:t xml:space="preserve">تقرير </w:t>
      </w:r>
      <w:r w:rsidRPr="001F08B3">
        <w:rPr>
          <w:rFonts w:asciiTheme="majorBidi" w:hAnsiTheme="majorBidi" w:cstheme="majorBidi"/>
          <w:b/>
          <w:bCs/>
          <w:sz w:val="28"/>
          <w:szCs w:val="28"/>
          <w:rtl/>
        </w:rPr>
        <w:t xml:space="preserve"> الدوري</w:t>
      </w:r>
      <w:proofErr w:type="gramEnd"/>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602CC7" w14:paraId="4EF8F724" w14:textId="77777777" w:rsidTr="0002664A">
        <w:tc>
          <w:tcPr>
            <w:tcW w:w="730" w:type="pct"/>
            <w:shd w:val="clear" w:color="auto" w:fill="auto"/>
          </w:tcPr>
          <w:p w14:paraId="77DAF355" w14:textId="09160F22" w:rsidR="002C28BA" w:rsidRPr="00602CC7" w:rsidRDefault="00AB3515" w:rsidP="002A3B1F">
            <w:pPr>
              <w:bidi/>
              <w:spacing w:before="120"/>
              <w:rPr>
                <w:rFonts w:asciiTheme="majorBidi" w:hAnsiTheme="majorBidi" w:cstheme="majorBidi"/>
                <w:b/>
                <w:sz w:val="24"/>
              </w:rPr>
            </w:pPr>
            <w:r w:rsidRPr="00602CC7">
              <w:rPr>
                <w:rFonts w:asciiTheme="majorBidi" w:hAnsiTheme="majorBidi" w:cstheme="majorBidi"/>
                <w:b/>
                <w:bCs/>
                <w:sz w:val="24"/>
                <w:rtl/>
              </w:rPr>
              <w:t>فوائد الرصد</w:t>
            </w:r>
          </w:p>
        </w:tc>
        <w:tc>
          <w:tcPr>
            <w:tcW w:w="4270" w:type="pct"/>
            <w:shd w:val="clear" w:color="auto" w:fill="auto"/>
          </w:tcPr>
          <w:p w14:paraId="25B5EAAF" w14:textId="0B3D1C15" w:rsidR="002C28BA" w:rsidRPr="00602CC7" w:rsidRDefault="00E34628" w:rsidP="002A3B1F">
            <w:pPr>
              <w:keepLines/>
              <w:bidi/>
              <w:spacing w:before="120"/>
              <w:jc w:val="both"/>
              <w:rPr>
                <w:rFonts w:asciiTheme="majorBidi" w:hAnsiTheme="majorBidi" w:cstheme="majorBidi"/>
                <w:b/>
                <w:sz w:val="24"/>
              </w:rPr>
            </w:pPr>
            <w:r w:rsidRPr="00602CC7">
              <w:rPr>
                <w:rFonts w:asciiTheme="majorBidi" w:hAnsiTheme="majorBidi" w:cstheme="majorBidi"/>
                <w:b/>
                <w:sz w:val="24"/>
                <w:rtl/>
              </w:rPr>
              <w:t>سيسمح رصد هذا المؤشر للدولة بتحديد ما إذا كانت الحقوق والممارسات و</w:t>
            </w:r>
            <w:r w:rsidR="004A28F1">
              <w:rPr>
                <w:rFonts w:asciiTheme="majorBidi" w:hAnsiTheme="majorBidi" w:cstheme="majorBidi" w:hint="cs"/>
                <w:b/>
                <w:sz w:val="24"/>
                <w:rtl/>
              </w:rPr>
              <w:t xml:space="preserve">أشكال التعبير </w:t>
            </w:r>
            <w:r w:rsidRPr="00602CC7">
              <w:rPr>
                <w:rFonts w:asciiTheme="majorBidi" w:hAnsiTheme="majorBidi" w:cstheme="majorBidi"/>
                <w:b/>
                <w:sz w:val="24"/>
                <w:rtl/>
              </w:rPr>
              <w:t xml:space="preserve">العرفية قد أُدرجت بفعالية في الإطار القانوني والسياسي الأكبر، وإن لم يكن، سيمكنها من تحديد نقاط الدخول للقيام بذلك. كما يمكن أن يشير هذا الرصد إلى الثغرات التي تترك الجماعات والمجموعات والأفراد عرضة للاستغلال غير العادل أو </w:t>
            </w:r>
            <w:r w:rsidR="00A31155">
              <w:rPr>
                <w:rFonts w:asciiTheme="majorBidi" w:hAnsiTheme="majorBidi" w:cstheme="majorBidi" w:hint="cs"/>
                <w:b/>
                <w:sz w:val="24"/>
                <w:rtl/>
              </w:rPr>
              <w:t>ب</w:t>
            </w:r>
            <w:r w:rsidRPr="00602CC7">
              <w:rPr>
                <w:rFonts w:asciiTheme="majorBidi" w:hAnsiTheme="majorBidi" w:cstheme="majorBidi"/>
                <w:b/>
                <w:sz w:val="24"/>
                <w:rtl/>
              </w:rPr>
              <w:t xml:space="preserve">دون تعويض لتراثهم الثقافي غير المادي أو للاستغلال الذي يضعف حقوقهم العرفية في النظم البيئية الضروري وجودها ليمكنهم مواصلة ممارسة تراثهم الثقافي غير المادي ونقله. كما يمكن أن يشير الرصد على الصعيد العالمي، إلى الممارسات الجيدة المبتكرة في بلدان مختلفة، ويثبت أهمية التراث الثقافي غير المادي في بناء ثقافة السلام، ويدعم الحاجة إلى أنظمة </w:t>
            </w:r>
            <w:r w:rsidR="00CB4D57" w:rsidRPr="00602CC7">
              <w:rPr>
                <w:rFonts w:asciiTheme="majorBidi" w:hAnsiTheme="majorBidi" w:cstheme="majorBidi"/>
                <w:b/>
                <w:sz w:val="24"/>
                <w:rtl/>
              </w:rPr>
              <w:t xml:space="preserve">حماية قانونية </w:t>
            </w:r>
            <w:r w:rsidRPr="00602CC7">
              <w:rPr>
                <w:rFonts w:asciiTheme="majorBidi" w:hAnsiTheme="majorBidi" w:cstheme="majorBidi"/>
                <w:b/>
                <w:sz w:val="24"/>
                <w:rtl/>
              </w:rPr>
              <w:t>عالمية للتراث الثقافي غير المادي وأشكال التعبير الثقافية التقليدية.</w:t>
            </w:r>
          </w:p>
        </w:tc>
      </w:tr>
      <w:tr w:rsidR="0054175C" w:rsidRPr="00602CC7" w14:paraId="20A40972" w14:textId="77777777" w:rsidTr="0002664A">
        <w:tc>
          <w:tcPr>
            <w:tcW w:w="730" w:type="pct"/>
            <w:shd w:val="clear" w:color="auto" w:fill="auto"/>
          </w:tcPr>
          <w:p w14:paraId="402E096D" w14:textId="2AEEE3D1" w:rsidR="0054175C" w:rsidRPr="00602CC7" w:rsidRDefault="00AB3515" w:rsidP="002A3B1F">
            <w:pPr>
              <w:bidi/>
              <w:spacing w:before="120"/>
              <w:rPr>
                <w:rFonts w:asciiTheme="majorBidi" w:hAnsiTheme="majorBidi" w:cstheme="majorBidi"/>
                <w:b/>
                <w:sz w:val="24"/>
              </w:rPr>
            </w:pPr>
            <w:r w:rsidRPr="00602CC7">
              <w:rPr>
                <w:rFonts w:asciiTheme="majorBidi" w:hAnsiTheme="majorBidi" w:cstheme="majorBidi"/>
                <w:b/>
                <w:bCs/>
                <w:sz w:val="24"/>
                <w:rtl/>
              </w:rPr>
              <w:t>مصادر البيانات وجمعها</w:t>
            </w:r>
          </w:p>
        </w:tc>
        <w:tc>
          <w:tcPr>
            <w:tcW w:w="4270" w:type="pct"/>
            <w:shd w:val="clear" w:color="auto" w:fill="auto"/>
          </w:tcPr>
          <w:p w14:paraId="46254846" w14:textId="386568B5" w:rsidR="00D66D3C" w:rsidRPr="00602CC7" w:rsidRDefault="00D66D3C" w:rsidP="002A3B1F">
            <w:pPr>
              <w:keepNext/>
              <w:keepLines/>
              <w:bidi/>
              <w:spacing w:before="120" w:after="60"/>
              <w:jc w:val="both"/>
              <w:rPr>
                <w:rFonts w:asciiTheme="majorBidi" w:hAnsiTheme="majorBidi" w:cstheme="majorBidi"/>
                <w:sz w:val="24"/>
                <w:rtl/>
              </w:rPr>
            </w:pPr>
            <w:r w:rsidRPr="00602CC7">
              <w:rPr>
                <w:rFonts w:asciiTheme="majorBidi" w:hAnsiTheme="majorBidi" w:cstheme="majorBidi"/>
                <w:sz w:val="24"/>
                <w:rtl/>
              </w:rPr>
              <w:t>قد تندرج السياسات والتدابير القانونية والإدارية في هذه المجالات ضمن نطاق وزارات مختلفة، مثل تلك المعنية بالعدالة أو التنمية الريفية أو البيئة أو حماية الملكية الفكرية. وقد تتوفر هيئة استشارية أو آلية تنسيق تضم ممثلين عن هذه الوزارات. بخلاف ذلك، قد يحتاج فريق الرصد إلى الاتصال بالوزارات المعنية لتحديد ما إذا كانت هذه السياسات والتدابير القانونية والإدارية قد طُورت ونُفذت.</w:t>
            </w:r>
          </w:p>
          <w:p w14:paraId="63B4E4C0" w14:textId="6B235949" w:rsidR="0054175C" w:rsidRPr="00602CC7" w:rsidRDefault="00AB3515" w:rsidP="002A3B1F">
            <w:pPr>
              <w:keepNext/>
              <w:keepLines/>
              <w:bidi/>
              <w:spacing w:before="120" w:after="60"/>
              <w:jc w:val="both"/>
              <w:rPr>
                <w:rFonts w:asciiTheme="majorBidi" w:hAnsiTheme="majorBidi" w:cstheme="majorBidi"/>
                <w:b/>
                <w:sz w:val="24"/>
              </w:rPr>
            </w:pPr>
            <w:r w:rsidRPr="00602CC7">
              <w:rPr>
                <w:rFonts w:asciiTheme="majorBidi" w:hAnsiTheme="majorBidi" w:cstheme="majorBidi"/>
                <w:b/>
                <w:bCs/>
                <w:sz w:val="24"/>
                <w:rtl/>
              </w:rPr>
              <w:t>مصادر البيانات المحتملة</w:t>
            </w:r>
          </w:p>
          <w:p w14:paraId="5D35A30F" w14:textId="77777777" w:rsidR="005F4473" w:rsidRPr="00602CC7" w:rsidRDefault="005F4473" w:rsidP="002A3B1F">
            <w:pPr>
              <w:pStyle w:val="ListParagraph"/>
              <w:numPr>
                <w:ilvl w:val="0"/>
                <w:numId w:val="73"/>
              </w:numPr>
              <w:bidi/>
              <w:spacing w:before="120"/>
              <w:jc w:val="both"/>
              <w:rPr>
                <w:rFonts w:asciiTheme="majorBidi" w:hAnsiTheme="majorBidi" w:cstheme="majorBidi"/>
                <w:sz w:val="24"/>
                <w:szCs w:val="24"/>
                <w:lang w:val="en-GB"/>
              </w:rPr>
            </w:pPr>
            <w:r w:rsidRPr="00602CC7">
              <w:rPr>
                <w:rFonts w:asciiTheme="majorBidi" w:hAnsiTheme="majorBidi" w:cstheme="majorBidi"/>
                <w:sz w:val="24"/>
                <w:szCs w:val="24"/>
                <w:rtl/>
                <w:lang w:val="en-GB"/>
              </w:rPr>
              <w:t>مجلات رسمية أو موجزات قوانين ولوائح قانونية</w:t>
            </w:r>
          </w:p>
          <w:p w14:paraId="6DBD6A10" w14:textId="49B12994" w:rsidR="005F4473" w:rsidRPr="00602CC7" w:rsidRDefault="00B21492" w:rsidP="002A3B1F">
            <w:pPr>
              <w:pStyle w:val="ListParagraph"/>
              <w:numPr>
                <w:ilvl w:val="0"/>
                <w:numId w:val="73"/>
              </w:numPr>
              <w:bidi/>
              <w:spacing w:before="120"/>
              <w:jc w:val="both"/>
              <w:rPr>
                <w:rFonts w:asciiTheme="majorBidi" w:hAnsiTheme="majorBidi" w:cstheme="majorBidi"/>
                <w:sz w:val="24"/>
                <w:szCs w:val="24"/>
                <w:lang w:val="en-GB"/>
              </w:rPr>
            </w:pPr>
            <w:r w:rsidRPr="00602CC7">
              <w:rPr>
                <w:rFonts w:asciiTheme="majorBidi" w:hAnsiTheme="majorBidi" w:cstheme="majorBidi"/>
                <w:sz w:val="24"/>
                <w:szCs w:val="24"/>
                <w:rtl/>
                <w:lang w:val="en-GB"/>
              </w:rPr>
              <w:t xml:space="preserve">وثائق سياسات وزارات ذات </w:t>
            </w:r>
            <w:r w:rsidR="005F4473" w:rsidRPr="00602CC7">
              <w:rPr>
                <w:rFonts w:asciiTheme="majorBidi" w:hAnsiTheme="majorBidi" w:cstheme="majorBidi"/>
                <w:sz w:val="24"/>
                <w:szCs w:val="24"/>
                <w:rtl/>
                <w:lang w:val="en-GB"/>
              </w:rPr>
              <w:t>صلة</w:t>
            </w:r>
          </w:p>
          <w:p w14:paraId="169ACC12" w14:textId="1BDBE90D" w:rsidR="005F4473" w:rsidRPr="00602CC7" w:rsidRDefault="005F4473" w:rsidP="002A3B1F">
            <w:pPr>
              <w:pStyle w:val="ListParagraph"/>
              <w:numPr>
                <w:ilvl w:val="0"/>
                <w:numId w:val="73"/>
              </w:numPr>
              <w:bidi/>
              <w:spacing w:before="120"/>
              <w:jc w:val="both"/>
              <w:rPr>
                <w:rFonts w:asciiTheme="majorBidi" w:hAnsiTheme="majorBidi" w:cstheme="majorBidi"/>
                <w:sz w:val="24"/>
                <w:szCs w:val="24"/>
                <w:lang w:val="en-GB"/>
              </w:rPr>
            </w:pPr>
            <w:r w:rsidRPr="00602CC7">
              <w:rPr>
                <w:rFonts w:asciiTheme="majorBidi" w:hAnsiTheme="majorBidi" w:cstheme="majorBidi"/>
                <w:sz w:val="24"/>
                <w:szCs w:val="24"/>
                <w:rtl/>
                <w:lang w:val="en-GB"/>
              </w:rPr>
              <w:t>تقارير قطرية إلى اتفاقية الأمم المتحدة بشأن التنوع البيولوجي حول المادة 8(ي)</w:t>
            </w:r>
          </w:p>
          <w:p w14:paraId="4B938383" w14:textId="773E9765" w:rsidR="005F4473" w:rsidRPr="00602CC7" w:rsidRDefault="00B21492" w:rsidP="002A3B1F">
            <w:pPr>
              <w:pStyle w:val="ListParagraph"/>
              <w:numPr>
                <w:ilvl w:val="0"/>
                <w:numId w:val="73"/>
              </w:numPr>
              <w:bidi/>
              <w:spacing w:before="120"/>
              <w:jc w:val="both"/>
              <w:rPr>
                <w:rFonts w:asciiTheme="majorBidi" w:hAnsiTheme="majorBidi" w:cstheme="majorBidi"/>
                <w:sz w:val="24"/>
                <w:szCs w:val="24"/>
                <w:lang w:val="en-GB"/>
              </w:rPr>
            </w:pPr>
            <w:r w:rsidRPr="00602CC7">
              <w:rPr>
                <w:rFonts w:asciiTheme="majorBidi" w:hAnsiTheme="majorBidi" w:cstheme="majorBidi"/>
                <w:sz w:val="24"/>
                <w:szCs w:val="24"/>
                <w:rtl/>
                <w:lang w:val="en-GB"/>
              </w:rPr>
              <w:t xml:space="preserve">استراتيجية </w:t>
            </w:r>
            <w:r w:rsidR="005F4473" w:rsidRPr="00602CC7">
              <w:rPr>
                <w:rFonts w:asciiTheme="majorBidi" w:hAnsiTheme="majorBidi" w:cstheme="majorBidi"/>
                <w:sz w:val="24"/>
                <w:szCs w:val="24"/>
                <w:rtl/>
                <w:lang w:val="en-GB"/>
              </w:rPr>
              <w:t>وطنية للتنمية المستدامة</w:t>
            </w:r>
            <w:r w:rsidRPr="00602CC7">
              <w:rPr>
                <w:rFonts w:asciiTheme="majorBidi" w:hAnsiTheme="majorBidi" w:cstheme="majorBidi"/>
                <w:sz w:val="24"/>
                <w:szCs w:val="24"/>
                <w:rtl/>
                <w:lang w:val="en-GB"/>
              </w:rPr>
              <w:t>،</w:t>
            </w:r>
            <w:r w:rsidR="005F4473" w:rsidRPr="00602CC7">
              <w:rPr>
                <w:rFonts w:asciiTheme="majorBidi" w:hAnsiTheme="majorBidi" w:cstheme="majorBidi"/>
                <w:sz w:val="24"/>
                <w:szCs w:val="24"/>
                <w:rtl/>
                <w:lang w:val="en-GB"/>
              </w:rPr>
              <w:t xml:space="preserve"> مثل خطة خمسية أو خطة عشرية</w:t>
            </w:r>
          </w:p>
          <w:p w14:paraId="180205C5" w14:textId="514CCD9B" w:rsidR="0054175C" w:rsidRPr="00602CC7" w:rsidRDefault="00B21492" w:rsidP="002A3B1F">
            <w:pPr>
              <w:pStyle w:val="ListParagraph"/>
              <w:numPr>
                <w:ilvl w:val="0"/>
                <w:numId w:val="73"/>
              </w:numPr>
              <w:bidi/>
              <w:spacing w:before="120"/>
              <w:jc w:val="both"/>
              <w:rPr>
                <w:rFonts w:asciiTheme="majorBidi" w:hAnsiTheme="majorBidi" w:cstheme="majorBidi"/>
                <w:sz w:val="24"/>
                <w:szCs w:val="24"/>
                <w:lang w:val="en-GB"/>
              </w:rPr>
            </w:pPr>
            <w:r w:rsidRPr="00602CC7">
              <w:rPr>
                <w:rFonts w:asciiTheme="majorBidi" w:hAnsiTheme="majorBidi" w:cstheme="majorBidi"/>
                <w:sz w:val="24"/>
                <w:szCs w:val="24"/>
                <w:rtl/>
                <w:lang w:val="en-GB"/>
              </w:rPr>
              <w:t xml:space="preserve">مسوحات أو </w:t>
            </w:r>
            <w:r w:rsidR="005F4473" w:rsidRPr="00602CC7">
              <w:rPr>
                <w:rFonts w:asciiTheme="majorBidi" w:hAnsiTheme="majorBidi" w:cstheme="majorBidi"/>
                <w:sz w:val="24"/>
                <w:szCs w:val="24"/>
                <w:rtl/>
                <w:lang w:val="en-GB"/>
              </w:rPr>
              <w:t>بحوث أجرتها معاهد بح</w:t>
            </w:r>
            <w:r w:rsidR="00106E4C">
              <w:rPr>
                <w:rFonts w:asciiTheme="majorBidi" w:hAnsiTheme="majorBidi" w:cstheme="majorBidi" w:hint="cs"/>
                <w:sz w:val="24"/>
                <w:szCs w:val="24"/>
                <w:rtl/>
                <w:lang w:val="en-GB"/>
              </w:rPr>
              <w:t>و</w:t>
            </w:r>
            <w:r w:rsidR="005F4473" w:rsidRPr="00602CC7">
              <w:rPr>
                <w:rFonts w:asciiTheme="majorBidi" w:hAnsiTheme="majorBidi" w:cstheme="majorBidi"/>
                <w:sz w:val="24"/>
                <w:szCs w:val="24"/>
                <w:rtl/>
                <w:lang w:val="en-GB"/>
              </w:rPr>
              <w:t xml:space="preserve">ث </w:t>
            </w:r>
            <w:r w:rsidR="00FC0E62">
              <w:rPr>
                <w:rFonts w:asciiTheme="majorBidi" w:hAnsiTheme="majorBidi" w:cstheme="majorBidi" w:hint="cs"/>
                <w:sz w:val="24"/>
                <w:szCs w:val="24"/>
                <w:rtl/>
                <w:lang w:val="en-GB"/>
              </w:rPr>
              <w:t>دراسة</w:t>
            </w:r>
            <w:r w:rsidR="005F4473" w:rsidRPr="00602CC7">
              <w:rPr>
                <w:rFonts w:asciiTheme="majorBidi" w:hAnsiTheme="majorBidi" w:cstheme="majorBidi"/>
                <w:sz w:val="24"/>
                <w:szCs w:val="24"/>
                <w:rtl/>
                <w:lang w:val="en-GB"/>
              </w:rPr>
              <w:t xml:space="preserve"> مجالات السياسة ذات الصلة</w:t>
            </w:r>
          </w:p>
        </w:tc>
      </w:tr>
    </w:tbl>
    <w:p w14:paraId="602433BA" w14:textId="77777777" w:rsidR="00320242" w:rsidRPr="00E2430B" w:rsidRDefault="00320242" w:rsidP="002A3B1F">
      <w:pPr>
        <w:bidi/>
        <w:rPr>
          <w:rFonts w:asciiTheme="majorBidi" w:hAnsiTheme="majorBidi" w:cstheme="majorBidi"/>
          <w:sz w:val="24"/>
        </w:rPr>
      </w:pPr>
    </w:p>
    <w:sectPr w:rsidR="00320242" w:rsidRPr="00E2430B"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EDEE" w14:textId="77777777" w:rsidR="006555A6" w:rsidRDefault="006555A6" w:rsidP="002938F2">
      <w:r>
        <w:separator/>
      </w:r>
    </w:p>
    <w:p w14:paraId="1595BAC0" w14:textId="77777777" w:rsidR="006555A6" w:rsidRDefault="006555A6"/>
  </w:endnote>
  <w:endnote w:type="continuationSeparator" w:id="0">
    <w:p w14:paraId="64FA765C" w14:textId="77777777" w:rsidR="006555A6" w:rsidRDefault="006555A6" w:rsidP="002938F2">
      <w:r>
        <w:continuationSeparator/>
      </w:r>
    </w:p>
    <w:p w14:paraId="779B95CA" w14:textId="77777777" w:rsidR="006555A6" w:rsidRDefault="006555A6"/>
  </w:endnote>
  <w:endnote w:type="continuationNotice" w:id="1">
    <w:p w14:paraId="54B5D785" w14:textId="77777777" w:rsidR="006555A6" w:rsidRDefault="006555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6401" w14:textId="4C3865DC" w:rsidR="00C04344" w:rsidRPr="000B6729" w:rsidRDefault="005F2CBF" w:rsidP="00B21492">
    <w:pPr>
      <w:pStyle w:val="Footer"/>
      <w:bidi/>
      <w:jc w:val="center"/>
      <w:rPr>
        <w:rFonts w:ascii="Arial" w:hAnsi="Arial"/>
        <w:rtl/>
        <w:lang w:val="en-US" w:bidi="ar-EG"/>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2A3B1F">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0BA2" w14:textId="77777777" w:rsidR="006555A6" w:rsidRDefault="006555A6" w:rsidP="002938F2">
      <w:r>
        <w:separator/>
      </w:r>
    </w:p>
  </w:footnote>
  <w:footnote w:type="continuationSeparator" w:id="0">
    <w:p w14:paraId="5D3DAD7B" w14:textId="77777777" w:rsidR="006555A6" w:rsidRDefault="006555A6" w:rsidP="002938F2">
      <w:r>
        <w:continuationSeparator/>
      </w:r>
    </w:p>
    <w:p w14:paraId="2235359B" w14:textId="77777777" w:rsidR="006555A6" w:rsidRDefault="006555A6"/>
  </w:footnote>
  <w:footnote w:type="continuationNotice" w:id="1">
    <w:p w14:paraId="7DFCA7C7" w14:textId="77777777" w:rsidR="006555A6" w:rsidRDefault="006555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899272C"/>
    <w:multiLevelType w:val="hybridMultilevel"/>
    <w:tmpl w:val="83BEA8E4"/>
    <w:lvl w:ilvl="0" w:tplc="E778746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5A8074A"/>
    <w:multiLevelType w:val="multilevel"/>
    <w:tmpl w:val="C38A2FEA"/>
    <w:lvl w:ilvl="0">
      <w:start w:val="14"/>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6"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A5655C6"/>
    <w:multiLevelType w:val="hybridMultilevel"/>
    <w:tmpl w:val="A12A626A"/>
    <w:lvl w:ilvl="0" w:tplc="192AB1B2">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5"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5"/>
  </w:num>
  <w:num w:numId="2">
    <w:abstractNumId w:val="26"/>
  </w:num>
  <w:num w:numId="3">
    <w:abstractNumId w:val="11"/>
  </w:num>
  <w:num w:numId="4">
    <w:abstractNumId w:val="57"/>
  </w:num>
  <w:num w:numId="5">
    <w:abstractNumId w:val="48"/>
  </w:num>
  <w:num w:numId="6">
    <w:abstractNumId w:val="4"/>
  </w:num>
  <w:num w:numId="7">
    <w:abstractNumId w:val="15"/>
  </w:num>
  <w:num w:numId="8">
    <w:abstractNumId w:val="25"/>
  </w:num>
  <w:num w:numId="9">
    <w:abstractNumId w:val="51"/>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40"/>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5"/>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6"/>
  </w:num>
  <w:num w:numId="34">
    <w:abstractNumId w:val="49"/>
  </w:num>
  <w:num w:numId="35">
    <w:abstractNumId w:val="21"/>
  </w:num>
  <w:num w:numId="36">
    <w:abstractNumId w:val="43"/>
  </w:num>
  <w:num w:numId="37">
    <w:abstractNumId w:val="17"/>
  </w:num>
  <w:num w:numId="38">
    <w:abstractNumId w:val="9"/>
  </w:num>
  <w:num w:numId="39">
    <w:abstractNumId w:val="6"/>
  </w:num>
  <w:num w:numId="40">
    <w:abstractNumId w:val="20"/>
  </w:num>
  <w:num w:numId="41">
    <w:abstractNumId w:val="56"/>
  </w:num>
  <w:num w:numId="42">
    <w:abstractNumId w:val="53"/>
  </w:num>
  <w:num w:numId="43">
    <w:abstractNumId w:val="29"/>
  </w:num>
  <w:num w:numId="44">
    <w:abstractNumId w:val="12"/>
  </w:num>
  <w:num w:numId="45">
    <w:abstractNumId w:val="54"/>
  </w:num>
  <w:num w:numId="46">
    <w:abstractNumId w:val="5"/>
  </w:num>
  <w:num w:numId="47">
    <w:abstractNumId w:val="37"/>
  </w:num>
  <w:num w:numId="48">
    <w:abstractNumId w:val="58"/>
  </w:num>
  <w:num w:numId="49">
    <w:abstractNumId w:val="32"/>
  </w:num>
  <w:num w:numId="50">
    <w:abstractNumId w:val="30"/>
  </w:num>
  <w:num w:numId="51">
    <w:abstractNumId w:val="27"/>
  </w:num>
  <w:num w:numId="52">
    <w:abstractNumId w:val="39"/>
  </w:num>
  <w:num w:numId="53">
    <w:abstractNumId w:val="14"/>
  </w:num>
  <w:num w:numId="54">
    <w:abstractNumId w:val="1"/>
  </w:num>
  <w:num w:numId="55">
    <w:abstractNumId w:val="34"/>
  </w:num>
  <w:num w:numId="56">
    <w:abstractNumId w:val="42"/>
  </w:num>
  <w:num w:numId="57">
    <w:abstractNumId w:val="0"/>
  </w:num>
  <w:num w:numId="58">
    <w:abstractNumId w:val="3"/>
  </w:num>
  <w:num w:numId="59">
    <w:abstractNumId w:val="46"/>
  </w:num>
  <w:num w:numId="60">
    <w:abstractNumId w:val="2"/>
  </w:num>
  <w:num w:numId="61">
    <w:abstractNumId w:val="31"/>
  </w:num>
  <w:num w:numId="62">
    <w:abstractNumId w:val="22"/>
  </w:num>
  <w:num w:numId="63">
    <w:abstractNumId w:val="50"/>
  </w:num>
  <w:num w:numId="64">
    <w:abstractNumId w:val="18"/>
  </w:num>
  <w:num w:numId="65">
    <w:abstractNumId w:val="24"/>
  </w:num>
  <w:num w:numId="66">
    <w:abstractNumId w:val="47"/>
  </w:num>
  <w:num w:numId="67">
    <w:abstractNumId w:val="38"/>
  </w:num>
  <w:num w:numId="68">
    <w:abstractNumId w:val="13"/>
  </w:num>
  <w:num w:numId="69">
    <w:abstractNumId w:val="44"/>
  </w:num>
  <w:num w:numId="70">
    <w:abstractNumId w:val="33"/>
  </w:num>
  <w:num w:numId="71">
    <w:abstractNumId w:val="28"/>
  </w:num>
  <w:num w:numId="72">
    <w:abstractNumId w:val="52"/>
  </w:num>
  <w:num w:numId="73">
    <w:abstractNumId w:val="7"/>
  </w:num>
  <w:num w:numId="74">
    <w:abstractNumId w:val="36"/>
  </w:num>
  <w:num w:numId="75">
    <w:abstractNumId w:val="35"/>
  </w:num>
  <w:num w:numId="76">
    <w:abstractNumId w:val="19"/>
  </w:num>
  <w:num w:numId="77">
    <w:abstractNumId w:val="4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72"/>
    <w:rsid w:val="000016A4"/>
    <w:rsid w:val="000019DB"/>
    <w:rsid w:val="000047CC"/>
    <w:rsid w:val="00005BA5"/>
    <w:rsid w:val="00005BFA"/>
    <w:rsid w:val="00006F66"/>
    <w:rsid w:val="00010A9B"/>
    <w:rsid w:val="00010E2D"/>
    <w:rsid w:val="000120FD"/>
    <w:rsid w:val="00013A65"/>
    <w:rsid w:val="0001506E"/>
    <w:rsid w:val="00015B9D"/>
    <w:rsid w:val="0001601A"/>
    <w:rsid w:val="00021831"/>
    <w:rsid w:val="00022C19"/>
    <w:rsid w:val="0002664A"/>
    <w:rsid w:val="00031A37"/>
    <w:rsid w:val="00036843"/>
    <w:rsid w:val="00045E38"/>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359"/>
    <w:rsid w:val="000A34CE"/>
    <w:rsid w:val="000B6729"/>
    <w:rsid w:val="000C03BF"/>
    <w:rsid w:val="000C15BD"/>
    <w:rsid w:val="000C5A25"/>
    <w:rsid w:val="000C65E4"/>
    <w:rsid w:val="000C7EE0"/>
    <w:rsid w:val="000D04E2"/>
    <w:rsid w:val="000D1EBC"/>
    <w:rsid w:val="000D260B"/>
    <w:rsid w:val="000D345F"/>
    <w:rsid w:val="000D7375"/>
    <w:rsid w:val="000E2EE7"/>
    <w:rsid w:val="000F25BA"/>
    <w:rsid w:val="000F2B3F"/>
    <w:rsid w:val="000F44A6"/>
    <w:rsid w:val="000F644E"/>
    <w:rsid w:val="000F7E6F"/>
    <w:rsid w:val="00106B72"/>
    <w:rsid w:val="00106D19"/>
    <w:rsid w:val="00106E4C"/>
    <w:rsid w:val="0011334A"/>
    <w:rsid w:val="00115830"/>
    <w:rsid w:val="00116489"/>
    <w:rsid w:val="0011750D"/>
    <w:rsid w:val="00121B41"/>
    <w:rsid w:val="001227F6"/>
    <w:rsid w:val="001301DF"/>
    <w:rsid w:val="00132ECD"/>
    <w:rsid w:val="00136565"/>
    <w:rsid w:val="001412DE"/>
    <w:rsid w:val="00142D78"/>
    <w:rsid w:val="00144A4D"/>
    <w:rsid w:val="00146BE9"/>
    <w:rsid w:val="00151351"/>
    <w:rsid w:val="00156788"/>
    <w:rsid w:val="001609A1"/>
    <w:rsid w:val="00162554"/>
    <w:rsid w:val="00163F68"/>
    <w:rsid w:val="00165436"/>
    <w:rsid w:val="00173B50"/>
    <w:rsid w:val="00173E0E"/>
    <w:rsid w:val="00174B39"/>
    <w:rsid w:val="00183F6C"/>
    <w:rsid w:val="00194802"/>
    <w:rsid w:val="00194AEB"/>
    <w:rsid w:val="001A303E"/>
    <w:rsid w:val="001A431C"/>
    <w:rsid w:val="001A5519"/>
    <w:rsid w:val="001A7C3A"/>
    <w:rsid w:val="001B5C26"/>
    <w:rsid w:val="001C03C3"/>
    <w:rsid w:val="001C08BC"/>
    <w:rsid w:val="001C56BA"/>
    <w:rsid w:val="001C6D7D"/>
    <w:rsid w:val="001D00B5"/>
    <w:rsid w:val="001D3B29"/>
    <w:rsid w:val="001D59C8"/>
    <w:rsid w:val="001E4EEB"/>
    <w:rsid w:val="001E6026"/>
    <w:rsid w:val="001F08B3"/>
    <w:rsid w:val="001F3696"/>
    <w:rsid w:val="001F37CA"/>
    <w:rsid w:val="0020163D"/>
    <w:rsid w:val="00203AD7"/>
    <w:rsid w:val="002042CC"/>
    <w:rsid w:val="00204B37"/>
    <w:rsid w:val="00205048"/>
    <w:rsid w:val="002074D6"/>
    <w:rsid w:val="00210CBC"/>
    <w:rsid w:val="002119C5"/>
    <w:rsid w:val="00222AF2"/>
    <w:rsid w:val="00223C3B"/>
    <w:rsid w:val="00224346"/>
    <w:rsid w:val="0022597C"/>
    <w:rsid w:val="00226582"/>
    <w:rsid w:val="00230F77"/>
    <w:rsid w:val="00232E4E"/>
    <w:rsid w:val="00234AE4"/>
    <w:rsid w:val="00237935"/>
    <w:rsid w:val="00237E43"/>
    <w:rsid w:val="00241B54"/>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A3B1F"/>
    <w:rsid w:val="002B43D6"/>
    <w:rsid w:val="002B664C"/>
    <w:rsid w:val="002B6B98"/>
    <w:rsid w:val="002C28BA"/>
    <w:rsid w:val="002C2EC7"/>
    <w:rsid w:val="002C3B8F"/>
    <w:rsid w:val="002C444C"/>
    <w:rsid w:val="002C5021"/>
    <w:rsid w:val="002C5280"/>
    <w:rsid w:val="002C5C29"/>
    <w:rsid w:val="002D396D"/>
    <w:rsid w:val="002D71D4"/>
    <w:rsid w:val="002E113D"/>
    <w:rsid w:val="002E5A67"/>
    <w:rsid w:val="002F17E1"/>
    <w:rsid w:val="003043A9"/>
    <w:rsid w:val="0030454E"/>
    <w:rsid w:val="00320242"/>
    <w:rsid w:val="00322A3A"/>
    <w:rsid w:val="00324A32"/>
    <w:rsid w:val="00325D6E"/>
    <w:rsid w:val="00334977"/>
    <w:rsid w:val="00337194"/>
    <w:rsid w:val="00342EE8"/>
    <w:rsid w:val="0034425C"/>
    <w:rsid w:val="00344D78"/>
    <w:rsid w:val="00346517"/>
    <w:rsid w:val="00351CCB"/>
    <w:rsid w:val="0035648A"/>
    <w:rsid w:val="00362B41"/>
    <w:rsid w:val="00363995"/>
    <w:rsid w:val="00364E5E"/>
    <w:rsid w:val="00370E9B"/>
    <w:rsid w:val="00374D86"/>
    <w:rsid w:val="00377E4B"/>
    <w:rsid w:val="00383BA9"/>
    <w:rsid w:val="003845B0"/>
    <w:rsid w:val="00385B34"/>
    <w:rsid w:val="00386C08"/>
    <w:rsid w:val="00387D88"/>
    <w:rsid w:val="00390849"/>
    <w:rsid w:val="003938AB"/>
    <w:rsid w:val="0039446E"/>
    <w:rsid w:val="00395F7F"/>
    <w:rsid w:val="003A260A"/>
    <w:rsid w:val="003A2BC4"/>
    <w:rsid w:val="003A3A33"/>
    <w:rsid w:val="003A7DE4"/>
    <w:rsid w:val="003B31BE"/>
    <w:rsid w:val="003B504D"/>
    <w:rsid w:val="003C7065"/>
    <w:rsid w:val="003D2E0D"/>
    <w:rsid w:val="003D5113"/>
    <w:rsid w:val="003D5BFC"/>
    <w:rsid w:val="003D6E10"/>
    <w:rsid w:val="003E0C0F"/>
    <w:rsid w:val="003E0E28"/>
    <w:rsid w:val="003E19D5"/>
    <w:rsid w:val="003E4C0A"/>
    <w:rsid w:val="003E76A8"/>
    <w:rsid w:val="003F5B90"/>
    <w:rsid w:val="00404856"/>
    <w:rsid w:val="00406ED7"/>
    <w:rsid w:val="004108B6"/>
    <w:rsid w:val="0041110F"/>
    <w:rsid w:val="0041300C"/>
    <w:rsid w:val="00414B68"/>
    <w:rsid w:val="00430ED2"/>
    <w:rsid w:val="00434773"/>
    <w:rsid w:val="004367F5"/>
    <w:rsid w:val="004404D5"/>
    <w:rsid w:val="004458C9"/>
    <w:rsid w:val="00447C66"/>
    <w:rsid w:val="004518A7"/>
    <w:rsid w:val="00462F38"/>
    <w:rsid w:val="00471B34"/>
    <w:rsid w:val="00474AFE"/>
    <w:rsid w:val="00477E66"/>
    <w:rsid w:val="00480809"/>
    <w:rsid w:val="004831C7"/>
    <w:rsid w:val="00486A5E"/>
    <w:rsid w:val="00493F92"/>
    <w:rsid w:val="00495E20"/>
    <w:rsid w:val="004A0C2B"/>
    <w:rsid w:val="004A28F1"/>
    <w:rsid w:val="004A610E"/>
    <w:rsid w:val="004C20E2"/>
    <w:rsid w:val="004E056C"/>
    <w:rsid w:val="004E2817"/>
    <w:rsid w:val="004E2AE8"/>
    <w:rsid w:val="004E418A"/>
    <w:rsid w:val="005016FB"/>
    <w:rsid w:val="00504256"/>
    <w:rsid w:val="00505A43"/>
    <w:rsid w:val="00511D17"/>
    <w:rsid w:val="005157E2"/>
    <w:rsid w:val="0051699F"/>
    <w:rsid w:val="00516DE3"/>
    <w:rsid w:val="00524883"/>
    <w:rsid w:val="005300BF"/>
    <w:rsid w:val="00532631"/>
    <w:rsid w:val="005414A1"/>
    <w:rsid w:val="005416F2"/>
    <w:rsid w:val="0054175C"/>
    <w:rsid w:val="0054456B"/>
    <w:rsid w:val="005473CF"/>
    <w:rsid w:val="005477A0"/>
    <w:rsid w:val="00547C0B"/>
    <w:rsid w:val="00570355"/>
    <w:rsid w:val="005713A9"/>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5F2CBF"/>
    <w:rsid w:val="005F4473"/>
    <w:rsid w:val="00601DD6"/>
    <w:rsid w:val="00602CC7"/>
    <w:rsid w:val="006032AE"/>
    <w:rsid w:val="00603F71"/>
    <w:rsid w:val="00605202"/>
    <w:rsid w:val="00621092"/>
    <w:rsid w:val="00621208"/>
    <w:rsid w:val="00632B30"/>
    <w:rsid w:val="006340A1"/>
    <w:rsid w:val="00636760"/>
    <w:rsid w:val="0063771A"/>
    <w:rsid w:val="00644B92"/>
    <w:rsid w:val="00645B77"/>
    <w:rsid w:val="0065099D"/>
    <w:rsid w:val="006515C9"/>
    <w:rsid w:val="00651944"/>
    <w:rsid w:val="00652318"/>
    <w:rsid w:val="00652484"/>
    <w:rsid w:val="00653314"/>
    <w:rsid w:val="006555A6"/>
    <w:rsid w:val="00664A0F"/>
    <w:rsid w:val="0067005F"/>
    <w:rsid w:val="0067015A"/>
    <w:rsid w:val="00671E5C"/>
    <w:rsid w:val="00672C92"/>
    <w:rsid w:val="006736EC"/>
    <w:rsid w:val="00673D90"/>
    <w:rsid w:val="00676C1E"/>
    <w:rsid w:val="0068165B"/>
    <w:rsid w:val="00686D60"/>
    <w:rsid w:val="00691869"/>
    <w:rsid w:val="006A0D86"/>
    <w:rsid w:val="006A49AE"/>
    <w:rsid w:val="006A56C0"/>
    <w:rsid w:val="006C0911"/>
    <w:rsid w:val="006C737A"/>
    <w:rsid w:val="006D46FB"/>
    <w:rsid w:val="006D5C89"/>
    <w:rsid w:val="006E29C0"/>
    <w:rsid w:val="006E752A"/>
    <w:rsid w:val="006E7CF0"/>
    <w:rsid w:val="006F3E83"/>
    <w:rsid w:val="006F4B83"/>
    <w:rsid w:val="006F5897"/>
    <w:rsid w:val="006F7F47"/>
    <w:rsid w:val="00701458"/>
    <w:rsid w:val="00701D7E"/>
    <w:rsid w:val="00704766"/>
    <w:rsid w:val="007119B8"/>
    <w:rsid w:val="0072415E"/>
    <w:rsid w:val="007247D7"/>
    <w:rsid w:val="007250E3"/>
    <w:rsid w:val="0072641C"/>
    <w:rsid w:val="00727582"/>
    <w:rsid w:val="007277C8"/>
    <w:rsid w:val="00732057"/>
    <w:rsid w:val="007368A2"/>
    <w:rsid w:val="0074181D"/>
    <w:rsid w:val="007418AE"/>
    <w:rsid w:val="00742DD1"/>
    <w:rsid w:val="0074360F"/>
    <w:rsid w:val="00746204"/>
    <w:rsid w:val="00747715"/>
    <w:rsid w:val="00747F86"/>
    <w:rsid w:val="00750138"/>
    <w:rsid w:val="00753DA3"/>
    <w:rsid w:val="00757225"/>
    <w:rsid w:val="007610D3"/>
    <w:rsid w:val="007629DB"/>
    <w:rsid w:val="00764F50"/>
    <w:rsid w:val="00767871"/>
    <w:rsid w:val="0077014E"/>
    <w:rsid w:val="00770A92"/>
    <w:rsid w:val="00774D9C"/>
    <w:rsid w:val="00774FA2"/>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1F94"/>
    <w:rsid w:val="007E4E37"/>
    <w:rsid w:val="007F4B07"/>
    <w:rsid w:val="00801DD0"/>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1466"/>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690A"/>
    <w:rsid w:val="008C7F60"/>
    <w:rsid w:val="008D1475"/>
    <w:rsid w:val="008D3BF7"/>
    <w:rsid w:val="008E0DAA"/>
    <w:rsid w:val="008E194D"/>
    <w:rsid w:val="008E22F2"/>
    <w:rsid w:val="008F16C6"/>
    <w:rsid w:val="008F2A76"/>
    <w:rsid w:val="008F34A1"/>
    <w:rsid w:val="008F4F13"/>
    <w:rsid w:val="008F5052"/>
    <w:rsid w:val="008F5193"/>
    <w:rsid w:val="0090187D"/>
    <w:rsid w:val="00903C3D"/>
    <w:rsid w:val="009044C3"/>
    <w:rsid w:val="0090710F"/>
    <w:rsid w:val="00910B12"/>
    <w:rsid w:val="00911179"/>
    <w:rsid w:val="009121CE"/>
    <w:rsid w:val="009127D8"/>
    <w:rsid w:val="00916F7B"/>
    <w:rsid w:val="00917A4D"/>
    <w:rsid w:val="009200EF"/>
    <w:rsid w:val="00921F65"/>
    <w:rsid w:val="0092574C"/>
    <w:rsid w:val="009342E8"/>
    <w:rsid w:val="009357B4"/>
    <w:rsid w:val="00943803"/>
    <w:rsid w:val="00946D71"/>
    <w:rsid w:val="00951FC2"/>
    <w:rsid w:val="009577E1"/>
    <w:rsid w:val="009611A5"/>
    <w:rsid w:val="00971CA1"/>
    <w:rsid w:val="0097349C"/>
    <w:rsid w:val="0098033E"/>
    <w:rsid w:val="009814C2"/>
    <w:rsid w:val="00982FFD"/>
    <w:rsid w:val="00985265"/>
    <w:rsid w:val="00985856"/>
    <w:rsid w:val="009A3FE7"/>
    <w:rsid w:val="009A4969"/>
    <w:rsid w:val="009B0DEA"/>
    <w:rsid w:val="009B1466"/>
    <w:rsid w:val="009B6973"/>
    <w:rsid w:val="009C0510"/>
    <w:rsid w:val="009C3663"/>
    <w:rsid w:val="009D098F"/>
    <w:rsid w:val="009D4547"/>
    <w:rsid w:val="009D5A49"/>
    <w:rsid w:val="009D5E38"/>
    <w:rsid w:val="009D602F"/>
    <w:rsid w:val="009D68D0"/>
    <w:rsid w:val="009D699E"/>
    <w:rsid w:val="009E17AF"/>
    <w:rsid w:val="009F0D42"/>
    <w:rsid w:val="009F1B82"/>
    <w:rsid w:val="009F2F1C"/>
    <w:rsid w:val="009F34A4"/>
    <w:rsid w:val="009F3988"/>
    <w:rsid w:val="00A003D0"/>
    <w:rsid w:val="00A073FD"/>
    <w:rsid w:val="00A10DDC"/>
    <w:rsid w:val="00A150C7"/>
    <w:rsid w:val="00A22177"/>
    <w:rsid w:val="00A2307A"/>
    <w:rsid w:val="00A249FC"/>
    <w:rsid w:val="00A31155"/>
    <w:rsid w:val="00A462C6"/>
    <w:rsid w:val="00A519A2"/>
    <w:rsid w:val="00A51BDC"/>
    <w:rsid w:val="00A535B7"/>
    <w:rsid w:val="00A5709F"/>
    <w:rsid w:val="00A57DAD"/>
    <w:rsid w:val="00A616C4"/>
    <w:rsid w:val="00A61F20"/>
    <w:rsid w:val="00A64796"/>
    <w:rsid w:val="00A66CD4"/>
    <w:rsid w:val="00A70883"/>
    <w:rsid w:val="00A7441B"/>
    <w:rsid w:val="00A77AEB"/>
    <w:rsid w:val="00A80549"/>
    <w:rsid w:val="00A81F0A"/>
    <w:rsid w:val="00A85C7A"/>
    <w:rsid w:val="00A86042"/>
    <w:rsid w:val="00AA36F9"/>
    <w:rsid w:val="00AA444A"/>
    <w:rsid w:val="00AB1528"/>
    <w:rsid w:val="00AB3515"/>
    <w:rsid w:val="00AD6BD4"/>
    <w:rsid w:val="00AE1B18"/>
    <w:rsid w:val="00AE1D83"/>
    <w:rsid w:val="00AE2DFB"/>
    <w:rsid w:val="00AE3061"/>
    <w:rsid w:val="00AF15BA"/>
    <w:rsid w:val="00AF1C32"/>
    <w:rsid w:val="00AF65C6"/>
    <w:rsid w:val="00AF7ED1"/>
    <w:rsid w:val="00B11AE3"/>
    <w:rsid w:val="00B121A6"/>
    <w:rsid w:val="00B16E26"/>
    <w:rsid w:val="00B17FB1"/>
    <w:rsid w:val="00B21492"/>
    <w:rsid w:val="00B300B8"/>
    <w:rsid w:val="00B32A28"/>
    <w:rsid w:val="00B33904"/>
    <w:rsid w:val="00B3751E"/>
    <w:rsid w:val="00B427FE"/>
    <w:rsid w:val="00B4441F"/>
    <w:rsid w:val="00B51651"/>
    <w:rsid w:val="00B51737"/>
    <w:rsid w:val="00B6102A"/>
    <w:rsid w:val="00B6167A"/>
    <w:rsid w:val="00B62ED0"/>
    <w:rsid w:val="00B64196"/>
    <w:rsid w:val="00B66A7A"/>
    <w:rsid w:val="00B70266"/>
    <w:rsid w:val="00B73173"/>
    <w:rsid w:val="00B74304"/>
    <w:rsid w:val="00B82F05"/>
    <w:rsid w:val="00B87142"/>
    <w:rsid w:val="00B8750E"/>
    <w:rsid w:val="00B92374"/>
    <w:rsid w:val="00B924C8"/>
    <w:rsid w:val="00B95E33"/>
    <w:rsid w:val="00B973B5"/>
    <w:rsid w:val="00B97FD1"/>
    <w:rsid w:val="00BA6367"/>
    <w:rsid w:val="00BB1062"/>
    <w:rsid w:val="00BB28EF"/>
    <w:rsid w:val="00BB5DEE"/>
    <w:rsid w:val="00BB6502"/>
    <w:rsid w:val="00BC002E"/>
    <w:rsid w:val="00BC393F"/>
    <w:rsid w:val="00BC75FC"/>
    <w:rsid w:val="00BD59BD"/>
    <w:rsid w:val="00BE225F"/>
    <w:rsid w:val="00BE5B3F"/>
    <w:rsid w:val="00BE664D"/>
    <w:rsid w:val="00BF351F"/>
    <w:rsid w:val="00BF3F50"/>
    <w:rsid w:val="00BF6F37"/>
    <w:rsid w:val="00C02924"/>
    <w:rsid w:val="00C04344"/>
    <w:rsid w:val="00C17FE4"/>
    <w:rsid w:val="00C21897"/>
    <w:rsid w:val="00C276EE"/>
    <w:rsid w:val="00C43146"/>
    <w:rsid w:val="00C43575"/>
    <w:rsid w:val="00C43757"/>
    <w:rsid w:val="00C43BCE"/>
    <w:rsid w:val="00C47CF1"/>
    <w:rsid w:val="00C52006"/>
    <w:rsid w:val="00C53AB4"/>
    <w:rsid w:val="00C542F1"/>
    <w:rsid w:val="00C572B3"/>
    <w:rsid w:val="00C57CA1"/>
    <w:rsid w:val="00C62D72"/>
    <w:rsid w:val="00C6300B"/>
    <w:rsid w:val="00C6426B"/>
    <w:rsid w:val="00C6478B"/>
    <w:rsid w:val="00C70AD1"/>
    <w:rsid w:val="00C87194"/>
    <w:rsid w:val="00C90629"/>
    <w:rsid w:val="00C90C51"/>
    <w:rsid w:val="00C97763"/>
    <w:rsid w:val="00CA3ED6"/>
    <w:rsid w:val="00CA7CF4"/>
    <w:rsid w:val="00CB0316"/>
    <w:rsid w:val="00CB0F37"/>
    <w:rsid w:val="00CB1135"/>
    <w:rsid w:val="00CB4D57"/>
    <w:rsid w:val="00CB590B"/>
    <w:rsid w:val="00CC02C5"/>
    <w:rsid w:val="00CC2BC6"/>
    <w:rsid w:val="00CC3AAB"/>
    <w:rsid w:val="00CD324E"/>
    <w:rsid w:val="00CD4A28"/>
    <w:rsid w:val="00CD4F58"/>
    <w:rsid w:val="00CD54BD"/>
    <w:rsid w:val="00CD6C36"/>
    <w:rsid w:val="00CE2586"/>
    <w:rsid w:val="00CF05D7"/>
    <w:rsid w:val="00CF20EE"/>
    <w:rsid w:val="00CF34A6"/>
    <w:rsid w:val="00CF3F93"/>
    <w:rsid w:val="00D020F3"/>
    <w:rsid w:val="00D04515"/>
    <w:rsid w:val="00D065AD"/>
    <w:rsid w:val="00D22831"/>
    <w:rsid w:val="00D22DEA"/>
    <w:rsid w:val="00D404B7"/>
    <w:rsid w:val="00D44509"/>
    <w:rsid w:val="00D448CB"/>
    <w:rsid w:val="00D47226"/>
    <w:rsid w:val="00D47ED5"/>
    <w:rsid w:val="00D5463F"/>
    <w:rsid w:val="00D61779"/>
    <w:rsid w:val="00D63B4C"/>
    <w:rsid w:val="00D66D3C"/>
    <w:rsid w:val="00D70201"/>
    <w:rsid w:val="00D73DB6"/>
    <w:rsid w:val="00D809E5"/>
    <w:rsid w:val="00D81948"/>
    <w:rsid w:val="00D90819"/>
    <w:rsid w:val="00D921D6"/>
    <w:rsid w:val="00D93291"/>
    <w:rsid w:val="00D938C4"/>
    <w:rsid w:val="00D93F46"/>
    <w:rsid w:val="00D9501F"/>
    <w:rsid w:val="00D965D2"/>
    <w:rsid w:val="00DA482C"/>
    <w:rsid w:val="00DB50D5"/>
    <w:rsid w:val="00DC1805"/>
    <w:rsid w:val="00DC5537"/>
    <w:rsid w:val="00DD11EE"/>
    <w:rsid w:val="00DD52A0"/>
    <w:rsid w:val="00DE5590"/>
    <w:rsid w:val="00DE6364"/>
    <w:rsid w:val="00DF1D9E"/>
    <w:rsid w:val="00DF3DA3"/>
    <w:rsid w:val="00DF5DA4"/>
    <w:rsid w:val="00E06492"/>
    <w:rsid w:val="00E065CE"/>
    <w:rsid w:val="00E06A00"/>
    <w:rsid w:val="00E06B15"/>
    <w:rsid w:val="00E13E03"/>
    <w:rsid w:val="00E22B99"/>
    <w:rsid w:val="00E2430B"/>
    <w:rsid w:val="00E24A9D"/>
    <w:rsid w:val="00E258D9"/>
    <w:rsid w:val="00E325BA"/>
    <w:rsid w:val="00E34628"/>
    <w:rsid w:val="00E35B8C"/>
    <w:rsid w:val="00E439CA"/>
    <w:rsid w:val="00E46DDB"/>
    <w:rsid w:val="00E473F3"/>
    <w:rsid w:val="00E5219B"/>
    <w:rsid w:val="00E53E4D"/>
    <w:rsid w:val="00E56905"/>
    <w:rsid w:val="00E64BE4"/>
    <w:rsid w:val="00E675BA"/>
    <w:rsid w:val="00E719FF"/>
    <w:rsid w:val="00E85565"/>
    <w:rsid w:val="00E865B2"/>
    <w:rsid w:val="00E87F91"/>
    <w:rsid w:val="00E93A26"/>
    <w:rsid w:val="00E9431D"/>
    <w:rsid w:val="00E94BC6"/>
    <w:rsid w:val="00EA0563"/>
    <w:rsid w:val="00EA198F"/>
    <w:rsid w:val="00EA2EA1"/>
    <w:rsid w:val="00EA3CB9"/>
    <w:rsid w:val="00EA4A31"/>
    <w:rsid w:val="00EA59EB"/>
    <w:rsid w:val="00EA67F3"/>
    <w:rsid w:val="00EB48F8"/>
    <w:rsid w:val="00EB4DDD"/>
    <w:rsid w:val="00EC6569"/>
    <w:rsid w:val="00ED0C60"/>
    <w:rsid w:val="00ED3D26"/>
    <w:rsid w:val="00ED415B"/>
    <w:rsid w:val="00ED5218"/>
    <w:rsid w:val="00EE1D9D"/>
    <w:rsid w:val="00EF0BCB"/>
    <w:rsid w:val="00EF0E74"/>
    <w:rsid w:val="00EF2549"/>
    <w:rsid w:val="00EF29F4"/>
    <w:rsid w:val="00F00E8A"/>
    <w:rsid w:val="00F03C38"/>
    <w:rsid w:val="00F16242"/>
    <w:rsid w:val="00F17AA0"/>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34A7"/>
    <w:rsid w:val="00F941F0"/>
    <w:rsid w:val="00F97FF5"/>
    <w:rsid w:val="00FA7CE6"/>
    <w:rsid w:val="00FB1313"/>
    <w:rsid w:val="00FB2ABF"/>
    <w:rsid w:val="00FB6121"/>
    <w:rsid w:val="00FC0E62"/>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89BEC6"/>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93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3728">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7809893">
      <w:bodyDiv w:val="1"/>
      <w:marLeft w:val="0"/>
      <w:marRight w:val="0"/>
      <w:marTop w:val="0"/>
      <w:marBottom w:val="0"/>
      <w:divBdr>
        <w:top w:val="none" w:sz="0" w:space="0" w:color="auto"/>
        <w:left w:val="none" w:sz="0" w:space="0" w:color="auto"/>
        <w:bottom w:val="none" w:sz="0" w:space="0" w:color="auto"/>
        <w:right w:val="none" w:sz="0" w:space="0" w:color="auto"/>
      </w:divBdr>
    </w:div>
    <w:div w:id="1939673794">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61FCB-BF8E-4018-9ED3-F596CA1A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2022-04-06T09:51:00Z</dcterms:created>
  <dcterms:modified xsi:type="dcterms:W3CDTF">2022-04-06T09:51:00Z</dcterms:modified>
</cp:coreProperties>
</file>