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B849" w14:textId="77777777" w:rsidR="00925D92" w:rsidRPr="00255F86" w:rsidRDefault="00925D92" w:rsidP="00DF107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5F86">
        <w:rPr>
          <w:rFonts w:asciiTheme="majorBidi" w:hAnsiTheme="majorBidi" w:cstheme="majorBidi"/>
          <w:b/>
          <w:bCs/>
          <w:sz w:val="28"/>
          <w:szCs w:val="28"/>
          <w:rtl/>
        </w:rPr>
        <w:t>اللمحة العامة والأسس المنطقية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6582"/>
        <w:gridCol w:w="1533"/>
      </w:tblGrid>
      <w:tr w:rsidR="007A0AE7" w:rsidRPr="005C0E8C" w14:paraId="43104B8E" w14:textId="77777777" w:rsidTr="00925D92">
        <w:trPr>
          <w:cantSplit/>
        </w:trPr>
        <w:tc>
          <w:tcPr>
            <w:tcW w:w="786" w:type="pct"/>
            <w:shd w:val="clear" w:color="auto" w:fill="auto"/>
          </w:tcPr>
          <w:p w14:paraId="4B141F59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rtl/>
                <w:lang w:bidi="ar-EG"/>
              </w:rPr>
              <w:t>المؤشر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5E036396" w14:textId="51570A05" w:rsidR="007A0AE7" w:rsidRPr="00D56131" w:rsidRDefault="005C0E8C" w:rsidP="00DF107C">
            <w:pPr>
              <w:pStyle w:val="ListParagraph"/>
              <w:keepLines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مدى الاعتراف بأهميّة التراث الثقافي غير المادي وصونه في المجتمع، سواء من جانب الجماعات أو المجموعات أو الأفراد المعنيين والمجتمع ككلّ</w:t>
            </w:r>
          </w:p>
        </w:tc>
      </w:tr>
      <w:tr w:rsidR="007A0AE7" w:rsidRPr="005C0E8C" w14:paraId="0FF38834" w14:textId="77777777" w:rsidTr="00925D92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632F6D29" w14:textId="77777777" w:rsidR="00145ADA" w:rsidRPr="00D56131" w:rsidRDefault="00145ADA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rtl/>
              </w:rPr>
              <w:t>عوامل التقييم الشامل</w:t>
            </w:r>
          </w:p>
          <w:p w14:paraId="2D7BB149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7D4D0CDD" w14:textId="3E994081" w:rsidR="007A0AE7" w:rsidRPr="00D56131" w:rsidRDefault="00925D92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sz w:val="24"/>
                <w:rtl/>
              </w:rPr>
              <w:t xml:space="preserve">يتم تقييم هذا المؤشر على أساس </w:t>
            </w:r>
            <w:r w:rsidR="00244055" w:rsidRPr="00D56131">
              <w:rPr>
                <w:rFonts w:asciiTheme="majorBidi" w:hAnsiTheme="majorBidi" w:cstheme="majorBidi" w:hint="cs"/>
                <w:sz w:val="24"/>
                <w:rtl/>
              </w:rPr>
              <w:t xml:space="preserve">ثلاثة عوامل </w:t>
            </w:r>
            <w:r w:rsidRPr="00D56131">
              <w:rPr>
                <w:rFonts w:asciiTheme="majorBidi" w:hAnsiTheme="majorBidi" w:cstheme="majorBidi"/>
                <w:sz w:val="24"/>
                <w:rtl/>
              </w:rPr>
              <w:t xml:space="preserve">على الصعيد القطري، </w:t>
            </w:r>
            <w:r w:rsidR="00244055" w:rsidRPr="00D56131">
              <w:rPr>
                <w:rFonts w:asciiTheme="majorBidi" w:hAnsiTheme="majorBidi" w:cstheme="majorBidi" w:hint="cs"/>
                <w:sz w:val="24"/>
                <w:rtl/>
              </w:rPr>
              <w:t>ترصدهما</w:t>
            </w:r>
            <w:r w:rsidRPr="00D56131">
              <w:rPr>
                <w:rFonts w:asciiTheme="majorBidi" w:hAnsiTheme="majorBidi" w:cstheme="majorBidi"/>
                <w:sz w:val="24"/>
                <w:rtl/>
              </w:rPr>
              <w:t xml:space="preserve"> كل دولة طرف و</w:t>
            </w:r>
            <w:r w:rsidR="009907A2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ت</w:t>
            </w:r>
            <w:r w:rsidR="006A0D72">
              <w:rPr>
                <w:rFonts w:asciiTheme="majorBidi" w:hAnsiTheme="majorBidi" w:cstheme="majorBidi" w:hint="cs"/>
                <w:sz w:val="24"/>
                <w:rtl/>
                <w:lang w:bidi="ar-EG"/>
              </w:rPr>
              <w:t xml:space="preserve">عد </w:t>
            </w:r>
            <w:proofErr w:type="gramStart"/>
            <w:r w:rsidR="006A0D72">
              <w:rPr>
                <w:rFonts w:asciiTheme="majorBidi" w:hAnsiTheme="majorBidi" w:cstheme="majorBidi" w:hint="cs"/>
                <w:sz w:val="24"/>
                <w:rtl/>
                <w:lang w:bidi="ar-EG"/>
              </w:rPr>
              <w:t xml:space="preserve">التقرير </w:t>
            </w:r>
            <w:r w:rsidR="009907A2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عنها</w:t>
            </w:r>
            <w:proofErr w:type="gramEnd"/>
            <w:r w:rsidRPr="00D56131">
              <w:rPr>
                <w:rFonts w:asciiTheme="majorBidi" w:hAnsiTheme="majorBidi" w:cstheme="majorBidi"/>
                <w:sz w:val="24"/>
                <w:rtl/>
              </w:rPr>
              <w:t>:</w:t>
            </w:r>
          </w:p>
        </w:tc>
      </w:tr>
      <w:tr w:rsidR="007A0AE7" w:rsidRPr="005C0E8C" w14:paraId="26162EAF" w14:textId="77777777" w:rsidTr="00925D92">
        <w:trPr>
          <w:cantSplit/>
        </w:trPr>
        <w:tc>
          <w:tcPr>
            <w:tcW w:w="786" w:type="pct"/>
            <w:vMerge/>
            <w:shd w:val="clear" w:color="auto" w:fill="auto"/>
          </w:tcPr>
          <w:p w14:paraId="0CBCE792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460C73C0" w14:textId="026420D9" w:rsidR="007A0AE7" w:rsidRPr="00D56131" w:rsidRDefault="00D33DFB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15-1 استخدام الجماعات والمجموعات والأفراد لتراثهم الثقافي غير المادي لرفاههم، بما في ذلك في سياق برامج التنمية المستدامة.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6C170ED" w14:textId="77777777" w:rsidR="007A0AE7" w:rsidRPr="00D56131" w:rsidRDefault="007A0AE7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</w:p>
        </w:tc>
      </w:tr>
      <w:tr w:rsidR="007A0AE7" w:rsidRPr="005C0E8C" w14:paraId="1E80E3E4" w14:textId="77777777" w:rsidTr="00925D92">
        <w:trPr>
          <w:cantSplit/>
        </w:trPr>
        <w:tc>
          <w:tcPr>
            <w:tcW w:w="786" w:type="pct"/>
            <w:vMerge/>
            <w:shd w:val="clear" w:color="auto" w:fill="auto"/>
          </w:tcPr>
          <w:p w14:paraId="3C09A958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9B27088" w14:textId="42CA9F41" w:rsidR="007A0AE7" w:rsidRPr="00D56131" w:rsidRDefault="00D33DFB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15-2 استخدام الجماعات والمجموعات والأفراد للتراث الثقافي غير المادي في الحوار الرامي إلى تعزيز الاحترام المتبادل وحلّ النزاعات وبناء السلام.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D93E9E6" w14:textId="77777777" w:rsidR="007A0AE7" w:rsidRPr="00D56131" w:rsidRDefault="007A0AE7" w:rsidP="00DF107C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4"/>
              </w:rPr>
            </w:pPr>
          </w:p>
        </w:tc>
      </w:tr>
      <w:tr w:rsidR="007A0AE7" w:rsidRPr="005C0E8C" w14:paraId="2C10C209" w14:textId="77777777" w:rsidTr="00925D92">
        <w:trPr>
          <w:cantSplit/>
        </w:trPr>
        <w:tc>
          <w:tcPr>
            <w:tcW w:w="786" w:type="pct"/>
            <w:vMerge/>
            <w:shd w:val="clear" w:color="auto" w:fill="auto"/>
          </w:tcPr>
          <w:p w14:paraId="51B3524E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6769682E" w14:textId="7E29F59A" w:rsidR="007A0AE7" w:rsidRPr="00D56131" w:rsidRDefault="00D33DFB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15-3 إدراك التدخّلات التنموية لأهمية التراث الثقافي غير المادي في المجتمع كمصدر للهوية والاستمرارية، وكمصدر للمعرفة والمهارات، وتعزيز دوره كمورد لإتاحة التنمية المستدامة.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CB04E02" w14:textId="5D6662FB" w:rsidR="004D07F3" w:rsidRPr="00D56131" w:rsidRDefault="00925D92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ال</w:t>
            </w:r>
            <w:r w:rsidR="004D07F3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توجيه</w:t>
            </w:r>
            <w:r w:rsidR="00993B06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</w:t>
            </w:r>
            <w:r w:rsidR="009907A2" w:rsidRPr="00D56131">
              <w:rPr>
                <w:rFonts w:asciiTheme="majorBidi" w:hAnsiTheme="majorBidi" w:cstheme="majorBidi"/>
                <w:sz w:val="24"/>
                <w:rtl/>
              </w:rPr>
              <w:t>التنفيذي</w:t>
            </w:r>
            <w:r w:rsidR="00D56131">
              <w:rPr>
                <w:rFonts w:asciiTheme="majorBidi" w:hAnsiTheme="majorBidi" w:cstheme="majorBidi" w:hint="cs"/>
                <w:sz w:val="24"/>
                <w:rtl/>
              </w:rPr>
              <w:t xml:space="preserve"> </w:t>
            </w:r>
            <w:r w:rsidR="004D07F3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170</w:t>
            </w:r>
            <w:r w:rsidR="00993B06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، و</w:t>
            </w:r>
            <w:r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ال</w:t>
            </w:r>
            <w:r w:rsidR="004D07F3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توجيه</w:t>
            </w:r>
            <w:r w:rsidR="00993B06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</w:t>
            </w:r>
            <w:r w:rsidR="009907A2" w:rsidRPr="00D56131">
              <w:rPr>
                <w:rFonts w:asciiTheme="majorBidi" w:hAnsiTheme="majorBidi" w:cstheme="majorBidi"/>
                <w:sz w:val="24"/>
                <w:rtl/>
              </w:rPr>
              <w:t>التنفيذي</w:t>
            </w:r>
            <w:r w:rsidR="00D56131">
              <w:rPr>
                <w:rFonts w:asciiTheme="majorBidi" w:hAnsiTheme="majorBidi" w:cstheme="majorBidi" w:hint="cs"/>
                <w:sz w:val="24"/>
                <w:rtl/>
              </w:rPr>
              <w:t xml:space="preserve"> </w:t>
            </w:r>
            <w:r w:rsidR="004D07F3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173</w:t>
            </w:r>
          </w:p>
          <w:p w14:paraId="12ADAE9F" w14:textId="77777777" w:rsidR="004D07F3" w:rsidRPr="00D56131" w:rsidRDefault="004D07F3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</w:p>
        </w:tc>
      </w:tr>
      <w:tr w:rsidR="007A0AE7" w:rsidRPr="005C0E8C" w14:paraId="29DAAC91" w14:textId="77777777" w:rsidTr="00925D92">
        <w:trPr>
          <w:cantSplit/>
        </w:trPr>
        <w:tc>
          <w:tcPr>
            <w:tcW w:w="786" w:type="pct"/>
            <w:shd w:val="clear" w:color="auto" w:fill="auto"/>
          </w:tcPr>
          <w:p w14:paraId="19F0968F" w14:textId="77777777" w:rsidR="004D07F3" w:rsidRPr="00D56131" w:rsidRDefault="004D07F3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rtl/>
              </w:rPr>
              <w:t>العلاقة مع أهداف التنمية المستدامة والمؤشرات الأخرى</w:t>
            </w:r>
          </w:p>
          <w:p w14:paraId="3DCCA3C5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6EB3A2C4" w14:textId="25FEC7C3" w:rsidR="00E83986" w:rsidRPr="00D56131" w:rsidRDefault="00294523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b/>
                <w:bCs/>
                <w:sz w:val="24"/>
                <w:rtl/>
                <w:lang w:bidi="ar-EG"/>
              </w:rPr>
              <w:t xml:space="preserve">أهداف التنمية المستدامة: </w:t>
            </w:r>
            <w:r w:rsidR="0027324D" w:rsidRPr="00D56131">
              <w:rPr>
                <w:rFonts w:asciiTheme="majorBidi" w:hAnsiTheme="majorBidi" w:cstheme="majorBidi" w:hint="cs"/>
                <w:sz w:val="24"/>
                <w:rtl/>
                <w:lang w:bidi="ar-EG"/>
              </w:rPr>
              <w:t>إن</w:t>
            </w:r>
            <w:r w:rsidR="0027324D" w:rsidRPr="00D56131">
              <w:rPr>
                <w:rFonts w:asciiTheme="majorBidi" w:hAnsiTheme="majorBidi" w:cstheme="majorBidi" w:hint="cs"/>
                <w:b/>
                <w:bCs/>
                <w:sz w:val="24"/>
                <w:rtl/>
                <w:lang w:bidi="ar-EG"/>
              </w:rPr>
              <w:t xml:space="preserve"> </w:t>
            </w:r>
            <w:r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اهتمام هذا المؤشر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بالرفاه والتنمية المستدامة </w:t>
            </w:r>
            <w:r w:rsidR="0027324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يكمل </w:t>
            </w:r>
            <w:r w:rsidR="00DB22A9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هدف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التنمية المستدامة </w:t>
            </w:r>
            <w:r w:rsidR="00DB22A9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1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(القضاء على الفقر بجميع أشكاله في كل مكان) و</w:t>
            </w:r>
            <w:r w:rsidR="00F14B6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هدف التنمية المستدامة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3 (</w:t>
            </w:r>
            <w:r w:rsidR="00F14B6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ضمان تمتع الجميع بأنماط عيش صحية وبالرفاهية في جميع الأعمار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). كما تم</w:t>
            </w:r>
            <w:r w:rsidR="00F14B6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تناول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</w:t>
            </w:r>
            <w:r w:rsidR="00CB1516" w:rsidRPr="00D56131">
              <w:rPr>
                <w:rFonts w:asciiTheme="majorBidi" w:hAnsiTheme="majorBidi" w:cstheme="majorBidi" w:hint="cs"/>
                <w:sz w:val="24"/>
                <w:rtl/>
                <w:lang w:bidi="ar-EG"/>
              </w:rPr>
              <w:t>رفاه</w:t>
            </w:r>
            <w:r w:rsidR="0034606E" w:rsidRPr="00D56131">
              <w:rPr>
                <w:rFonts w:asciiTheme="majorBidi" w:hAnsiTheme="majorBidi" w:cstheme="majorBidi" w:hint="cs"/>
                <w:sz w:val="24"/>
                <w:rtl/>
                <w:lang w:bidi="ar-EG"/>
              </w:rPr>
              <w:t xml:space="preserve">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الإنسان فيما يتعلق بالبنية التحتية في الغاية 9</w:t>
            </w:r>
            <w:r w:rsidR="00F14B6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-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1 من </w:t>
            </w:r>
            <w:r w:rsidR="00F14B6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أ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هداف التنمية المستدامة، بينما 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يعد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حل النزاعات وبناء السلام 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من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عناصر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الغاية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16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-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2 من أهداف التنمية المستدامة "تعزيز سيادة القانون.. 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وضمان تكافؤ فرص وصول الجميع إلى العدالة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". مثل جميع المؤشرات، يدعم المؤشر الحالي الغاية 11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-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4 من أهداف التنمية المستدامة 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من خلال تعزيز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"</w:t>
            </w:r>
            <w:r w:rsidR="008754B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الجهود الرامية إلى حماية وصون التراث الثقافي والطبيعي العالمي.</w:t>
            </w:r>
            <w:r w:rsidR="00E83986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>"</w:t>
            </w:r>
          </w:p>
          <w:p w14:paraId="7C78301C" w14:textId="58D72A3F" w:rsidR="007A0AE7" w:rsidRPr="00D56131" w:rsidRDefault="00E83986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bidi="ar-EG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rtl/>
              </w:rPr>
              <w:t xml:space="preserve">العلاقة بالمؤشرات الأخرى: </w:t>
            </w:r>
            <w:r w:rsidR="00CC254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بينما تتناول المؤشرات 11- 14 بيئة السياسة، </w:t>
            </w:r>
            <w:r w:rsidR="0072617B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ينظر </w:t>
            </w:r>
            <w:r w:rsidR="00CC254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المؤشر 15 في كيفية ترجمة تلك السياسات والتدابير القانونية والإدارية </w:t>
            </w:r>
            <w:r w:rsidR="006552BE" w:rsidRPr="00D56131">
              <w:rPr>
                <w:rFonts w:asciiTheme="majorBidi" w:hAnsiTheme="majorBidi" w:cstheme="majorBidi" w:hint="cs"/>
                <w:sz w:val="24"/>
                <w:rtl/>
                <w:lang w:bidi="ar-EG"/>
              </w:rPr>
              <w:t xml:space="preserve">بفعالية </w:t>
            </w:r>
            <w:r w:rsidR="00CC254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إلى </w:t>
            </w:r>
            <w:r w:rsidR="0001365F" w:rsidRPr="00D56131">
              <w:rPr>
                <w:rFonts w:asciiTheme="majorBidi" w:hAnsiTheme="majorBidi" w:cstheme="majorBidi" w:hint="cs"/>
                <w:sz w:val="24"/>
                <w:rtl/>
                <w:lang w:bidi="ar-EG"/>
              </w:rPr>
              <w:t>إجراءات</w:t>
            </w:r>
            <w:r w:rsidR="00CC2544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. </w:t>
            </w:r>
            <w:r w:rsidR="00561C5D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</w:t>
            </w:r>
            <w:r w:rsidR="00294523" w:rsidRPr="00D56131">
              <w:rPr>
                <w:rFonts w:asciiTheme="majorBidi" w:hAnsiTheme="majorBidi" w:cstheme="majorBidi"/>
                <w:sz w:val="24"/>
                <w:rtl/>
                <w:lang w:bidi="ar-EG"/>
              </w:rPr>
              <w:t xml:space="preserve"> </w:t>
            </w:r>
          </w:p>
        </w:tc>
      </w:tr>
      <w:tr w:rsidR="007A0AE7" w:rsidRPr="005C0E8C" w14:paraId="47E63975" w14:textId="77777777" w:rsidTr="00925D92">
        <w:trPr>
          <w:cantSplit/>
        </w:trPr>
        <w:tc>
          <w:tcPr>
            <w:tcW w:w="786" w:type="pct"/>
            <w:shd w:val="clear" w:color="auto" w:fill="auto"/>
          </w:tcPr>
          <w:p w14:paraId="451AFD09" w14:textId="005B4C60" w:rsidR="00CC2544" w:rsidRPr="00D56131" w:rsidRDefault="00CC2544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rtl/>
              </w:rPr>
              <w:t xml:space="preserve">الأسس المنطقية </w:t>
            </w:r>
            <w:r w:rsidR="004622A4" w:rsidRPr="00D56131">
              <w:rPr>
                <w:rFonts w:asciiTheme="majorBidi" w:hAnsiTheme="majorBidi" w:cstheme="majorBidi" w:hint="cs"/>
                <w:bCs/>
                <w:sz w:val="24"/>
                <w:rtl/>
              </w:rPr>
              <w:t>للإجراءات</w:t>
            </w:r>
          </w:p>
          <w:p w14:paraId="376A0B40" w14:textId="77777777" w:rsidR="007A0AE7" w:rsidRPr="00D56131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7A3E6CF0" w14:textId="7FECFD4B" w:rsidR="007A0AE7" w:rsidRPr="00D56131" w:rsidRDefault="00FB2B90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lang w:val="en-US" w:bidi="ar-EG"/>
              </w:rPr>
            </w:pP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تأكيدًا</w:t>
            </w:r>
            <w:r w:rsidR="0012057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على أهمية التراث الثقافي غير المادي في المجتمع، يبحث هذا المؤشر 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في </w:t>
            </w:r>
            <w:r w:rsidR="0012057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كيف</w:t>
            </w:r>
            <w:r w:rsidR="00680FB6" w:rsidRPr="00D56131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ية مساهمة</w:t>
            </w:r>
            <w:r w:rsidR="0012057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</w:t>
            </w:r>
            <w:r w:rsidR="00680FB6" w:rsidRPr="00D56131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ا</w:t>
            </w:r>
            <w:r w:rsidR="0012057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لتراث الثقافي غير المادي </w:t>
            </w:r>
            <w:r w:rsidR="008575CA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في التنمية المستدامة ورفاه الإنسان. 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وعلى هذا النحو، ي</w:t>
            </w:r>
            <w:r w:rsidR="005D33EB" w:rsidRPr="00D56131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نطوي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على حقوق الإنسان وأبعاد العدالة الاجتماعية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الفعالة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. وقد نوهت الاتفاقية 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عن 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تبني "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سياسة عامة تستهدف إبراز الدور الذي يؤديه التراث الثقافي غير المادي في المجتمع وإدماج صون هذا التراث في البرامج التخطيطية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" (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ال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مادة 13(أ)). ومع ذلك، 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ينبغي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تذكر أن 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صنع</w:t>
            </w:r>
            <w:r w:rsidR="00927B84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السياسات 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والتخطيط الإنمائي ليست ممارسات مجردة، 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ف</w:t>
            </w:r>
            <w:r w:rsidR="00DE3901" w:rsidRPr="00D56131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 xml:space="preserve">لا 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يمكنها </w:t>
            </w:r>
            <w:r w:rsidR="00DE3901" w:rsidRPr="00D56131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 xml:space="preserve">سوى 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إحداث </w:t>
            </w:r>
            <w:r w:rsidR="0052693F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الأثر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المرجو عند ترجمتها إلى برامج وأنشطة. لا يكمن الاختبار هنا في إمكانية وجود تلك السياسات، وإنما فيما إذا كان 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يُ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ستفاد من التراث الثقافي غير المادي </w:t>
            </w:r>
            <w:r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في </w:t>
            </w:r>
            <w:r w:rsidR="006177DB" w:rsidRPr="00D56131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تحسين رفاه الأفراد.</w:t>
            </w:r>
          </w:p>
        </w:tc>
      </w:tr>
      <w:tr w:rsidR="007A0AE7" w:rsidRPr="005C0E8C" w14:paraId="358D03E0" w14:textId="77777777" w:rsidTr="00925D92">
        <w:trPr>
          <w:cantSplit/>
        </w:trPr>
        <w:tc>
          <w:tcPr>
            <w:tcW w:w="786" w:type="pct"/>
            <w:shd w:val="clear" w:color="auto" w:fill="auto"/>
          </w:tcPr>
          <w:p w14:paraId="66372A86" w14:textId="77777777" w:rsidR="006177DB" w:rsidRPr="00D56131" w:rsidRDefault="006177DB" w:rsidP="00DF107C">
            <w:pPr>
              <w:bidi/>
              <w:spacing w:before="120" w:after="6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D56131">
              <w:rPr>
                <w:rFonts w:asciiTheme="majorBidi" w:hAnsiTheme="majorBidi" w:cstheme="majorBidi"/>
                <w:bCs/>
                <w:sz w:val="24"/>
                <w:rtl/>
              </w:rPr>
              <w:t>المصطلحات الرئيسية</w:t>
            </w:r>
          </w:p>
          <w:p w14:paraId="6D673B88" w14:textId="77777777" w:rsidR="007A0AE7" w:rsidRPr="00D56131" w:rsidRDefault="007A0AE7" w:rsidP="00DF107C">
            <w:pPr>
              <w:bidi/>
              <w:spacing w:before="120" w:after="60"/>
              <w:jc w:val="both"/>
              <w:rPr>
                <w:rFonts w:asciiTheme="majorBidi" w:hAnsiTheme="majorBidi" w:cstheme="majorBidi"/>
                <w:b/>
                <w:sz w:val="24"/>
                <w:lang w:val="en-US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2C63BCFB" w14:textId="047A672F" w:rsidR="007A0AE7" w:rsidRPr="00D56131" w:rsidRDefault="00FB2B90" w:rsidP="00DF107C">
            <w:pPr>
              <w:pStyle w:val="ListParagraph"/>
              <w:numPr>
                <w:ilvl w:val="0"/>
                <w:numId w:val="5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613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جماعات</w:t>
            </w:r>
            <w:r w:rsidR="001A2E96" w:rsidRPr="00D5613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أو </w:t>
            </w:r>
            <w:r w:rsidR="0052693F" w:rsidRPr="00D5613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مجموعات</w:t>
            </w:r>
            <w:r w:rsidR="00AC3738" w:rsidRPr="00D5613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أو</w:t>
            </w:r>
            <w:r w:rsidR="00480BEF" w:rsidRPr="00D5613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A2E96" w:rsidRPr="00D5613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أحيانًا </w:t>
            </w:r>
            <w:r w:rsidR="00AC3738" w:rsidRPr="00D5613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أفراد.</w:t>
            </w:r>
          </w:p>
          <w:p w14:paraId="0955A44E" w14:textId="672281F4" w:rsidR="00AC3738" w:rsidRPr="00D56131" w:rsidRDefault="004622A4" w:rsidP="00DF107C">
            <w:pPr>
              <w:pStyle w:val="ListParagraph"/>
              <w:numPr>
                <w:ilvl w:val="0"/>
                <w:numId w:val="5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613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1A2E96" w:rsidRPr="00D5613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تنمية </w:t>
            </w:r>
            <w:r w:rsidRPr="00D5613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AC3738" w:rsidRPr="00D56131">
              <w:rPr>
                <w:rFonts w:asciiTheme="majorBidi" w:hAnsiTheme="majorBidi" w:cstheme="majorBidi"/>
                <w:sz w:val="24"/>
                <w:szCs w:val="24"/>
                <w:rtl/>
              </w:rPr>
              <w:t>مستدامة</w:t>
            </w:r>
          </w:p>
        </w:tc>
      </w:tr>
    </w:tbl>
    <w:p w14:paraId="7DDA8369" w14:textId="77777777" w:rsidR="007A0AE7" w:rsidRPr="005C0E8C" w:rsidRDefault="007A0AE7" w:rsidP="00DF107C">
      <w:pPr>
        <w:bidi/>
        <w:rPr>
          <w:rFonts w:asciiTheme="majorBidi" w:hAnsiTheme="majorBidi" w:cstheme="majorBidi"/>
          <w:b/>
          <w:sz w:val="24"/>
        </w:rPr>
        <w:sectPr w:rsidR="007A0AE7" w:rsidRPr="005C0E8C" w:rsidSect="007A0AE7">
          <w:footerReference w:type="default" r:id="rId7"/>
          <w:type w:val="continuous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4964F854" w14:textId="49002CE3" w:rsidR="00AC3738" w:rsidRPr="00657AFD" w:rsidRDefault="00AC3738" w:rsidP="00DF107C">
      <w:pPr>
        <w:bidi/>
        <w:jc w:val="center"/>
        <w:rPr>
          <w:rFonts w:asciiTheme="majorBidi" w:hAnsiTheme="majorBidi" w:cstheme="majorBidi"/>
          <w:bCs/>
          <w:sz w:val="28"/>
          <w:szCs w:val="28"/>
        </w:rPr>
      </w:pPr>
      <w:r w:rsidRPr="00657AFD">
        <w:rPr>
          <w:rFonts w:asciiTheme="majorBidi" w:hAnsiTheme="majorBidi" w:cstheme="majorBidi"/>
          <w:bCs/>
          <w:sz w:val="28"/>
          <w:szCs w:val="28"/>
          <w:rtl/>
        </w:rPr>
        <w:t xml:space="preserve">التوجيهات المحددة بشأن الرصد </w:t>
      </w:r>
      <w:r w:rsidR="00377AE3" w:rsidRPr="00657AFD">
        <w:rPr>
          <w:rFonts w:asciiTheme="majorBidi" w:hAnsiTheme="majorBidi" w:cstheme="majorBidi" w:hint="cs"/>
          <w:bCs/>
          <w:sz w:val="28"/>
          <w:szCs w:val="28"/>
          <w:rtl/>
        </w:rPr>
        <w:t>وال</w:t>
      </w:r>
      <w:r w:rsidR="006A0D72">
        <w:rPr>
          <w:rFonts w:asciiTheme="majorBidi" w:hAnsiTheme="majorBidi" w:cstheme="majorBidi" w:hint="cs"/>
          <w:bCs/>
          <w:sz w:val="28"/>
          <w:szCs w:val="28"/>
          <w:rtl/>
        </w:rPr>
        <w:t>تقرير</w:t>
      </w:r>
      <w:r w:rsidRPr="00657AFD">
        <w:rPr>
          <w:rFonts w:asciiTheme="majorBidi" w:hAnsiTheme="majorBidi" w:cstheme="majorBidi"/>
          <w:bCs/>
          <w:sz w:val="28"/>
          <w:szCs w:val="28"/>
          <w:rtl/>
        </w:rPr>
        <w:t xml:space="preserve"> الدوري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222"/>
      </w:tblGrid>
      <w:tr w:rsidR="007A0AE7" w:rsidRPr="005C0E8C" w14:paraId="46253FD9" w14:textId="77777777" w:rsidTr="00B36C2A">
        <w:tc>
          <w:tcPr>
            <w:tcW w:w="730" w:type="pct"/>
            <w:shd w:val="clear" w:color="auto" w:fill="auto"/>
          </w:tcPr>
          <w:p w14:paraId="41977D6A" w14:textId="77777777" w:rsidR="00D02CEB" w:rsidRPr="005C0E8C" w:rsidRDefault="00D02CEB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5C0E8C">
              <w:rPr>
                <w:rFonts w:asciiTheme="majorBidi" w:hAnsiTheme="majorBidi" w:cstheme="majorBidi"/>
                <w:bCs/>
                <w:sz w:val="24"/>
                <w:rtl/>
              </w:rPr>
              <w:t>فوائد الرصد</w:t>
            </w:r>
          </w:p>
          <w:p w14:paraId="6BB32F9C" w14:textId="77777777" w:rsidR="007A0AE7" w:rsidRPr="005C0E8C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  <w:lang w:val="en-US"/>
              </w:rPr>
            </w:pPr>
          </w:p>
        </w:tc>
        <w:tc>
          <w:tcPr>
            <w:tcW w:w="4270" w:type="pct"/>
            <w:shd w:val="clear" w:color="auto" w:fill="auto"/>
          </w:tcPr>
          <w:p w14:paraId="54366749" w14:textId="417CF7AE" w:rsidR="007A0AE7" w:rsidRPr="005C0E8C" w:rsidRDefault="00D02CEB" w:rsidP="00DF107C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  <w:lang w:val="en-US" w:bidi="ar-EG"/>
              </w:rPr>
            </w:pPr>
            <w:r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يمكن لرصد هذا المؤشر أن يكشف إلى أي مدى تستطيع ال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جماعات </w:t>
            </w:r>
            <w:r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والمجموعات والأفراد الاستفادة من السياسات والتدابير القانونية والإدارية في تحسين 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رفاه</w:t>
            </w:r>
            <w:r w:rsidR="008D5258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 xml:space="preserve"> 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وجودة حياتهم (عامل</w:t>
            </w:r>
            <w:r w:rsidR="008D7360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>ي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التقييم</w:t>
            </w:r>
            <w:r w:rsidR="00C1450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الشامل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15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-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1 و15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-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2). وعلاوةً على ذلك، 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قد يؤكد 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رصد عامل التقييم</w:t>
            </w:r>
            <w:r w:rsidR="00C1450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الشامل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15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-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3 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ع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ما إذا كانت الدول الأطراف </w:t>
            </w:r>
            <w:r w:rsidR="00C36467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بتدخلاتهم </w:t>
            </w:r>
            <w:r w:rsidR="00C36467" w:rsidRPr="005C0E8C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>التنم</w:t>
            </w:r>
            <w:r w:rsidR="00C36467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>وي</w:t>
            </w:r>
            <w:r w:rsidR="00C36467" w:rsidRPr="005C0E8C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>ة</w:t>
            </w:r>
            <w:r w:rsidR="00C36467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الفعلية 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تحقق الأهداف المحددة في أطر سياستهم</w:t>
            </w:r>
            <w:r w:rsidR="00657AFD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>،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وكيف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ية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استخدام التراث الثقافي غير المادي كمورد للتنمية المستدامة. في 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البلاد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التي واجهت أو قد تواجه نزاعًا مسلحًا، يمكن أن يسهم رصد هذا المؤشر أيضًا في منع النزاع و/</w:t>
            </w:r>
            <w:r w:rsidR="001D53E8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أو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</w:t>
            </w:r>
            <w:r w:rsidR="00657AFD">
              <w:rPr>
                <w:rFonts w:asciiTheme="majorBidi" w:hAnsiTheme="majorBidi" w:cstheme="majorBidi" w:hint="cs"/>
                <w:b/>
                <w:sz w:val="24"/>
                <w:rtl/>
                <w:lang w:val="en-US" w:bidi="ar-EG"/>
              </w:rPr>
              <w:t xml:space="preserve">يسهم 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صوب</w:t>
            </w:r>
            <w:r w:rsidR="00370B8E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 التسوية بعد النزاع</w:t>
            </w:r>
            <w:r w:rsidR="001D53E8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. ويمكن للرصد على الصعيد الدولي أن يحدد استراتيجيات مبتكرة وإجراءات متخذة في بلدان العالم، كما يمكنه تقديم نماذج للممارسات الجيدة </w:t>
            </w:r>
            <w:r w:rsidR="005652EF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>ُ</w:t>
            </w:r>
            <w:r w:rsidR="001D53E8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t xml:space="preserve">ثبتت فعاليتها، مشيرةً بذلك إلى </w:t>
            </w:r>
            <w:r w:rsidR="001D53E8" w:rsidRPr="005C0E8C">
              <w:rPr>
                <w:rFonts w:asciiTheme="majorBidi" w:hAnsiTheme="majorBidi" w:cstheme="majorBidi"/>
                <w:b/>
                <w:sz w:val="24"/>
                <w:rtl/>
                <w:lang w:val="en-US" w:bidi="ar-EG"/>
              </w:rPr>
              <w:lastRenderedPageBreak/>
              <w:t xml:space="preserve">وجود فرص للتعاون والتبادل الدولي. </w:t>
            </w:r>
          </w:p>
        </w:tc>
      </w:tr>
      <w:tr w:rsidR="007A0AE7" w:rsidRPr="005C0E8C" w14:paraId="76A2AA77" w14:textId="77777777" w:rsidTr="00B36C2A">
        <w:tc>
          <w:tcPr>
            <w:tcW w:w="730" w:type="pct"/>
            <w:shd w:val="clear" w:color="auto" w:fill="auto"/>
          </w:tcPr>
          <w:p w14:paraId="1E0F49FE" w14:textId="77777777" w:rsidR="008C03F6" w:rsidRPr="005C0E8C" w:rsidRDefault="008C03F6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5C0E8C">
              <w:rPr>
                <w:rFonts w:asciiTheme="majorBidi" w:hAnsiTheme="majorBidi" w:cstheme="majorBidi"/>
                <w:bCs/>
                <w:sz w:val="24"/>
                <w:rtl/>
              </w:rPr>
              <w:lastRenderedPageBreak/>
              <w:t>مصادر البيانات وجمعها</w:t>
            </w:r>
          </w:p>
          <w:p w14:paraId="4B9646CD" w14:textId="77777777" w:rsidR="007A0AE7" w:rsidRPr="005C0E8C" w:rsidRDefault="007A0AE7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  <w:lang w:val="en-US"/>
              </w:rPr>
            </w:pPr>
          </w:p>
        </w:tc>
        <w:tc>
          <w:tcPr>
            <w:tcW w:w="4270" w:type="pct"/>
            <w:shd w:val="clear" w:color="auto" w:fill="auto"/>
          </w:tcPr>
          <w:p w14:paraId="52763D3B" w14:textId="26C6E326" w:rsidR="007A0AE7" w:rsidRPr="005C0E8C" w:rsidRDefault="008C03F6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  <w:lang w:val="en-US" w:bidi="ar-EG"/>
              </w:rPr>
            </w:pPr>
            <w:r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قد يحتاج المسئولون عن الرصد </w:t>
            </w:r>
            <w:r w:rsidR="009837A0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وا</w:t>
            </w:r>
            <w:r w:rsidR="006A0D72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عداد ا</w:t>
            </w:r>
            <w:r w:rsidR="009837A0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ل</w:t>
            </w:r>
            <w:r w:rsidR="006A0D72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تقرير</w:t>
            </w:r>
            <w:r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إلى النظر في مجموعة واسعة من مصادر البيانات </w:t>
            </w:r>
            <w:r w:rsidR="009C7647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لتحديد أمثلة ملموسة للأنشطة </w:t>
            </w:r>
            <w:r w:rsidR="007D3421">
              <w:rPr>
                <w:rFonts w:asciiTheme="majorBidi" w:hAnsiTheme="majorBidi" w:cstheme="majorBidi" w:hint="cs"/>
                <w:sz w:val="24"/>
                <w:rtl/>
                <w:lang w:val="en-US" w:bidi="ar-EG"/>
              </w:rPr>
              <w:t>المتعلقة با</w:t>
            </w:r>
            <w:r w:rsidR="009C7647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لتراث الثقافي غير المادي. وقد تكون </w:t>
            </w:r>
            <w:r w:rsidR="001A1F41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المسوح الدورية بين مختلف الأطراف الفاعلة في مجال صون التراث الثقافي غير المادي، أو </w:t>
            </w:r>
            <w:r w:rsidR="00CE4EDB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استعراضات</w:t>
            </w:r>
            <w:r w:rsidR="001A1F41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التغطية الإعلامية والبحث الأكاديمي، وسائل مهمة لجمع البيانات. </w:t>
            </w:r>
            <w:r w:rsidR="00CE4EDB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كما </w:t>
            </w:r>
            <w:r w:rsidR="001A1F41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قد تكون هيئة استشارية واسعة النطاق أو آلية تنسيق</w:t>
            </w:r>
            <w:r w:rsidR="00CE4EDB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، إن وجدت،</w:t>
            </w:r>
            <w:r w:rsidR="001A1F41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 xml:space="preserve"> مصدرً</w:t>
            </w:r>
            <w:r w:rsidR="00B94E6C" w:rsidRPr="005C0E8C">
              <w:rPr>
                <w:rFonts w:asciiTheme="majorBidi" w:hAnsiTheme="majorBidi" w:cstheme="majorBidi"/>
                <w:sz w:val="24"/>
                <w:rtl/>
                <w:lang w:val="en-US" w:bidi="ar-EG"/>
              </w:rPr>
              <w:t>ا مهمًا لمعلومات هذا المؤشر.</w:t>
            </w:r>
          </w:p>
          <w:p w14:paraId="36FB02A8" w14:textId="77777777" w:rsidR="00C1450F" w:rsidRPr="005C0E8C" w:rsidRDefault="00C1450F" w:rsidP="00DF107C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bCs/>
                <w:sz w:val="24"/>
                <w:rtl/>
                <w:lang w:val="en-US" w:bidi="ar-EG"/>
              </w:rPr>
            </w:pPr>
            <w:r w:rsidRPr="005C0E8C">
              <w:rPr>
                <w:rFonts w:asciiTheme="majorBidi" w:hAnsiTheme="majorBidi" w:cstheme="majorBidi"/>
                <w:b/>
                <w:bCs/>
                <w:sz w:val="24"/>
                <w:rtl/>
                <w:lang w:val="en-US" w:bidi="ar-EG"/>
              </w:rPr>
              <w:t>مصادر البيانات المحتملة</w:t>
            </w:r>
          </w:p>
          <w:p w14:paraId="4DE5373A" w14:textId="34266952" w:rsidR="00C1450F" w:rsidRPr="005C0E8C" w:rsidRDefault="00C1450F" w:rsidP="00DF107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C0E8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تقارير منظمات غير حكومية</w:t>
            </w:r>
            <w:r w:rsidR="0082063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،</w:t>
            </w:r>
            <w:r w:rsidRPr="005C0E8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وجمعيات </w:t>
            </w:r>
            <w:r w:rsidR="0082063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الجماعات،</w:t>
            </w:r>
            <w:r w:rsidRPr="005C0E8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وجهات فاعلة </w:t>
            </w:r>
            <w:r w:rsidR="00B8031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</w:t>
            </w:r>
            <w:r w:rsidRPr="005C0E8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خرى عن أعمالها</w:t>
            </w:r>
          </w:p>
          <w:p w14:paraId="6D849411" w14:textId="558781F7" w:rsidR="00C1450F" w:rsidRPr="005C0E8C" w:rsidRDefault="00C1450F" w:rsidP="00DF107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C0E8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رسالة إخبارية أو نشرات أو مواقع إلكترونية لجمعيات مهنية أو شبكات الباحثين</w:t>
            </w:r>
          </w:p>
          <w:p w14:paraId="5F2702C8" w14:textId="57FF3F70" w:rsidR="00C1450F" w:rsidRPr="005C0E8C" w:rsidRDefault="00C1450F" w:rsidP="00DF107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C0E8C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تغطية إعلامية لمبادرات الجماعات أو تدخلات الصون الأخرى</w:t>
            </w:r>
          </w:p>
        </w:tc>
      </w:tr>
    </w:tbl>
    <w:p w14:paraId="7599A0D2" w14:textId="77777777" w:rsidR="007A0AE7" w:rsidRPr="005C0E8C" w:rsidRDefault="007A0AE7" w:rsidP="00DF107C">
      <w:pPr>
        <w:bidi/>
        <w:jc w:val="both"/>
        <w:rPr>
          <w:rFonts w:asciiTheme="majorBidi" w:hAnsiTheme="majorBidi" w:cstheme="majorBidi"/>
          <w:sz w:val="24"/>
        </w:rPr>
      </w:pPr>
    </w:p>
    <w:sectPr w:rsidR="007A0AE7" w:rsidRPr="005C0E8C" w:rsidSect="0054175C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52AA" w14:textId="77777777" w:rsidR="003D05FF" w:rsidRDefault="003D05FF">
      <w:pPr>
        <w:spacing w:after="0"/>
      </w:pPr>
      <w:r>
        <w:separator/>
      </w:r>
    </w:p>
  </w:endnote>
  <w:endnote w:type="continuationSeparator" w:id="0">
    <w:p w14:paraId="654FF322" w14:textId="77777777" w:rsidR="003D05FF" w:rsidRDefault="003D0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2FD" w14:textId="54B44C16" w:rsidR="007A0AE7" w:rsidRPr="000A0709" w:rsidRDefault="007A0AE7" w:rsidP="00C1450F">
    <w:pPr>
      <w:pStyle w:val="Footer"/>
      <w:bidi/>
      <w:jc w:val="center"/>
      <w:rPr>
        <w:rFonts w:ascii="Arial" w:hAnsi="Arial"/>
      </w:rPr>
    </w:pPr>
    <w:r w:rsidRPr="000F25BA">
      <w:rPr>
        <w:rFonts w:ascii="Arial" w:hAnsi="Arial" w:cs="Arial"/>
      </w:rPr>
      <w:fldChar w:fldCharType="begin"/>
    </w:r>
    <w:r w:rsidRPr="000F25BA">
      <w:rPr>
        <w:rFonts w:ascii="Arial" w:hAnsi="Arial" w:cs="Arial"/>
      </w:rPr>
      <w:instrText xml:space="preserve"> PAGE   \* MERGEFORMAT </w:instrText>
    </w:r>
    <w:r w:rsidRPr="000F25BA">
      <w:rPr>
        <w:rFonts w:ascii="Arial" w:hAnsi="Arial" w:cs="Arial"/>
      </w:rPr>
      <w:fldChar w:fldCharType="separate"/>
    </w:r>
    <w:r w:rsidR="00D57EC9">
      <w:rPr>
        <w:rFonts w:ascii="Arial" w:hAnsi="Arial" w:cs="Arial"/>
        <w:noProof/>
        <w:rtl/>
      </w:rPr>
      <w:t>1</w:t>
    </w:r>
    <w:r w:rsidRPr="000F25BA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0C1C" w14:textId="7A2F8995" w:rsidR="00C04344" w:rsidRPr="000A0709" w:rsidRDefault="00E56DE9" w:rsidP="002F17B3">
    <w:pPr>
      <w:pStyle w:val="Footer"/>
      <w:bidi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5BCD" w14:textId="77777777" w:rsidR="003D05FF" w:rsidRDefault="003D05FF">
      <w:pPr>
        <w:spacing w:after="0"/>
      </w:pPr>
      <w:r>
        <w:separator/>
      </w:r>
    </w:p>
  </w:footnote>
  <w:footnote w:type="continuationSeparator" w:id="0">
    <w:p w14:paraId="5C0C68A5" w14:textId="77777777" w:rsidR="003D05FF" w:rsidRDefault="003D05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8ED" w14:textId="77777777" w:rsidR="004243E1" w:rsidRDefault="00E56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CC6"/>
    <w:multiLevelType w:val="hybridMultilevel"/>
    <w:tmpl w:val="7016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5E14"/>
    <w:multiLevelType w:val="multilevel"/>
    <w:tmpl w:val="C25CF23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138C20AA"/>
    <w:multiLevelType w:val="hybridMultilevel"/>
    <w:tmpl w:val="38EADC98"/>
    <w:lvl w:ilvl="0" w:tplc="79CE4316">
      <w:start w:val="1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7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1964B9"/>
    <w:multiLevelType w:val="hybridMultilevel"/>
    <w:tmpl w:val="9440E5A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A729A"/>
    <w:multiLevelType w:val="hybridMultilevel"/>
    <w:tmpl w:val="745C5AA4"/>
    <w:lvl w:ilvl="0" w:tplc="D13A509A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3456"/>
    <w:multiLevelType w:val="hybridMultilevel"/>
    <w:tmpl w:val="2F321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F1799C"/>
    <w:multiLevelType w:val="hybridMultilevel"/>
    <w:tmpl w:val="358239DE"/>
    <w:lvl w:ilvl="0" w:tplc="71486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E7"/>
    <w:rsid w:val="0001365F"/>
    <w:rsid w:val="00071DE4"/>
    <w:rsid w:val="000A01E9"/>
    <w:rsid w:val="000A287C"/>
    <w:rsid w:val="000D5066"/>
    <w:rsid w:val="000F1DFE"/>
    <w:rsid w:val="0012057B"/>
    <w:rsid w:val="0014107E"/>
    <w:rsid w:val="00141089"/>
    <w:rsid w:val="00145ADA"/>
    <w:rsid w:val="00161179"/>
    <w:rsid w:val="001A1F41"/>
    <w:rsid w:val="001A2E96"/>
    <w:rsid w:val="001D53E8"/>
    <w:rsid w:val="00201632"/>
    <w:rsid w:val="00244055"/>
    <w:rsid w:val="0025587A"/>
    <w:rsid w:val="00255F86"/>
    <w:rsid w:val="0027324D"/>
    <w:rsid w:val="00294523"/>
    <w:rsid w:val="002A559B"/>
    <w:rsid w:val="002F17B3"/>
    <w:rsid w:val="0034606E"/>
    <w:rsid w:val="00347BCA"/>
    <w:rsid w:val="00370B8E"/>
    <w:rsid w:val="00377AE3"/>
    <w:rsid w:val="003D05FF"/>
    <w:rsid w:val="003E72E5"/>
    <w:rsid w:val="0041347C"/>
    <w:rsid w:val="0041513C"/>
    <w:rsid w:val="0042092D"/>
    <w:rsid w:val="004622A4"/>
    <w:rsid w:val="00480BEF"/>
    <w:rsid w:val="004A562A"/>
    <w:rsid w:val="004D07F3"/>
    <w:rsid w:val="0052693F"/>
    <w:rsid w:val="0055193A"/>
    <w:rsid w:val="00561C5D"/>
    <w:rsid w:val="005652EF"/>
    <w:rsid w:val="0057504F"/>
    <w:rsid w:val="005C0E8C"/>
    <w:rsid w:val="005D33EB"/>
    <w:rsid w:val="00612A52"/>
    <w:rsid w:val="006177DB"/>
    <w:rsid w:val="006442CB"/>
    <w:rsid w:val="006552BE"/>
    <w:rsid w:val="00657AFD"/>
    <w:rsid w:val="00680FB6"/>
    <w:rsid w:val="006A0D72"/>
    <w:rsid w:val="006E093D"/>
    <w:rsid w:val="0072617B"/>
    <w:rsid w:val="007A0AE7"/>
    <w:rsid w:val="007D3421"/>
    <w:rsid w:val="0082063C"/>
    <w:rsid w:val="00841CD9"/>
    <w:rsid w:val="008575CA"/>
    <w:rsid w:val="008754BB"/>
    <w:rsid w:val="008B771D"/>
    <w:rsid w:val="008C03F6"/>
    <w:rsid w:val="008D5258"/>
    <w:rsid w:val="008D6ABE"/>
    <w:rsid w:val="008D7360"/>
    <w:rsid w:val="00900729"/>
    <w:rsid w:val="00925D92"/>
    <w:rsid w:val="00927B84"/>
    <w:rsid w:val="009837A0"/>
    <w:rsid w:val="009907A2"/>
    <w:rsid w:val="00993343"/>
    <w:rsid w:val="00993B06"/>
    <w:rsid w:val="009C7647"/>
    <w:rsid w:val="00A7232B"/>
    <w:rsid w:val="00AA7348"/>
    <w:rsid w:val="00AC3738"/>
    <w:rsid w:val="00AE03D6"/>
    <w:rsid w:val="00B36C2A"/>
    <w:rsid w:val="00B41794"/>
    <w:rsid w:val="00B8031C"/>
    <w:rsid w:val="00B851D7"/>
    <w:rsid w:val="00B94E6C"/>
    <w:rsid w:val="00BE233C"/>
    <w:rsid w:val="00C1450F"/>
    <w:rsid w:val="00C15437"/>
    <w:rsid w:val="00C36467"/>
    <w:rsid w:val="00C91A08"/>
    <w:rsid w:val="00CB1516"/>
    <w:rsid w:val="00CC2544"/>
    <w:rsid w:val="00CE4EDB"/>
    <w:rsid w:val="00CF35FE"/>
    <w:rsid w:val="00CF3F0F"/>
    <w:rsid w:val="00D02CEB"/>
    <w:rsid w:val="00D07895"/>
    <w:rsid w:val="00D33066"/>
    <w:rsid w:val="00D33DFB"/>
    <w:rsid w:val="00D56131"/>
    <w:rsid w:val="00D57EC9"/>
    <w:rsid w:val="00D803C3"/>
    <w:rsid w:val="00D93FEA"/>
    <w:rsid w:val="00DB22A9"/>
    <w:rsid w:val="00DD4205"/>
    <w:rsid w:val="00DE3901"/>
    <w:rsid w:val="00DF107C"/>
    <w:rsid w:val="00E52501"/>
    <w:rsid w:val="00E56DE9"/>
    <w:rsid w:val="00E83986"/>
    <w:rsid w:val="00E92F55"/>
    <w:rsid w:val="00EC2C20"/>
    <w:rsid w:val="00F14B64"/>
    <w:rsid w:val="00FB2B90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9F2"/>
  <w15:docId w15:val="{283FB243-131E-4A02-A460-9015088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E7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E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AE7"/>
    <w:rPr>
      <w:rFonts w:ascii="Times New Roman" w:eastAsia="Times New Roman" w:hAnsi="Times New Roman" w:cs="Times New Roman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A0AE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AE7"/>
    <w:rPr>
      <w:rFonts w:ascii="Times New Roman" w:eastAsia="Times New Roman" w:hAnsi="Times New Roman" w:cs="Times New Roman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7A0AE7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Revision">
    <w:name w:val="Revision"/>
    <w:hidden/>
    <w:uiPriority w:val="99"/>
    <w:semiHidden/>
    <w:rsid w:val="006A0D7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Joseph, George</cp:lastModifiedBy>
  <cp:revision>2</cp:revision>
  <dcterms:created xsi:type="dcterms:W3CDTF">2022-04-06T09:51:00Z</dcterms:created>
  <dcterms:modified xsi:type="dcterms:W3CDTF">2022-04-06T09:51:00Z</dcterms:modified>
</cp:coreProperties>
</file>