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61A90"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es"/>
        </w:rPr>
        <w:t>Descripción general y justificación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6558"/>
        <w:gridCol w:w="1509"/>
      </w:tblGrid>
      <w:tr w:rsidR="005473CF" w:rsidRPr="001A4AB1" w14:paraId="7AA3BCD8" w14:textId="77777777" w:rsidTr="004243E1">
        <w:trPr>
          <w:cantSplit/>
        </w:trPr>
        <w:tc>
          <w:tcPr>
            <w:tcW w:w="786" w:type="pct"/>
            <w:shd w:val="clear" w:color="auto" w:fill="auto"/>
          </w:tcPr>
          <w:p w14:paraId="6235BA89" w14:textId="77777777" w:rsidR="005473CF" w:rsidRPr="00F866CD" w:rsidRDefault="005B0FE5" w:rsidP="00DA2ECC">
            <w:pPr>
              <w:spacing w:before="120"/>
              <w:rPr>
                <w:rFonts w:ascii="Arial" w:hAnsi="Arial" w:cs="Arial"/>
                <w:b/>
                <w:szCs w:val="22"/>
              </w:rPr>
            </w:pPr>
            <w:r>
              <w:rPr>
                <w:rFonts w:ascii="Arial" w:hAnsi="Arial" w:cs="Arial"/>
                <w:b/>
                <w:bCs/>
                <w:szCs w:val="22"/>
                <w:lang w:val="es"/>
              </w:rPr>
              <w:t>Indicador</w:t>
            </w:r>
          </w:p>
        </w:tc>
        <w:tc>
          <w:tcPr>
            <w:tcW w:w="4214" w:type="pct"/>
            <w:gridSpan w:val="2"/>
            <w:shd w:val="clear" w:color="auto" w:fill="auto"/>
          </w:tcPr>
          <w:p w14:paraId="42420AC3" w14:textId="572848A1" w:rsidR="005473CF" w:rsidRPr="001A4AB1" w:rsidRDefault="008D26A0" w:rsidP="009A3117">
            <w:pPr>
              <w:keepLines/>
              <w:spacing w:before="120"/>
              <w:ind w:left="567" w:hanging="567"/>
              <w:rPr>
                <w:rFonts w:ascii="Arial" w:hAnsi="Arial" w:cs="Arial"/>
                <w:b/>
                <w:szCs w:val="22"/>
                <w:lang w:val="fr-FR"/>
              </w:rPr>
            </w:pPr>
            <w:r>
              <w:rPr>
                <w:rFonts w:ascii="Arial" w:hAnsi="Arial" w:cs="Arial"/>
                <w:b/>
                <w:bCs/>
                <w:szCs w:val="22"/>
                <w:lang w:val="es"/>
              </w:rPr>
              <w:t>15.</w:t>
            </w:r>
            <w:r>
              <w:rPr>
                <w:rFonts w:ascii="Arial" w:hAnsi="Arial" w:cs="Arial"/>
                <w:b/>
                <w:bCs/>
                <w:szCs w:val="22"/>
                <w:lang w:val="es"/>
              </w:rPr>
              <w:tab/>
              <w:t>Grado en el que se reconoce la importancia del PCI y de su salvaguardia en la sociedad tanto por parte de las comunidades, los grupos y los individuos interesados como de la sociedad en general</w:t>
            </w:r>
          </w:p>
        </w:tc>
      </w:tr>
      <w:tr w:rsidR="005B0FE5" w:rsidRPr="001A4AB1" w14:paraId="1B72B90C" w14:textId="77777777" w:rsidTr="004243E1">
        <w:trPr>
          <w:cantSplit/>
        </w:trPr>
        <w:tc>
          <w:tcPr>
            <w:tcW w:w="786" w:type="pct"/>
            <w:vMerge w:val="restart"/>
            <w:shd w:val="clear" w:color="auto" w:fill="auto"/>
          </w:tcPr>
          <w:p w14:paraId="76909AC9" w14:textId="77777777" w:rsidR="005B0FE5" w:rsidRPr="00F866CD" w:rsidRDefault="005B0FE5" w:rsidP="00DA2ECC">
            <w:pPr>
              <w:spacing w:before="120"/>
              <w:rPr>
                <w:rFonts w:ascii="Arial" w:hAnsi="Arial" w:cs="Arial"/>
                <w:b/>
                <w:szCs w:val="22"/>
              </w:rPr>
            </w:pPr>
            <w:r>
              <w:rPr>
                <w:rFonts w:ascii="Arial" w:hAnsi="Arial" w:cs="Arial"/>
                <w:b/>
                <w:bCs/>
                <w:szCs w:val="22"/>
                <w:lang w:val="es"/>
              </w:rPr>
              <w:t>Factores de evaluación</w:t>
            </w:r>
          </w:p>
        </w:tc>
        <w:tc>
          <w:tcPr>
            <w:tcW w:w="4214" w:type="pct"/>
            <w:gridSpan w:val="2"/>
            <w:shd w:val="clear" w:color="auto" w:fill="auto"/>
          </w:tcPr>
          <w:p w14:paraId="248EF5A6" w14:textId="23F2872C" w:rsidR="005B0FE5" w:rsidRPr="001A4AB1" w:rsidRDefault="005B0FE5" w:rsidP="00946D71">
            <w:pPr>
              <w:keepLines/>
              <w:spacing w:before="120"/>
              <w:jc w:val="both"/>
              <w:rPr>
                <w:rFonts w:ascii="Arial" w:hAnsi="Arial" w:cs="Arial"/>
                <w:b/>
                <w:szCs w:val="22"/>
                <w:lang w:val="fr-FR"/>
              </w:rPr>
            </w:pPr>
            <w:r>
              <w:rPr>
                <w:rFonts w:ascii="Arial" w:hAnsi="Arial" w:cs="Arial"/>
                <w:szCs w:val="22"/>
                <w:lang w:val="es"/>
              </w:rPr>
              <w:t>Este indicador se evalúa sobre la base de tres factores de ámbito nacional que cada Estado Parte supervisa y notifica:</w:t>
            </w:r>
          </w:p>
        </w:tc>
      </w:tr>
      <w:tr w:rsidR="008D26A0" w:rsidRPr="001A4AB1" w14:paraId="67D36C92" w14:textId="77777777" w:rsidTr="004243E1">
        <w:trPr>
          <w:cantSplit/>
        </w:trPr>
        <w:tc>
          <w:tcPr>
            <w:tcW w:w="786" w:type="pct"/>
            <w:vMerge/>
            <w:shd w:val="clear" w:color="auto" w:fill="auto"/>
          </w:tcPr>
          <w:p w14:paraId="1B31CFBD" w14:textId="77777777" w:rsidR="008D26A0" w:rsidRPr="001A4AB1" w:rsidRDefault="008D26A0" w:rsidP="008D26A0">
            <w:pPr>
              <w:spacing w:before="120"/>
              <w:rPr>
                <w:rFonts w:ascii="Arial" w:hAnsi="Arial" w:cs="Arial"/>
                <w:b/>
                <w:szCs w:val="22"/>
                <w:lang w:val="fr-FR"/>
              </w:rPr>
            </w:pPr>
          </w:p>
        </w:tc>
        <w:tc>
          <w:tcPr>
            <w:tcW w:w="3418" w:type="pct"/>
            <w:shd w:val="clear" w:color="auto" w:fill="auto"/>
            <w:vAlign w:val="center"/>
          </w:tcPr>
          <w:p w14:paraId="60FB38FC" w14:textId="7BB29AE4" w:rsidR="008D26A0" w:rsidRPr="001A4AB1" w:rsidRDefault="008D26A0" w:rsidP="00E853D1">
            <w:pPr>
              <w:pStyle w:val="ListParagraph"/>
              <w:keepLines/>
              <w:numPr>
                <w:ilvl w:val="1"/>
                <w:numId w:val="75"/>
              </w:numPr>
              <w:spacing w:before="120" w:after="120" w:line="240" w:lineRule="auto"/>
              <w:ind w:left="508" w:hanging="508"/>
              <w:contextualSpacing w:val="0"/>
              <w:rPr>
                <w:rFonts w:ascii="Arial" w:hAnsi="Arial" w:cs="Arial"/>
                <w:sz w:val="20"/>
                <w:szCs w:val="20"/>
                <w:lang w:val="fr-FR"/>
              </w:rPr>
            </w:pPr>
            <w:r>
              <w:rPr>
                <w:rFonts w:ascii="Arial" w:hAnsi="Arial" w:cs="Arial"/>
                <w:sz w:val="20"/>
                <w:szCs w:val="20"/>
                <w:lang w:val="es"/>
              </w:rPr>
              <w:t>Las comunidades, los grupos y los individuos que utilicen su PCI para su bienestar, incluido el contexto de los programas de desarrollo sostenible.</w:t>
            </w:r>
          </w:p>
        </w:tc>
        <w:tc>
          <w:tcPr>
            <w:tcW w:w="796" w:type="pct"/>
            <w:shd w:val="clear" w:color="auto" w:fill="auto"/>
            <w:vAlign w:val="center"/>
          </w:tcPr>
          <w:p w14:paraId="20C605A6" w14:textId="77777777" w:rsidR="008D26A0" w:rsidRPr="001A4AB1" w:rsidRDefault="008D26A0" w:rsidP="008D26A0">
            <w:pPr>
              <w:keepLines/>
              <w:spacing w:before="120"/>
              <w:rPr>
                <w:rFonts w:ascii="Arial" w:hAnsi="Arial" w:cs="Arial"/>
                <w:sz w:val="20"/>
                <w:szCs w:val="20"/>
                <w:lang w:val="fr-FR"/>
              </w:rPr>
            </w:pPr>
          </w:p>
        </w:tc>
      </w:tr>
      <w:tr w:rsidR="008D26A0" w:rsidRPr="001A4AB1" w14:paraId="5FCD8C5A" w14:textId="77777777" w:rsidTr="004243E1">
        <w:trPr>
          <w:cantSplit/>
        </w:trPr>
        <w:tc>
          <w:tcPr>
            <w:tcW w:w="786" w:type="pct"/>
            <w:vMerge/>
            <w:shd w:val="clear" w:color="auto" w:fill="auto"/>
          </w:tcPr>
          <w:p w14:paraId="34F910E1" w14:textId="77777777" w:rsidR="008D26A0" w:rsidRPr="001A4AB1" w:rsidRDefault="008D26A0" w:rsidP="008D26A0">
            <w:pPr>
              <w:spacing w:before="120"/>
              <w:rPr>
                <w:rFonts w:ascii="Arial" w:hAnsi="Arial" w:cs="Arial"/>
                <w:b/>
                <w:szCs w:val="22"/>
                <w:lang w:val="fr-FR"/>
              </w:rPr>
            </w:pPr>
          </w:p>
        </w:tc>
        <w:tc>
          <w:tcPr>
            <w:tcW w:w="3418" w:type="pct"/>
            <w:shd w:val="clear" w:color="auto" w:fill="auto"/>
            <w:vAlign w:val="center"/>
          </w:tcPr>
          <w:p w14:paraId="52095A89" w14:textId="251BD5EE" w:rsidR="008D26A0" w:rsidRPr="001A4AB1" w:rsidRDefault="008D26A0" w:rsidP="00E853D1">
            <w:pPr>
              <w:pStyle w:val="ListParagraph"/>
              <w:keepLines/>
              <w:numPr>
                <w:ilvl w:val="1"/>
                <w:numId w:val="75"/>
              </w:numPr>
              <w:spacing w:before="120" w:after="120" w:line="240" w:lineRule="auto"/>
              <w:ind w:left="508" w:hanging="508"/>
              <w:contextualSpacing w:val="0"/>
              <w:rPr>
                <w:rFonts w:ascii="Arial" w:hAnsi="Arial" w:cs="Arial"/>
                <w:sz w:val="20"/>
                <w:szCs w:val="20"/>
                <w:lang w:val="fr-FR"/>
              </w:rPr>
            </w:pPr>
            <w:r>
              <w:rPr>
                <w:rFonts w:ascii="Arial" w:hAnsi="Arial" w:cs="Arial"/>
                <w:sz w:val="20"/>
                <w:szCs w:val="20"/>
                <w:lang w:val="es"/>
              </w:rPr>
              <w:t>Las comunidades, los grupos y los individuos que utilicen su PCI para el diálogo con el fin de promover el respeto mutuo, la resolución de conflictos y la construcción de la paz.</w:t>
            </w:r>
          </w:p>
        </w:tc>
        <w:tc>
          <w:tcPr>
            <w:tcW w:w="796" w:type="pct"/>
            <w:shd w:val="clear" w:color="auto" w:fill="auto"/>
            <w:vAlign w:val="center"/>
          </w:tcPr>
          <w:p w14:paraId="4BE30898" w14:textId="77777777" w:rsidR="008D26A0" w:rsidRPr="001A4AB1" w:rsidRDefault="008D26A0" w:rsidP="008D26A0">
            <w:pPr>
              <w:spacing w:before="60" w:after="60"/>
              <w:rPr>
                <w:rFonts w:ascii="Arial" w:hAnsi="Arial" w:cs="Arial"/>
                <w:sz w:val="20"/>
                <w:szCs w:val="20"/>
                <w:lang w:val="fr-FR"/>
              </w:rPr>
            </w:pPr>
          </w:p>
        </w:tc>
      </w:tr>
      <w:tr w:rsidR="008D26A0" w:rsidRPr="00F866CD" w14:paraId="3E4E210D" w14:textId="77777777" w:rsidTr="004243E1">
        <w:trPr>
          <w:cantSplit/>
        </w:trPr>
        <w:tc>
          <w:tcPr>
            <w:tcW w:w="786" w:type="pct"/>
            <w:vMerge/>
            <w:shd w:val="clear" w:color="auto" w:fill="auto"/>
          </w:tcPr>
          <w:p w14:paraId="6B8E506E" w14:textId="77777777" w:rsidR="008D26A0" w:rsidRPr="001A4AB1" w:rsidRDefault="008D26A0" w:rsidP="008D26A0">
            <w:pPr>
              <w:spacing w:before="120"/>
              <w:rPr>
                <w:rFonts w:ascii="Arial" w:hAnsi="Arial" w:cs="Arial"/>
                <w:b/>
                <w:szCs w:val="22"/>
                <w:lang w:val="fr-FR"/>
              </w:rPr>
            </w:pPr>
          </w:p>
        </w:tc>
        <w:tc>
          <w:tcPr>
            <w:tcW w:w="3418" w:type="pct"/>
            <w:shd w:val="clear" w:color="auto" w:fill="auto"/>
            <w:vAlign w:val="center"/>
          </w:tcPr>
          <w:p w14:paraId="4DB06FD7" w14:textId="37EACB4D" w:rsidR="008D26A0" w:rsidRPr="001A4AB1" w:rsidRDefault="008D26A0" w:rsidP="00E853D1">
            <w:pPr>
              <w:pStyle w:val="ListParagraph"/>
              <w:keepLines/>
              <w:numPr>
                <w:ilvl w:val="1"/>
                <w:numId w:val="75"/>
              </w:numPr>
              <w:spacing w:before="120" w:after="120" w:line="240" w:lineRule="auto"/>
              <w:ind w:left="508" w:hanging="508"/>
              <w:contextualSpacing w:val="0"/>
              <w:rPr>
                <w:rFonts w:ascii="Arial" w:hAnsi="Arial" w:cs="Arial"/>
                <w:sz w:val="20"/>
                <w:szCs w:val="20"/>
                <w:lang w:val="fr-FR"/>
              </w:rPr>
            </w:pPr>
            <w:r>
              <w:rPr>
                <w:rFonts w:ascii="Arial" w:hAnsi="Arial" w:cs="Arial"/>
                <w:sz w:val="20"/>
                <w:szCs w:val="20"/>
                <w:lang w:val="es"/>
              </w:rPr>
              <w:t>Las intervenciones de desarrollo que reconozcan la importancia del PCI en la sociedad como una fuente de identidad, de continuidad, de conocimiento y de habilidades, y que refuercen su función con el fin de fomentar el desarrollo sostenible.</w:t>
            </w:r>
          </w:p>
        </w:tc>
        <w:tc>
          <w:tcPr>
            <w:tcW w:w="796" w:type="pct"/>
            <w:shd w:val="clear" w:color="auto" w:fill="auto"/>
            <w:vAlign w:val="center"/>
          </w:tcPr>
          <w:p w14:paraId="04BF69E5" w14:textId="57F992ED" w:rsidR="008D26A0" w:rsidRPr="0074360F" w:rsidRDefault="008D26A0" w:rsidP="008D26A0">
            <w:pPr>
              <w:keepLines/>
              <w:spacing w:before="120"/>
              <w:rPr>
                <w:rFonts w:ascii="Arial" w:hAnsi="Arial" w:cs="Arial"/>
                <w:sz w:val="20"/>
                <w:szCs w:val="20"/>
              </w:rPr>
            </w:pPr>
            <w:r>
              <w:rPr>
                <w:rFonts w:ascii="Arial" w:hAnsi="Arial" w:cs="Arial"/>
                <w:sz w:val="20"/>
                <w:szCs w:val="20"/>
                <w:lang w:val="es"/>
              </w:rPr>
              <w:t xml:space="preserve">DO 170, </w:t>
            </w:r>
            <w:r>
              <w:rPr>
                <w:rFonts w:ascii="Arial" w:hAnsi="Arial" w:cs="Arial"/>
                <w:sz w:val="20"/>
                <w:szCs w:val="20"/>
                <w:lang w:val="es"/>
              </w:rPr>
              <w:br/>
              <w:t>DO 173</w:t>
            </w:r>
          </w:p>
        </w:tc>
      </w:tr>
      <w:tr w:rsidR="005473CF" w:rsidRPr="001A4AB1" w14:paraId="278120BE" w14:textId="77777777" w:rsidTr="004243E1">
        <w:trPr>
          <w:cantSplit/>
        </w:trPr>
        <w:tc>
          <w:tcPr>
            <w:tcW w:w="786" w:type="pct"/>
            <w:shd w:val="clear" w:color="auto" w:fill="auto"/>
          </w:tcPr>
          <w:p w14:paraId="04E25A81" w14:textId="77777777" w:rsidR="005473CF" w:rsidRPr="001A4AB1" w:rsidRDefault="005473CF" w:rsidP="005473CF">
            <w:pPr>
              <w:spacing w:before="120"/>
              <w:rPr>
                <w:rFonts w:ascii="Arial" w:hAnsi="Arial" w:cs="Arial"/>
                <w:b/>
                <w:szCs w:val="22"/>
                <w:lang w:val="fr-FR"/>
              </w:rPr>
            </w:pPr>
            <w:r>
              <w:rPr>
                <w:rFonts w:ascii="Arial" w:hAnsi="Arial" w:cs="Arial"/>
                <w:b/>
                <w:bCs/>
                <w:szCs w:val="22"/>
                <w:lang w:val="es"/>
              </w:rPr>
              <w:t>Relación con los ODS y otros indicadores</w:t>
            </w:r>
          </w:p>
        </w:tc>
        <w:tc>
          <w:tcPr>
            <w:tcW w:w="4214" w:type="pct"/>
            <w:gridSpan w:val="2"/>
            <w:shd w:val="clear" w:color="auto" w:fill="auto"/>
          </w:tcPr>
          <w:p w14:paraId="7AB6B744" w14:textId="416CE293" w:rsidR="005473CF" w:rsidRPr="001A4AB1" w:rsidRDefault="005473CF" w:rsidP="005473CF">
            <w:pPr>
              <w:keepLines/>
              <w:spacing w:before="120"/>
              <w:jc w:val="both"/>
              <w:rPr>
                <w:rFonts w:ascii="Arial" w:hAnsi="Arial" w:cs="Arial"/>
                <w:szCs w:val="22"/>
                <w:lang w:val="fr-FR"/>
              </w:rPr>
            </w:pPr>
            <w:r>
              <w:rPr>
                <w:rFonts w:ascii="Arial" w:hAnsi="Arial" w:cs="Arial"/>
                <w:b/>
                <w:bCs/>
                <w:szCs w:val="22"/>
                <w:lang w:val="es"/>
              </w:rPr>
              <w:t xml:space="preserve">Objetivos de Desarrollo Sostenible: </w:t>
            </w:r>
            <w:r>
              <w:rPr>
                <w:rFonts w:ascii="Arial" w:hAnsi="Arial" w:cs="Arial"/>
                <w:szCs w:val="22"/>
                <w:lang w:val="es"/>
              </w:rPr>
              <w:t xml:space="preserve">El interés de este indicador por el bienestar y el desarrollo sostenible complementa el Objetivo 1 de los ODS («Poner fin a la pobreza en todas sus formas en todo el mundo») y el Objetivo 3 de los ODS («Garantizar una vida sana y promover el bienestar para todos en todas las edades»). El bienestar humano también se aborda en términos de infraestructura en la meta 9.1 de los ODS, mientras que la resolución de conflictos y la consolidación de la paz son elementos de la meta 16.3 de los ODS, «promover el estado de derecho [...] y garantizar la igualdad de acceso a la justicia para todos». Como todos los indicadores, apoya la meta 11.4 de los ODS, que persigue «redoblar los esfuerzos para proteger y salvaguardar el patrimonio cultural y natural del mundo». </w:t>
            </w:r>
          </w:p>
          <w:p w14:paraId="4EA19294" w14:textId="225E68B3" w:rsidR="005473CF" w:rsidRPr="001A4AB1" w:rsidRDefault="005473CF" w:rsidP="00B0663C">
            <w:pPr>
              <w:keepLines/>
              <w:spacing w:before="120"/>
              <w:jc w:val="both"/>
              <w:rPr>
                <w:rFonts w:ascii="Arial" w:hAnsi="Arial" w:cs="Arial"/>
                <w:bCs/>
                <w:szCs w:val="22"/>
                <w:lang w:val="fr-FR"/>
              </w:rPr>
            </w:pPr>
            <w:r>
              <w:rPr>
                <w:rFonts w:ascii="Arial" w:hAnsi="Arial" w:cs="Arial"/>
                <w:b/>
                <w:bCs/>
                <w:szCs w:val="22"/>
                <w:lang w:val="es"/>
              </w:rPr>
              <w:t>Relación con otros indicadores:</w:t>
            </w:r>
            <w:r>
              <w:rPr>
                <w:rFonts w:ascii="Arial" w:hAnsi="Arial" w:cs="Arial"/>
                <w:szCs w:val="22"/>
                <w:lang w:val="es"/>
              </w:rPr>
              <w:t xml:space="preserve"> Si bien el rango de indicadores 11-14 aborda el entorno de las políticas, el indicador 15 examina la eficacia con que dichas políticas y medidas legales y administrativas se traducen en medidas concretas.</w:t>
            </w:r>
          </w:p>
        </w:tc>
      </w:tr>
      <w:tr w:rsidR="00896177" w:rsidRPr="001A4AB1" w14:paraId="526BF496" w14:textId="77777777" w:rsidTr="004243E1">
        <w:trPr>
          <w:cantSplit/>
        </w:trPr>
        <w:tc>
          <w:tcPr>
            <w:tcW w:w="786" w:type="pct"/>
            <w:shd w:val="clear" w:color="auto" w:fill="auto"/>
          </w:tcPr>
          <w:p w14:paraId="1FD1DEDC" w14:textId="77777777" w:rsidR="00896177" w:rsidRPr="00F866CD" w:rsidRDefault="002C28BA" w:rsidP="00A7283F">
            <w:pPr>
              <w:spacing w:before="120"/>
              <w:rPr>
                <w:rFonts w:ascii="Arial" w:hAnsi="Arial" w:cs="Arial"/>
                <w:b/>
                <w:szCs w:val="22"/>
              </w:rPr>
            </w:pPr>
            <w:r>
              <w:rPr>
                <w:rFonts w:ascii="Arial" w:hAnsi="Arial" w:cs="Arial"/>
                <w:b/>
                <w:bCs/>
                <w:szCs w:val="22"/>
                <w:lang w:val="es"/>
              </w:rPr>
              <w:t>Justificación de las medidas</w:t>
            </w:r>
          </w:p>
        </w:tc>
        <w:tc>
          <w:tcPr>
            <w:tcW w:w="4214" w:type="pct"/>
            <w:gridSpan w:val="2"/>
            <w:shd w:val="clear" w:color="auto" w:fill="auto"/>
          </w:tcPr>
          <w:p w14:paraId="515F5C7C" w14:textId="6BE53C25" w:rsidR="00704766" w:rsidRPr="001A4AB1" w:rsidRDefault="00711032" w:rsidP="00711032">
            <w:pPr>
              <w:keepLines/>
              <w:spacing w:before="120"/>
              <w:jc w:val="both"/>
              <w:rPr>
                <w:rFonts w:asciiTheme="minorBidi" w:hAnsiTheme="minorBidi" w:cstheme="minorBidi"/>
                <w:szCs w:val="22"/>
                <w:lang w:val="fr-FR"/>
              </w:rPr>
            </w:pPr>
            <w:r>
              <w:rPr>
                <w:rFonts w:ascii="Arial" w:hAnsi="Arial" w:cs="Arial"/>
                <w:szCs w:val="22"/>
                <w:lang w:val="es"/>
              </w:rPr>
              <w:t>Al enfatizar la importancia del PCI en la sociedad, este indicador examina la forma en que el patrimonio cultural inmaterial puede contribuir al desarrollo sostenible y al bienestar humano. Como tal, contiene fuertes dimensiones de derechos humanos y justicia social. La Convención habla de adoptar «una política general encaminada a realzar la función del patrimonio cultural inmaterial en la sociedad y a integrar su salvaguardia en programas de planificación» (Artículo 13 a)). Sin embargo, hay que recordar que la formulación de políticas y la planificación del desarrollo no son ejercicios abstractos, sino que solo pueden tener repercusión cuando se traducen en programas y actividades. En este caso, la prueba no consiste en determinar si dichas políticas podrían existir, sino en si el PCI se está utilizando realmente para mejorar el bienestar de las personas.</w:t>
            </w:r>
          </w:p>
        </w:tc>
      </w:tr>
      <w:tr w:rsidR="00704766" w:rsidRPr="00F866CD" w14:paraId="5EF04D64" w14:textId="77777777" w:rsidTr="004243E1">
        <w:trPr>
          <w:cantSplit/>
        </w:trPr>
        <w:tc>
          <w:tcPr>
            <w:tcW w:w="786" w:type="pct"/>
            <w:shd w:val="clear" w:color="auto" w:fill="auto"/>
          </w:tcPr>
          <w:p w14:paraId="46D3E696"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es"/>
              </w:rPr>
              <w:t>Términos clave</w:t>
            </w:r>
          </w:p>
        </w:tc>
        <w:tc>
          <w:tcPr>
            <w:tcW w:w="4214" w:type="pct"/>
            <w:gridSpan w:val="2"/>
            <w:shd w:val="clear" w:color="auto" w:fill="auto"/>
          </w:tcPr>
          <w:p w14:paraId="5CB8574B" w14:textId="77777777" w:rsidR="00704766" w:rsidRPr="001A4AB1" w:rsidRDefault="008D26A0" w:rsidP="00704766">
            <w:pPr>
              <w:pStyle w:val="ListParagraph"/>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es"/>
              </w:rPr>
              <w:t>Comunidades, grupos o, en algunos casos, individuos</w:t>
            </w:r>
          </w:p>
          <w:p w14:paraId="4A41F211" w14:textId="5C7E9452" w:rsidR="009A3117" w:rsidRPr="00F866CD" w:rsidRDefault="009A3117"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Desarrollo sostenible</w:t>
            </w:r>
          </w:p>
        </w:tc>
      </w:tr>
    </w:tbl>
    <w:p w14:paraId="43D5DFA7" w14:textId="77777777" w:rsidR="0054175C" w:rsidRPr="00F866CD" w:rsidRDefault="0054175C" w:rsidP="0054175C">
      <w:pPr>
        <w:jc w:val="center"/>
        <w:rPr>
          <w:rFonts w:ascii="Arial" w:hAnsi="Arial" w:cs="Arial"/>
          <w:b/>
          <w:sz w:val="24"/>
        </w:rPr>
        <w:sectPr w:rsidR="0054175C" w:rsidRPr="00F866CD" w:rsidSect="000F25BA">
          <w:headerReference w:type="default" r:id="rId8"/>
          <w:footerReference w:type="default" r:id="rId9"/>
          <w:pgSz w:w="11906" w:h="16838" w:code="9"/>
          <w:pgMar w:top="1418" w:right="1134" w:bottom="1134" w:left="1134" w:header="397" w:footer="284" w:gutter="0"/>
          <w:cols w:space="708"/>
          <w:docGrid w:linePitch="360"/>
        </w:sectPr>
      </w:pPr>
    </w:p>
    <w:p w14:paraId="7EF1D9D6" w14:textId="77777777" w:rsidR="0054175C" w:rsidRPr="001A4AB1" w:rsidRDefault="0054175C" w:rsidP="005643A2">
      <w:pPr>
        <w:keepNext/>
        <w:jc w:val="center"/>
        <w:rPr>
          <w:rFonts w:ascii="Arial" w:hAnsi="Arial" w:cs="Arial"/>
          <w:b/>
          <w:sz w:val="24"/>
          <w:lang w:val="fr-FR"/>
        </w:rPr>
      </w:pPr>
      <w:r>
        <w:rPr>
          <w:rFonts w:ascii="Arial" w:hAnsi="Arial" w:cs="Arial"/>
          <w:b/>
          <w:bCs/>
          <w:sz w:val="24"/>
          <w:lang w:val="es"/>
        </w:rPr>
        <w:lastRenderedPageBreak/>
        <w:t>Orientación específica sobre el seguimiento y la presentación de informes periódicos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8116"/>
      </w:tblGrid>
      <w:tr w:rsidR="009C0510" w:rsidRPr="001A4AB1" w14:paraId="3D58B2DA" w14:textId="77777777" w:rsidTr="001A4AB1">
        <w:tc>
          <w:tcPr>
            <w:tcW w:w="785" w:type="pct"/>
            <w:shd w:val="clear" w:color="auto" w:fill="auto"/>
          </w:tcPr>
          <w:p w14:paraId="1F3EF495" w14:textId="77777777" w:rsidR="002C28BA" w:rsidRPr="00F866CD" w:rsidRDefault="002C28BA" w:rsidP="006B0DB6">
            <w:pPr>
              <w:spacing w:before="120"/>
              <w:rPr>
                <w:rFonts w:ascii="Arial" w:hAnsi="Arial" w:cs="Arial"/>
                <w:b/>
                <w:szCs w:val="22"/>
              </w:rPr>
            </w:pPr>
            <w:r>
              <w:rPr>
                <w:rFonts w:ascii="Arial" w:hAnsi="Arial" w:cs="Arial"/>
                <w:b/>
                <w:bCs/>
                <w:szCs w:val="22"/>
                <w:lang w:val="es"/>
              </w:rPr>
              <w:t>Ventajas del seguimiento</w:t>
            </w:r>
          </w:p>
        </w:tc>
        <w:tc>
          <w:tcPr>
            <w:tcW w:w="4215" w:type="pct"/>
            <w:shd w:val="clear" w:color="auto" w:fill="auto"/>
          </w:tcPr>
          <w:p w14:paraId="4D39CC1F" w14:textId="4BF2A964" w:rsidR="002C28BA" w:rsidRPr="001A4AB1" w:rsidRDefault="001A7730" w:rsidP="00B0663C">
            <w:pPr>
              <w:keepLines/>
              <w:spacing w:before="120"/>
              <w:jc w:val="both"/>
              <w:rPr>
                <w:rFonts w:ascii="Arial" w:hAnsi="Arial" w:cs="Arial"/>
                <w:bCs/>
                <w:szCs w:val="22"/>
                <w:lang w:val="es"/>
              </w:rPr>
            </w:pPr>
            <w:r>
              <w:rPr>
                <w:rFonts w:ascii="Arial" w:hAnsi="Arial" w:cs="Arial"/>
                <w:szCs w:val="22"/>
                <w:lang w:val="es"/>
              </w:rPr>
              <w:t xml:space="preserve">El seguimiento de este indicador puede revelar hasta qué punto las comunidades, los grupos y los individuos pueden beneficiarse de las políticas y medidas legales y administrativas para mejorar su bienestar y la calidad de sus vidas (factores de evaluación 15.1 y 15.2). Además, el seguimiento del factor de evaluación 15.3 puede determinar si los Estados Partes, en sus intervenciones de desarrollo propiamente dichas, están cumpliendo los objetivos establecidos en sus marcos políticos, e identificar el modo en que se está utilizando el PCI como recurso para el desarrollo sostenible. En los países que han afrontado o podrían afrontar un conflicto armado, el seguimiento de este indicador también puede contribuir a la prevención de conflictos y/o a la reconciliación después de que se produzcan. El seguimiento a nivel mundial puede identificar estrategias y medidas creativas adoptadas en países de todo el mundo y ofrecer ejemplos de buenas prácticas con eficacia demostrada, señalando así las oportunidades de cooperación e intercambio internacionales. </w:t>
            </w:r>
          </w:p>
        </w:tc>
      </w:tr>
      <w:tr w:rsidR="0054175C" w:rsidRPr="001A4AB1" w14:paraId="66977D6A" w14:textId="77777777" w:rsidTr="001A4AB1">
        <w:tc>
          <w:tcPr>
            <w:tcW w:w="785" w:type="pct"/>
            <w:shd w:val="clear" w:color="auto" w:fill="auto"/>
          </w:tcPr>
          <w:p w14:paraId="0ED23D20" w14:textId="77777777" w:rsidR="0054175C" w:rsidRPr="001A4AB1" w:rsidRDefault="0054175C" w:rsidP="0054175C">
            <w:pPr>
              <w:spacing w:before="120"/>
              <w:rPr>
                <w:rFonts w:ascii="Arial" w:hAnsi="Arial" w:cs="Arial"/>
                <w:b/>
                <w:szCs w:val="22"/>
                <w:lang w:val="fr-FR"/>
              </w:rPr>
            </w:pPr>
            <w:r>
              <w:rPr>
                <w:rFonts w:ascii="Arial" w:hAnsi="Arial" w:cs="Arial"/>
                <w:b/>
                <w:bCs/>
                <w:szCs w:val="22"/>
                <w:lang w:val="es"/>
              </w:rPr>
              <w:t>Fuentes y recopilación de información</w:t>
            </w:r>
          </w:p>
        </w:tc>
        <w:tc>
          <w:tcPr>
            <w:tcW w:w="4215" w:type="pct"/>
            <w:shd w:val="clear" w:color="auto" w:fill="auto"/>
          </w:tcPr>
          <w:p w14:paraId="327FA5A1" w14:textId="77554B0C" w:rsidR="0054175C" w:rsidRPr="001A4AB1" w:rsidRDefault="00E07B7A" w:rsidP="0054175C">
            <w:pPr>
              <w:spacing w:before="120"/>
              <w:jc w:val="both"/>
              <w:rPr>
                <w:rFonts w:ascii="Arial" w:hAnsi="Arial" w:cs="Arial"/>
                <w:szCs w:val="22"/>
                <w:lang w:val="fr-FR"/>
              </w:rPr>
            </w:pPr>
            <w:r>
              <w:rPr>
                <w:rFonts w:ascii="Arial" w:hAnsi="Arial" w:cs="Arial"/>
                <w:szCs w:val="22"/>
                <w:lang w:val="es"/>
              </w:rPr>
              <w:t>Los responsables del seguimiento y la presentación de informes tal vez deban examinar una gran variedad de fuentes de información para identificar ejemplos concretos de actividades relacionadas con el PCI. Las encuestas periódicas entre los distintos actores en el campo de la salvaguardia del PCI, o las reseñas de la cobertura mediática y la investigación académica, también podrían ser recursos importantes para la recopilación de datos. Asimismo, un órgano consultivo o un mecanismo de coordinación ampliamente inclusivo, si lo hubiera, sería una valiosa fuente de información para este indicador.</w:t>
            </w:r>
          </w:p>
          <w:p w14:paraId="6601E362" w14:textId="77777777" w:rsidR="0054175C" w:rsidRPr="00F866CD" w:rsidRDefault="00BE5B3F" w:rsidP="00704766">
            <w:pPr>
              <w:keepNext/>
              <w:spacing w:before="120" w:after="60"/>
              <w:jc w:val="both"/>
              <w:rPr>
                <w:rFonts w:ascii="Arial" w:hAnsi="Arial" w:cs="Arial"/>
                <w:b/>
                <w:szCs w:val="22"/>
              </w:rPr>
            </w:pPr>
            <w:r>
              <w:rPr>
                <w:rFonts w:ascii="Arial" w:hAnsi="Arial" w:cs="Arial"/>
                <w:b/>
                <w:bCs/>
                <w:szCs w:val="22"/>
                <w:lang w:val="es"/>
              </w:rPr>
              <w:t>Posibles fuentes de información</w:t>
            </w:r>
          </w:p>
          <w:p w14:paraId="715F5232" w14:textId="77777777" w:rsidR="0054175C" w:rsidRPr="001A4AB1" w:rsidRDefault="005643A2" w:rsidP="00BE5B3F">
            <w:pPr>
              <w:pStyle w:val="ListParagraph"/>
              <w:numPr>
                <w:ilvl w:val="0"/>
                <w:numId w:val="73"/>
              </w:numPr>
              <w:spacing w:before="120"/>
              <w:jc w:val="both"/>
              <w:rPr>
                <w:rFonts w:ascii="Arial" w:hAnsi="Arial" w:cs="Arial"/>
                <w:lang w:val="fr-FR"/>
              </w:rPr>
            </w:pPr>
            <w:r>
              <w:rPr>
                <w:rFonts w:ascii="Arial" w:hAnsi="Arial" w:cs="Arial"/>
                <w:lang w:val="es"/>
              </w:rPr>
              <w:t>Informes de ONG, asociaciones comunitarias y otros actores sobre sus acciones.</w:t>
            </w:r>
          </w:p>
          <w:p w14:paraId="76DDED39" w14:textId="77777777" w:rsidR="005643A2" w:rsidRPr="001A4AB1" w:rsidRDefault="005643A2" w:rsidP="005643A2">
            <w:pPr>
              <w:pStyle w:val="ListParagraph"/>
              <w:numPr>
                <w:ilvl w:val="0"/>
                <w:numId w:val="73"/>
              </w:numPr>
              <w:rPr>
                <w:rFonts w:ascii="Arial" w:hAnsi="Arial" w:cs="Arial"/>
                <w:lang w:val="fr-FR"/>
              </w:rPr>
            </w:pPr>
            <w:r>
              <w:rPr>
                <w:rFonts w:ascii="Arial" w:hAnsi="Arial" w:cs="Arial"/>
                <w:lang w:val="es"/>
              </w:rPr>
              <w:t>Circulares y boletines informativos y sitios web de asociaciones profesionales o de redes de investigadores.</w:t>
            </w:r>
          </w:p>
          <w:p w14:paraId="717D14E5" w14:textId="1ADC523C" w:rsidR="005643A2" w:rsidRPr="001A4AB1" w:rsidRDefault="005643A2" w:rsidP="00BE5B3F">
            <w:pPr>
              <w:pStyle w:val="ListParagraph"/>
              <w:numPr>
                <w:ilvl w:val="0"/>
                <w:numId w:val="73"/>
              </w:numPr>
              <w:spacing w:before="120"/>
              <w:jc w:val="both"/>
              <w:rPr>
                <w:rFonts w:ascii="Arial" w:hAnsi="Arial" w:cs="Arial"/>
                <w:lang w:val="fr-FR"/>
              </w:rPr>
            </w:pPr>
            <w:r>
              <w:rPr>
                <w:rFonts w:ascii="Arial" w:hAnsi="Arial" w:cs="Arial"/>
                <w:lang w:val="es"/>
              </w:rPr>
              <w:t>Cobertura mediática de las iniciativas de base comunitaria u otras intervenciones para la salvaguardia.</w:t>
            </w:r>
          </w:p>
        </w:tc>
      </w:tr>
    </w:tbl>
    <w:p w14:paraId="70900347" w14:textId="77777777" w:rsidR="00320242" w:rsidRPr="00F866CD" w:rsidRDefault="00320242" w:rsidP="00A5709F">
      <w:pPr>
        <w:rPr>
          <w:rFonts w:ascii="Arial" w:hAnsi="Arial" w:cs="Arial"/>
        </w:rPr>
      </w:pPr>
      <w:bookmarkStart w:id="0" w:name="_GoBack"/>
      <w:bookmarkEnd w:id="0"/>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0C33C" w14:textId="77777777" w:rsidR="007E64D3" w:rsidRDefault="007E64D3" w:rsidP="002938F2">
      <w:r>
        <w:separator/>
      </w:r>
    </w:p>
    <w:p w14:paraId="43CE8DF8" w14:textId="77777777" w:rsidR="007E64D3" w:rsidRDefault="007E64D3"/>
  </w:endnote>
  <w:endnote w:type="continuationSeparator" w:id="0">
    <w:p w14:paraId="54BAB4FD" w14:textId="77777777" w:rsidR="007E64D3" w:rsidRDefault="007E64D3" w:rsidP="002938F2">
      <w:r>
        <w:continuationSeparator/>
      </w:r>
    </w:p>
    <w:p w14:paraId="19BE3098" w14:textId="77777777" w:rsidR="007E64D3" w:rsidRDefault="007E64D3"/>
  </w:endnote>
  <w:endnote w:type="continuationNotice" w:id="1">
    <w:p w14:paraId="2C2F51B9" w14:textId="77777777" w:rsidR="007E64D3" w:rsidRDefault="007E64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F1AB2" w14:textId="09257511" w:rsidR="00C04344" w:rsidRPr="000A0709" w:rsidRDefault="000F25BA" w:rsidP="000A0709">
    <w:pPr>
      <w:pStyle w:val="Footer"/>
      <w:jc w:val="center"/>
      <w:rPr>
        <w:rFonts w:ascii="Arial" w:hAnsi="Arial"/>
      </w:rPr>
    </w:pPr>
    <w:r>
      <w:rPr>
        <w:rFonts w:ascii="Arial" w:hAnsi="Arial" w:cs="Arial"/>
        <w:lang w:val="es"/>
      </w:rPr>
      <w:fldChar w:fldCharType="begin"/>
    </w:r>
    <w:r>
      <w:rPr>
        <w:rFonts w:ascii="Arial" w:hAnsi="Arial" w:cs="Arial"/>
        <w:lang w:val="es"/>
      </w:rPr>
      <w:instrText xml:space="preserve"> PAGE   \* MERGEFORMAT </w:instrText>
    </w:r>
    <w:r>
      <w:rPr>
        <w:rFonts w:ascii="Arial" w:hAnsi="Arial" w:cs="Arial"/>
        <w:lang w:val="es"/>
      </w:rPr>
      <w:fldChar w:fldCharType="separate"/>
    </w:r>
    <w:r>
      <w:rPr>
        <w:rFonts w:ascii="Arial" w:hAnsi="Arial" w:cs="Arial"/>
        <w:noProof/>
        <w:lang w:val="es"/>
      </w:rPr>
      <w:t>1</w:t>
    </w:r>
    <w:r>
      <w:rPr>
        <w:rFonts w:ascii="Arial" w:hAnsi="Arial" w:cs="Arial"/>
        <w:noProof/>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E5919" w14:textId="77777777" w:rsidR="007E64D3" w:rsidRDefault="007E64D3" w:rsidP="002938F2">
      <w:r>
        <w:separator/>
      </w:r>
    </w:p>
  </w:footnote>
  <w:footnote w:type="continuationSeparator" w:id="0">
    <w:p w14:paraId="7F5BE2D7" w14:textId="77777777" w:rsidR="007E64D3" w:rsidRDefault="007E64D3" w:rsidP="002938F2">
      <w:r>
        <w:continuationSeparator/>
      </w:r>
    </w:p>
    <w:p w14:paraId="031A6079" w14:textId="77777777" w:rsidR="007E64D3" w:rsidRDefault="007E64D3"/>
  </w:footnote>
  <w:footnote w:type="continuationNotice" w:id="1">
    <w:p w14:paraId="1230AD3E" w14:textId="77777777" w:rsidR="007E64D3" w:rsidRDefault="007E64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5D30" w14:textId="77777777" w:rsidR="004243E1" w:rsidRDefault="00424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DED5E14"/>
    <w:multiLevelType w:val="multilevel"/>
    <w:tmpl w:val="C25CF238"/>
    <w:lvl w:ilvl="0">
      <w:start w:val="15"/>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7"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4"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6"/>
  </w:num>
  <w:num w:numId="3">
    <w:abstractNumId w:val="12"/>
  </w:num>
  <w:num w:numId="4">
    <w:abstractNumId w:val="55"/>
  </w:num>
  <w:num w:numId="5">
    <w:abstractNumId w:val="46"/>
  </w:num>
  <w:num w:numId="6">
    <w:abstractNumId w:val="5"/>
  </w:num>
  <w:num w:numId="7">
    <w:abstractNumId w:val="16"/>
  </w:num>
  <w:num w:numId="8">
    <w:abstractNumId w:val="25"/>
  </w:num>
  <w:num w:numId="9">
    <w:abstractNumId w:val="49"/>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3"/>
  </w:num>
  <w:num w:numId="17">
    <w:abstractNumId w:val="39"/>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53"/>
  </w:num>
  <w:num w:numId="27">
    <w:abstractNumId w:val="25"/>
  </w:num>
  <w:num w:numId="28">
    <w:abstractNumId w:val="25"/>
  </w:num>
  <w:num w:numId="29">
    <w:abstractNumId w:val="25"/>
  </w:num>
  <w:num w:numId="30">
    <w:abstractNumId w:val="25"/>
  </w:num>
  <w:num w:numId="31">
    <w:abstractNumId w:val="11"/>
  </w:num>
  <w:num w:numId="32">
    <w:abstractNumId w:val="9"/>
  </w:num>
  <w:num w:numId="33">
    <w:abstractNumId w:val="17"/>
  </w:num>
  <w:num w:numId="34">
    <w:abstractNumId w:val="47"/>
  </w:num>
  <w:num w:numId="35">
    <w:abstractNumId w:val="21"/>
  </w:num>
  <w:num w:numId="36">
    <w:abstractNumId w:val="41"/>
  </w:num>
  <w:num w:numId="37">
    <w:abstractNumId w:val="18"/>
  </w:num>
  <w:num w:numId="38">
    <w:abstractNumId w:val="10"/>
  </w:num>
  <w:num w:numId="39">
    <w:abstractNumId w:val="7"/>
  </w:num>
  <w:num w:numId="40">
    <w:abstractNumId w:val="20"/>
  </w:num>
  <w:num w:numId="41">
    <w:abstractNumId w:val="54"/>
  </w:num>
  <w:num w:numId="42">
    <w:abstractNumId w:val="51"/>
  </w:num>
  <w:num w:numId="43">
    <w:abstractNumId w:val="29"/>
  </w:num>
  <w:num w:numId="44">
    <w:abstractNumId w:val="13"/>
  </w:num>
  <w:num w:numId="45">
    <w:abstractNumId w:val="52"/>
  </w:num>
  <w:num w:numId="46">
    <w:abstractNumId w:val="6"/>
  </w:num>
  <w:num w:numId="47">
    <w:abstractNumId w:val="36"/>
  </w:num>
  <w:num w:numId="48">
    <w:abstractNumId w:val="56"/>
  </w:num>
  <w:num w:numId="49">
    <w:abstractNumId w:val="32"/>
  </w:num>
  <w:num w:numId="50">
    <w:abstractNumId w:val="30"/>
  </w:num>
  <w:num w:numId="51">
    <w:abstractNumId w:val="27"/>
  </w:num>
  <w:num w:numId="52">
    <w:abstractNumId w:val="38"/>
  </w:num>
  <w:num w:numId="53">
    <w:abstractNumId w:val="15"/>
  </w:num>
  <w:num w:numId="54">
    <w:abstractNumId w:val="1"/>
  </w:num>
  <w:num w:numId="55">
    <w:abstractNumId w:val="34"/>
  </w:num>
  <w:num w:numId="56">
    <w:abstractNumId w:val="40"/>
  </w:num>
  <w:num w:numId="57">
    <w:abstractNumId w:val="0"/>
  </w:num>
  <w:num w:numId="58">
    <w:abstractNumId w:val="4"/>
  </w:num>
  <w:num w:numId="59">
    <w:abstractNumId w:val="44"/>
  </w:num>
  <w:num w:numId="60">
    <w:abstractNumId w:val="3"/>
  </w:num>
  <w:num w:numId="61">
    <w:abstractNumId w:val="31"/>
  </w:num>
  <w:num w:numId="62">
    <w:abstractNumId w:val="22"/>
  </w:num>
  <w:num w:numId="63">
    <w:abstractNumId w:val="48"/>
  </w:num>
  <w:num w:numId="64">
    <w:abstractNumId w:val="19"/>
  </w:num>
  <w:num w:numId="65">
    <w:abstractNumId w:val="24"/>
  </w:num>
  <w:num w:numId="66">
    <w:abstractNumId w:val="45"/>
  </w:num>
  <w:num w:numId="67">
    <w:abstractNumId w:val="37"/>
  </w:num>
  <w:num w:numId="68">
    <w:abstractNumId w:val="14"/>
  </w:num>
  <w:num w:numId="69">
    <w:abstractNumId w:val="42"/>
  </w:num>
  <w:num w:numId="70">
    <w:abstractNumId w:val="33"/>
  </w:num>
  <w:num w:numId="71">
    <w:abstractNumId w:val="28"/>
  </w:num>
  <w:num w:numId="72">
    <w:abstractNumId w:val="50"/>
  </w:num>
  <w:num w:numId="73">
    <w:abstractNumId w:val="8"/>
  </w:num>
  <w:num w:numId="74">
    <w:abstractNumId w:val="35"/>
  </w:num>
  <w:num w:numId="75">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_tradnl" w:vendorID="64" w:dllVersion="4096"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6A0"/>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D7B22"/>
    <w:rsid w:val="000E2EE7"/>
    <w:rsid w:val="000F25BA"/>
    <w:rsid w:val="000F2B3F"/>
    <w:rsid w:val="000F7E6F"/>
    <w:rsid w:val="0010113B"/>
    <w:rsid w:val="00106B72"/>
    <w:rsid w:val="00106D19"/>
    <w:rsid w:val="0011334A"/>
    <w:rsid w:val="00115830"/>
    <w:rsid w:val="00116489"/>
    <w:rsid w:val="0011750D"/>
    <w:rsid w:val="00121B41"/>
    <w:rsid w:val="0012544A"/>
    <w:rsid w:val="001301DF"/>
    <w:rsid w:val="001412DE"/>
    <w:rsid w:val="00142D78"/>
    <w:rsid w:val="00144A4D"/>
    <w:rsid w:val="00151351"/>
    <w:rsid w:val="00156788"/>
    <w:rsid w:val="001609A1"/>
    <w:rsid w:val="00162554"/>
    <w:rsid w:val="00163F68"/>
    <w:rsid w:val="00173B50"/>
    <w:rsid w:val="00173E0E"/>
    <w:rsid w:val="00174B39"/>
    <w:rsid w:val="00183F6C"/>
    <w:rsid w:val="00194802"/>
    <w:rsid w:val="00194AEB"/>
    <w:rsid w:val="001A431C"/>
    <w:rsid w:val="001A4AB1"/>
    <w:rsid w:val="001A5519"/>
    <w:rsid w:val="001A7730"/>
    <w:rsid w:val="001A7C3A"/>
    <w:rsid w:val="001B5C26"/>
    <w:rsid w:val="001B6461"/>
    <w:rsid w:val="001C08BC"/>
    <w:rsid w:val="001C56BA"/>
    <w:rsid w:val="001C6D7D"/>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085D"/>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1AA4"/>
    <w:rsid w:val="002828D6"/>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D396D"/>
    <w:rsid w:val="002D71D4"/>
    <w:rsid w:val="002E113D"/>
    <w:rsid w:val="002F17E1"/>
    <w:rsid w:val="003043A9"/>
    <w:rsid w:val="0030454E"/>
    <w:rsid w:val="00320242"/>
    <w:rsid w:val="00322A3A"/>
    <w:rsid w:val="00324A32"/>
    <w:rsid w:val="00325D6E"/>
    <w:rsid w:val="00334977"/>
    <w:rsid w:val="00337194"/>
    <w:rsid w:val="00342EE8"/>
    <w:rsid w:val="00344D78"/>
    <w:rsid w:val="00346517"/>
    <w:rsid w:val="00351CCB"/>
    <w:rsid w:val="0035648A"/>
    <w:rsid w:val="00362B41"/>
    <w:rsid w:val="00363995"/>
    <w:rsid w:val="00364E5E"/>
    <w:rsid w:val="00370E9B"/>
    <w:rsid w:val="00377E4B"/>
    <w:rsid w:val="00383BA9"/>
    <w:rsid w:val="003845B0"/>
    <w:rsid w:val="00385B34"/>
    <w:rsid w:val="00386C08"/>
    <w:rsid w:val="00387D88"/>
    <w:rsid w:val="0039446E"/>
    <w:rsid w:val="003A260A"/>
    <w:rsid w:val="003A2BC4"/>
    <w:rsid w:val="003B31BE"/>
    <w:rsid w:val="003B504D"/>
    <w:rsid w:val="003C7065"/>
    <w:rsid w:val="003D2E0D"/>
    <w:rsid w:val="003D5113"/>
    <w:rsid w:val="003D5BFC"/>
    <w:rsid w:val="003D6E10"/>
    <w:rsid w:val="003E0C0F"/>
    <w:rsid w:val="003E0E28"/>
    <w:rsid w:val="003E19D5"/>
    <w:rsid w:val="003E76A8"/>
    <w:rsid w:val="003F5B90"/>
    <w:rsid w:val="00404856"/>
    <w:rsid w:val="00406ED7"/>
    <w:rsid w:val="004108B6"/>
    <w:rsid w:val="0041110F"/>
    <w:rsid w:val="0041300C"/>
    <w:rsid w:val="00414B68"/>
    <w:rsid w:val="004243E1"/>
    <w:rsid w:val="00430ED2"/>
    <w:rsid w:val="00434773"/>
    <w:rsid w:val="004367F5"/>
    <w:rsid w:val="004458C9"/>
    <w:rsid w:val="00447C66"/>
    <w:rsid w:val="00462F38"/>
    <w:rsid w:val="00471B34"/>
    <w:rsid w:val="00474AFE"/>
    <w:rsid w:val="00477E66"/>
    <w:rsid w:val="00480809"/>
    <w:rsid w:val="004831C7"/>
    <w:rsid w:val="00486A5E"/>
    <w:rsid w:val="00493F92"/>
    <w:rsid w:val="004A0C2B"/>
    <w:rsid w:val="004A610E"/>
    <w:rsid w:val="004C20E2"/>
    <w:rsid w:val="004E056C"/>
    <w:rsid w:val="004E2817"/>
    <w:rsid w:val="004E2AE8"/>
    <w:rsid w:val="004E418A"/>
    <w:rsid w:val="005016FB"/>
    <w:rsid w:val="00504256"/>
    <w:rsid w:val="00511D17"/>
    <w:rsid w:val="005157E2"/>
    <w:rsid w:val="0051699F"/>
    <w:rsid w:val="00516DE3"/>
    <w:rsid w:val="00526EBA"/>
    <w:rsid w:val="005300BF"/>
    <w:rsid w:val="00532631"/>
    <w:rsid w:val="005414A1"/>
    <w:rsid w:val="0054175C"/>
    <w:rsid w:val="005473CF"/>
    <w:rsid w:val="005643A2"/>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84"/>
    <w:rsid w:val="00653314"/>
    <w:rsid w:val="00653DFE"/>
    <w:rsid w:val="0067005F"/>
    <w:rsid w:val="0067015A"/>
    <w:rsid w:val="006736EC"/>
    <w:rsid w:val="00673D90"/>
    <w:rsid w:val="00676C1E"/>
    <w:rsid w:val="00686D60"/>
    <w:rsid w:val="00691869"/>
    <w:rsid w:val="006A0D86"/>
    <w:rsid w:val="006A49AE"/>
    <w:rsid w:val="006A56C0"/>
    <w:rsid w:val="006C0911"/>
    <w:rsid w:val="006C10ED"/>
    <w:rsid w:val="006C737A"/>
    <w:rsid w:val="006D46FB"/>
    <w:rsid w:val="006E29C0"/>
    <w:rsid w:val="006E752A"/>
    <w:rsid w:val="006E7CF0"/>
    <w:rsid w:val="006F3E83"/>
    <w:rsid w:val="006F4B83"/>
    <w:rsid w:val="006F7F47"/>
    <w:rsid w:val="00701458"/>
    <w:rsid w:val="00701D7E"/>
    <w:rsid w:val="00704766"/>
    <w:rsid w:val="00711032"/>
    <w:rsid w:val="007119B8"/>
    <w:rsid w:val="0072415E"/>
    <w:rsid w:val="007247D7"/>
    <w:rsid w:val="007250E3"/>
    <w:rsid w:val="007277C8"/>
    <w:rsid w:val="00732057"/>
    <w:rsid w:val="007368A2"/>
    <w:rsid w:val="007418AE"/>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E64D3"/>
    <w:rsid w:val="007F4B07"/>
    <w:rsid w:val="00800E34"/>
    <w:rsid w:val="008029A6"/>
    <w:rsid w:val="008147BA"/>
    <w:rsid w:val="008269B0"/>
    <w:rsid w:val="0083067E"/>
    <w:rsid w:val="00832357"/>
    <w:rsid w:val="0083488D"/>
    <w:rsid w:val="00842A0B"/>
    <w:rsid w:val="008466C3"/>
    <w:rsid w:val="00846809"/>
    <w:rsid w:val="00851458"/>
    <w:rsid w:val="00861A47"/>
    <w:rsid w:val="008707FF"/>
    <w:rsid w:val="008724E5"/>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7F60"/>
    <w:rsid w:val="008D26A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77E1"/>
    <w:rsid w:val="00971CA1"/>
    <w:rsid w:val="0097349C"/>
    <w:rsid w:val="009814C2"/>
    <w:rsid w:val="00982FFD"/>
    <w:rsid w:val="00985265"/>
    <w:rsid w:val="00985856"/>
    <w:rsid w:val="009A3117"/>
    <w:rsid w:val="009A4969"/>
    <w:rsid w:val="009B1466"/>
    <w:rsid w:val="009B6973"/>
    <w:rsid w:val="009C0510"/>
    <w:rsid w:val="009C3663"/>
    <w:rsid w:val="009C7923"/>
    <w:rsid w:val="009D098F"/>
    <w:rsid w:val="009D4547"/>
    <w:rsid w:val="009D5A49"/>
    <w:rsid w:val="009D5E38"/>
    <w:rsid w:val="009D602F"/>
    <w:rsid w:val="009D68D0"/>
    <w:rsid w:val="009E17AF"/>
    <w:rsid w:val="009F0D42"/>
    <w:rsid w:val="009F1B82"/>
    <w:rsid w:val="009F34A4"/>
    <w:rsid w:val="009F3988"/>
    <w:rsid w:val="00A003D0"/>
    <w:rsid w:val="00A073FD"/>
    <w:rsid w:val="00A150C7"/>
    <w:rsid w:val="00A2307A"/>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B1528"/>
    <w:rsid w:val="00AD6BD4"/>
    <w:rsid w:val="00AE1B18"/>
    <w:rsid w:val="00AE1D83"/>
    <w:rsid w:val="00AE2DFB"/>
    <w:rsid w:val="00AE3061"/>
    <w:rsid w:val="00AF15BA"/>
    <w:rsid w:val="00AF1C32"/>
    <w:rsid w:val="00AF65C6"/>
    <w:rsid w:val="00B0663C"/>
    <w:rsid w:val="00B11AE3"/>
    <w:rsid w:val="00B121A6"/>
    <w:rsid w:val="00B300B8"/>
    <w:rsid w:val="00B32A28"/>
    <w:rsid w:val="00B33904"/>
    <w:rsid w:val="00B3751E"/>
    <w:rsid w:val="00B427FE"/>
    <w:rsid w:val="00B51737"/>
    <w:rsid w:val="00B6102A"/>
    <w:rsid w:val="00B6167A"/>
    <w:rsid w:val="00B62ED0"/>
    <w:rsid w:val="00B64196"/>
    <w:rsid w:val="00B66A7A"/>
    <w:rsid w:val="00B70266"/>
    <w:rsid w:val="00B74304"/>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05D61"/>
    <w:rsid w:val="00C17FE4"/>
    <w:rsid w:val="00C21897"/>
    <w:rsid w:val="00C276EE"/>
    <w:rsid w:val="00C43146"/>
    <w:rsid w:val="00C43757"/>
    <w:rsid w:val="00C43BCE"/>
    <w:rsid w:val="00C47CF1"/>
    <w:rsid w:val="00C52006"/>
    <w:rsid w:val="00C53AB4"/>
    <w:rsid w:val="00C542F1"/>
    <w:rsid w:val="00C572B3"/>
    <w:rsid w:val="00C57CA1"/>
    <w:rsid w:val="00C6300B"/>
    <w:rsid w:val="00C6426B"/>
    <w:rsid w:val="00C6478B"/>
    <w:rsid w:val="00C87194"/>
    <w:rsid w:val="00C9046E"/>
    <w:rsid w:val="00C90629"/>
    <w:rsid w:val="00C90C51"/>
    <w:rsid w:val="00CA3ED6"/>
    <w:rsid w:val="00CA7CF4"/>
    <w:rsid w:val="00CB0F37"/>
    <w:rsid w:val="00CB1135"/>
    <w:rsid w:val="00CB590B"/>
    <w:rsid w:val="00CC02C5"/>
    <w:rsid w:val="00CC2BC6"/>
    <w:rsid w:val="00CC3AAB"/>
    <w:rsid w:val="00CD324E"/>
    <w:rsid w:val="00CD4A28"/>
    <w:rsid w:val="00CD54BD"/>
    <w:rsid w:val="00CD6C36"/>
    <w:rsid w:val="00CE255D"/>
    <w:rsid w:val="00CE2586"/>
    <w:rsid w:val="00CF05D7"/>
    <w:rsid w:val="00CF34A6"/>
    <w:rsid w:val="00CF3F93"/>
    <w:rsid w:val="00D020F3"/>
    <w:rsid w:val="00D04515"/>
    <w:rsid w:val="00D065AD"/>
    <w:rsid w:val="00D22831"/>
    <w:rsid w:val="00D404B7"/>
    <w:rsid w:val="00D44509"/>
    <w:rsid w:val="00D448CB"/>
    <w:rsid w:val="00D47226"/>
    <w:rsid w:val="00D47ED5"/>
    <w:rsid w:val="00D61779"/>
    <w:rsid w:val="00D73DB6"/>
    <w:rsid w:val="00D809E5"/>
    <w:rsid w:val="00D81948"/>
    <w:rsid w:val="00D90819"/>
    <w:rsid w:val="00D93291"/>
    <w:rsid w:val="00D9501F"/>
    <w:rsid w:val="00DB50D5"/>
    <w:rsid w:val="00DC5537"/>
    <w:rsid w:val="00DD11EE"/>
    <w:rsid w:val="00DD52A0"/>
    <w:rsid w:val="00DE5590"/>
    <w:rsid w:val="00DE6364"/>
    <w:rsid w:val="00DF1D9E"/>
    <w:rsid w:val="00DF3DA3"/>
    <w:rsid w:val="00DF5DA4"/>
    <w:rsid w:val="00E06492"/>
    <w:rsid w:val="00E065CE"/>
    <w:rsid w:val="00E06A00"/>
    <w:rsid w:val="00E07B7A"/>
    <w:rsid w:val="00E13E03"/>
    <w:rsid w:val="00E22B99"/>
    <w:rsid w:val="00E24A9D"/>
    <w:rsid w:val="00E258D9"/>
    <w:rsid w:val="00E35B8C"/>
    <w:rsid w:val="00E439CA"/>
    <w:rsid w:val="00E4595C"/>
    <w:rsid w:val="00E46DDB"/>
    <w:rsid w:val="00E473F3"/>
    <w:rsid w:val="00E5219B"/>
    <w:rsid w:val="00E56905"/>
    <w:rsid w:val="00E64BE4"/>
    <w:rsid w:val="00E853D1"/>
    <w:rsid w:val="00E85565"/>
    <w:rsid w:val="00E87F91"/>
    <w:rsid w:val="00E94BC6"/>
    <w:rsid w:val="00EA0563"/>
    <w:rsid w:val="00EA198F"/>
    <w:rsid w:val="00EA2EA1"/>
    <w:rsid w:val="00EA3CB9"/>
    <w:rsid w:val="00EA59EB"/>
    <w:rsid w:val="00EA67F3"/>
    <w:rsid w:val="00EB48F8"/>
    <w:rsid w:val="00ED0C60"/>
    <w:rsid w:val="00ED3D26"/>
    <w:rsid w:val="00ED5218"/>
    <w:rsid w:val="00EE1D9D"/>
    <w:rsid w:val="00EF0BCB"/>
    <w:rsid w:val="00EF0E74"/>
    <w:rsid w:val="00EF2549"/>
    <w:rsid w:val="00F00E8A"/>
    <w:rsid w:val="00F06301"/>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941F0"/>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42E6F4"/>
  <w15:docId w15:val="{115D600D-4B85-4F2F-A587-5D8E377D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424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822314">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366AB-3DD4-459E-8218-D16A6F014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2</TotalTime>
  <Pages>2</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4</cp:revision>
  <dcterms:created xsi:type="dcterms:W3CDTF">2019-07-24T00:16:00Z</dcterms:created>
  <dcterms:modified xsi:type="dcterms:W3CDTF">2019-12-06T17:19:00Z</dcterms:modified>
</cp:coreProperties>
</file>