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D016" w14:textId="77777777" w:rsidR="00FF6124" w:rsidRDefault="00FF6124" w:rsidP="00396E63">
      <w:pPr>
        <w:pageBreakBefore/>
        <w:bidi/>
        <w:jc w:val="center"/>
        <w:rPr>
          <w:rFonts w:asciiTheme="majorBidi" w:hAnsiTheme="majorBidi" w:cstheme="majorBidi"/>
          <w:b/>
          <w:bCs/>
          <w:sz w:val="24"/>
          <w:szCs w:val="28"/>
        </w:rPr>
      </w:pPr>
      <w:r>
        <w:rPr>
          <w:rFonts w:asciiTheme="majorBidi" w:hAnsiTheme="majorBidi" w:hint="cs"/>
          <w:b/>
          <w:bCs/>
          <w:sz w:val="24"/>
          <w:szCs w:val="28"/>
          <w:rtl/>
        </w:rPr>
        <w:t>اللمحة العامة والأسس المنطقية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4"/>
        <w:gridCol w:w="6354"/>
        <w:gridCol w:w="1760"/>
      </w:tblGrid>
      <w:tr w:rsidR="005473CF" w:rsidRPr="00C11D14" w14:paraId="4BED086E" w14:textId="77777777" w:rsidTr="007E2E7F">
        <w:trPr>
          <w:cantSplit/>
        </w:trPr>
        <w:tc>
          <w:tcPr>
            <w:tcW w:w="786" w:type="pct"/>
            <w:shd w:val="clear" w:color="auto" w:fill="auto"/>
          </w:tcPr>
          <w:p w14:paraId="658F747A" w14:textId="2A0340E9" w:rsidR="005473CF" w:rsidRPr="009A23B8" w:rsidRDefault="00FF6124" w:rsidP="00396E63">
            <w:pPr>
              <w:bidi/>
              <w:spacing w:before="120"/>
              <w:jc w:val="both"/>
              <w:rPr>
                <w:rFonts w:asciiTheme="majorBidi" w:hAnsiTheme="majorBidi" w:cstheme="majorBidi"/>
                <w:b/>
                <w:sz w:val="24"/>
              </w:rPr>
            </w:pPr>
            <w:r w:rsidRPr="009A23B8">
              <w:rPr>
                <w:rFonts w:asciiTheme="majorBidi" w:hAnsiTheme="majorBidi"/>
                <w:b/>
                <w:bCs/>
                <w:sz w:val="24"/>
                <w:rtl/>
              </w:rPr>
              <w:t>المؤشر</w:t>
            </w:r>
          </w:p>
        </w:tc>
        <w:tc>
          <w:tcPr>
            <w:tcW w:w="4214" w:type="pct"/>
            <w:gridSpan w:val="2"/>
            <w:shd w:val="clear" w:color="auto" w:fill="auto"/>
          </w:tcPr>
          <w:p w14:paraId="4B746900" w14:textId="13418F99" w:rsidR="005473CF" w:rsidRPr="009A23B8" w:rsidRDefault="00410F9B" w:rsidP="00396E63">
            <w:pPr>
              <w:pStyle w:val="ListParagraph"/>
              <w:keepLines/>
              <w:numPr>
                <w:ilvl w:val="0"/>
                <w:numId w:val="7"/>
              </w:numPr>
              <w:bidi/>
              <w:spacing w:before="120"/>
              <w:jc w:val="both"/>
              <w:rPr>
                <w:rFonts w:asciiTheme="majorBidi" w:hAnsiTheme="majorBidi" w:cstheme="majorBidi"/>
                <w:bCs/>
                <w:sz w:val="24"/>
                <w:szCs w:val="24"/>
              </w:rPr>
            </w:pPr>
            <w:r w:rsidRPr="009A23B8">
              <w:rPr>
                <w:rFonts w:asciiTheme="majorBidi" w:hAnsiTheme="majorBidi" w:cstheme="majorBidi"/>
                <w:bCs/>
                <w:sz w:val="24"/>
                <w:szCs w:val="24"/>
                <w:rtl/>
              </w:rPr>
              <w:t>مدى مشاركة الجماعات والمجموعات والأفراد على نطاق واسع في التوعية بأهمية التراث الثقافي غير المادي وصونه</w:t>
            </w:r>
          </w:p>
        </w:tc>
      </w:tr>
      <w:tr w:rsidR="005B0FE5" w:rsidRPr="00C11D14" w14:paraId="3E4347C1" w14:textId="77777777" w:rsidTr="007E2E7F">
        <w:trPr>
          <w:cantSplit/>
        </w:trPr>
        <w:tc>
          <w:tcPr>
            <w:tcW w:w="786" w:type="pct"/>
            <w:vMerge w:val="restart"/>
            <w:shd w:val="clear" w:color="auto" w:fill="auto"/>
          </w:tcPr>
          <w:p w14:paraId="5F693F39" w14:textId="62543BC1" w:rsidR="005B0FE5" w:rsidRPr="009A23B8" w:rsidRDefault="00FF6124" w:rsidP="00396E63">
            <w:pPr>
              <w:bidi/>
              <w:spacing w:before="120"/>
              <w:jc w:val="both"/>
              <w:rPr>
                <w:rFonts w:asciiTheme="majorBidi" w:hAnsiTheme="majorBidi" w:cstheme="majorBidi"/>
                <w:b/>
                <w:sz w:val="24"/>
              </w:rPr>
            </w:pPr>
            <w:r w:rsidRPr="009A23B8">
              <w:rPr>
                <w:rFonts w:asciiTheme="majorBidi" w:hAnsiTheme="majorBidi"/>
                <w:b/>
                <w:bCs/>
                <w:sz w:val="24"/>
                <w:rtl/>
              </w:rPr>
              <w:t>عوامل التقييم الشامل</w:t>
            </w:r>
          </w:p>
        </w:tc>
        <w:tc>
          <w:tcPr>
            <w:tcW w:w="4214" w:type="pct"/>
            <w:gridSpan w:val="2"/>
            <w:shd w:val="clear" w:color="auto" w:fill="auto"/>
          </w:tcPr>
          <w:p w14:paraId="63AB50AF" w14:textId="516BDF6E" w:rsidR="005B0FE5" w:rsidRPr="009A23B8" w:rsidRDefault="00FF6124" w:rsidP="00396E63">
            <w:pPr>
              <w:keepLines/>
              <w:bidi/>
              <w:spacing w:before="120"/>
              <w:jc w:val="both"/>
              <w:rPr>
                <w:rFonts w:asciiTheme="majorBidi" w:hAnsiTheme="majorBidi" w:cstheme="majorBidi"/>
                <w:b/>
                <w:sz w:val="24"/>
              </w:rPr>
            </w:pPr>
            <w:r w:rsidRPr="009A23B8">
              <w:rPr>
                <w:rFonts w:asciiTheme="majorBidi" w:hAnsiTheme="majorBidi"/>
                <w:sz w:val="24"/>
                <w:rtl/>
              </w:rPr>
              <w:t>يتم تقييم هذا المؤشر على أساس عامل</w:t>
            </w:r>
            <w:r w:rsidR="00410F9B" w:rsidRPr="009A23B8">
              <w:rPr>
                <w:rFonts w:asciiTheme="majorBidi" w:hAnsiTheme="majorBidi" w:hint="cs"/>
                <w:sz w:val="24"/>
                <w:rtl/>
              </w:rPr>
              <w:t>ين</w:t>
            </w:r>
            <w:r w:rsidRPr="009A23B8">
              <w:rPr>
                <w:rFonts w:asciiTheme="majorBidi" w:hAnsiTheme="majorBidi"/>
                <w:sz w:val="24"/>
                <w:rtl/>
              </w:rPr>
              <w:t xml:space="preserve"> على الصعيد القطري ترصده</w:t>
            </w:r>
            <w:r w:rsidR="00410F9B" w:rsidRPr="009A23B8">
              <w:rPr>
                <w:rFonts w:asciiTheme="majorBidi" w:hAnsiTheme="majorBidi" w:hint="cs"/>
                <w:sz w:val="24"/>
                <w:rtl/>
              </w:rPr>
              <w:t>م</w:t>
            </w:r>
            <w:r w:rsidRPr="009A23B8">
              <w:rPr>
                <w:rFonts w:asciiTheme="majorBidi" w:hAnsiTheme="majorBidi"/>
                <w:sz w:val="24"/>
                <w:rtl/>
              </w:rPr>
              <w:t>ا كل دولة طرف و</w:t>
            </w:r>
            <w:r w:rsidR="001679CE">
              <w:rPr>
                <w:rFonts w:asciiTheme="majorBidi" w:hAnsiTheme="majorBidi" w:hint="cs"/>
                <w:sz w:val="24"/>
                <w:rtl/>
              </w:rPr>
              <w:t xml:space="preserve">اعداد </w:t>
            </w:r>
            <w:proofErr w:type="gramStart"/>
            <w:r w:rsidR="001679CE">
              <w:rPr>
                <w:rFonts w:asciiTheme="majorBidi" w:hAnsiTheme="majorBidi" w:hint="cs"/>
                <w:sz w:val="24"/>
                <w:rtl/>
              </w:rPr>
              <w:t xml:space="preserve">التقرير </w:t>
            </w:r>
            <w:r w:rsidRPr="009A23B8">
              <w:rPr>
                <w:rFonts w:asciiTheme="majorBidi" w:hAnsiTheme="majorBidi"/>
                <w:sz w:val="24"/>
                <w:rtl/>
              </w:rPr>
              <w:t xml:space="preserve"> عنه</w:t>
            </w:r>
            <w:r w:rsidR="00410F9B" w:rsidRPr="009A23B8">
              <w:rPr>
                <w:rFonts w:asciiTheme="majorBidi" w:hAnsiTheme="majorBidi" w:hint="cs"/>
                <w:sz w:val="24"/>
                <w:rtl/>
              </w:rPr>
              <w:t>م</w:t>
            </w:r>
            <w:r w:rsidRPr="009A23B8">
              <w:rPr>
                <w:rFonts w:asciiTheme="majorBidi" w:hAnsiTheme="majorBidi"/>
                <w:sz w:val="24"/>
                <w:rtl/>
              </w:rPr>
              <w:t>ا</w:t>
            </w:r>
            <w:proofErr w:type="gramEnd"/>
            <w:r w:rsidRPr="009A23B8">
              <w:rPr>
                <w:rFonts w:asciiTheme="majorBidi" w:hAnsiTheme="majorBidi"/>
                <w:sz w:val="24"/>
                <w:rtl/>
              </w:rPr>
              <w:t>:</w:t>
            </w:r>
          </w:p>
        </w:tc>
      </w:tr>
      <w:tr w:rsidR="007C0997" w:rsidRPr="00C11D14" w14:paraId="195BE434" w14:textId="77777777" w:rsidTr="002F3BBE">
        <w:trPr>
          <w:cantSplit/>
        </w:trPr>
        <w:tc>
          <w:tcPr>
            <w:tcW w:w="786" w:type="pct"/>
            <w:vMerge/>
            <w:shd w:val="clear" w:color="auto" w:fill="auto"/>
          </w:tcPr>
          <w:p w14:paraId="36248C75" w14:textId="77777777" w:rsidR="007C0997" w:rsidRPr="009A23B8" w:rsidRDefault="007C0997" w:rsidP="00396E63">
            <w:pPr>
              <w:bidi/>
              <w:spacing w:before="120"/>
              <w:jc w:val="both"/>
              <w:rPr>
                <w:rFonts w:asciiTheme="majorBidi" w:hAnsiTheme="majorBidi" w:cstheme="majorBidi"/>
                <w:b/>
                <w:sz w:val="24"/>
              </w:rPr>
            </w:pPr>
          </w:p>
        </w:tc>
        <w:tc>
          <w:tcPr>
            <w:tcW w:w="3300" w:type="pct"/>
            <w:shd w:val="clear" w:color="auto" w:fill="auto"/>
            <w:vAlign w:val="center"/>
          </w:tcPr>
          <w:p w14:paraId="167E4E35" w14:textId="4547C62D" w:rsidR="00AA1F5C" w:rsidRPr="009A23B8" w:rsidRDefault="00AA1F5C" w:rsidP="00396E63">
            <w:pPr>
              <w:bidi/>
              <w:spacing w:before="60" w:after="60"/>
              <w:jc w:val="both"/>
              <w:rPr>
                <w:rFonts w:asciiTheme="majorBidi" w:hAnsiTheme="majorBidi" w:cstheme="majorBidi"/>
                <w:sz w:val="24"/>
                <w:rtl/>
              </w:rPr>
            </w:pPr>
            <w:r w:rsidRPr="009A23B8">
              <w:rPr>
                <w:rFonts w:asciiTheme="majorBidi" w:hAnsiTheme="majorBidi" w:hint="cs"/>
                <w:sz w:val="24"/>
                <w:rtl/>
              </w:rPr>
              <w:t xml:space="preserve">16-1 </w:t>
            </w:r>
            <w:r w:rsidRPr="009A23B8">
              <w:rPr>
                <w:rFonts w:asciiTheme="majorBidi" w:hAnsiTheme="majorBidi"/>
                <w:sz w:val="24"/>
                <w:rtl/>
              </w:rPr>
              <w:t>إدماج خطط وبرامج صون التراث الثقافي غير المادي لجميع قطاعات المجتمع وطبقاته، بما في ذلك على سبيل الذكر لا الحصر</w:t>
            </w:r>
            <w:r w:rsidRPr="009A23B8">
              <w:rPr>
                <w:rFonts w:asciiTheme="majorBidi" w:hAnsiTheme="majorBidi" w:cstheme="majorBidi"/>
                <w:sz w:val="24"/>
              </w:rPr>
              <w:t xml:space="preserve">: </w:t>
            </w:r>
          </w:p>
          <w:p w14:paraId="068AFABC" w14:textId="594269F2" w:rsidR="00AA1F5C" w:rsidRPr="009A23B8" w:rsidRDefault="00AA1F5C" w:rsidP="00396E63">
            <w:pPr>
              <w:pStyle w:val="ListParagraph"/>
              <w:numPr>
                <w:ilvl w:val="0"/>
                <w:numId w:val="6"/>
              </w:numPr>
              <w:bidi/>
              <w:spacing w:before="60" w:after="60"/>
              <w:jc w:val="both"/>
              <w:rPr>
                <w:rFonts w:asciiTheme="majorBidi" w:hAnsiTheme="majorBidi" w:cstheme="majorBidi"/>
                <w:sz w:val="24"/>
                <w:szCs w:val="24"/>
                <w:rtl/>
              </w:rPr>
            </w:pPr>
            <w:r w:rsidRPr="009A23B8">
              <w:rPr>
                <w:rFonts w:asciiTheme="majorBidi" w:hAnsiTheme="majorBidi"/>
                <w:sz w:val="24"/>
                <w:szCs w:val="24"/>
                <w:rtl/>
              </w:rPr>
              <w:t>السكان الأصليون؛</w:t>
            </w:r>
          </w:p>
          <w:p w14:paraId="1CC1A99C" w14:textId="1525A3B4" w:rsidR="00AA1F5C" w:rsidRPr="009A23B8" w:rsidRDefault="00AA1F5C" w:rsidP="00396E63">
            <w:pPr>
              <w:pStyle w:val="ListParagraph"/>
              <w:numPr>
                <w:ilvl w:val="0"/>
                <w:numId w:val="6"/>
              </w:numPr>
              <w:bidi/>
              <w:spacing w:before="60" w:after="60"/>
              <w:jc w:val="both"/>
              <w:rPr>
                <w:rFonts w:asciiTheme="majorBidi" w:hAnsiTheme="majorBidi" w:cstheme="majorBidi"/>
                <w:sz w:val="24"/>
                <w:szCs w:val="24"/>
                <w:rtl/>
              </w:rPr>
            </w:pPr>
            <w:r w:rsidRPr="009A23B8">
              <w:rPr>
                <w:rFonts w:asciiTheme="majorBidi" w:hAnsiTheme="majorBidi"/>
                <w:sz w:val="24"/>
                <w:szCs w:val="24"/>
                <w:rtl/>
              </w:rPr>
              <w:t>المجموعات ذات الهويات العرقية المختلفة؛</w:t>
            </w:r>
          </w:p>
          <w:p w14:paraId="4C9478B3" w14:textId="13C79F96" w:rsidR="00AA1F5C" w:rsidRPr="009A23B8" w:rsidRDefault="00AA1F5C" w:rsidP="00396E63">
            <w:pPr>
              <w:pStyle w:val="ListParagraph"/>
              <w:numPr>
                <w:ilvl w:val="0"/>
                <w:numId w:val="6"/>
              </w:numPr>
              <w:bidi/>
              <w:spacing w:before="60" w:after="60"/>
              <w:jc w:val="both"/>
              <w:rPr>
                <w:rFonts w:asciiTheme="majorBidi" w:hAnsiTheme="majorBidi" w:cstheme="majorBidi"/>
                <w:sz w:val="24"/>
                <w:szCs w:val="24"/>
                <w:rtl/>
              </w:rPr>
            </w:pPr>
            <w:r w:rsidRPr="009A23B8">
              <w:rPr>
                <w:rFonts w:asciiTheme="majorBidi" w:hAnsiTheme="majorBidi"/>
                <w:sz w:val="24"/>
                <w:szCs w:val="24"/>
                <w:rtl/>
              </w:rPr>
              <w:t>المهاجرون واللاجئون؛</w:t>
            </w:r>
          </w:p>
          <w:p w14:paraId="76E73940" w14:textId="5A9D2DF9" w:rsidR="00AA1F5C" w:rsidRPr="009A23B8" w:rsidRDefault="00AA1F5C" w:rsidP="00396E63">
            <w:pPr>
              <w:pStyle w:val="ListParagraph"/>
              <w:numPr>
                <w:ilvl w:val="0"/>
                <w:numId w:val="6"/>
              </w:numPr>
              <w:bidi/>
              <w:spacing w:before="60" w:after="60"/>
              <w:jc w:val="both"/>
              <w:rPr>
                <w:rFonts w:asciiTheme="majorBidi" w:hAnsiTheme="majorBidi" w:cstheme="majorBidi"/>
                <w:sz w:val="24"/>
                <w:szCs w:val="24"/>
                <w:rtl/>
              </w:rPr>
            </w:pPr>
            <w:r w:rsidRPr="009A23B8">
              <w:rPr>
                <w:rFonts w:asciiTheme="majorBidi" w:hAnsiTheme="majorBidi"/>
                <w:sz w:val="24"/>
                <w:szCs w:val="24"/>
                <w:rtl/>
              </w:rPr>
              <w:t>الأشخاص من مختلف الأعمار؛</w:t>
            </w:r>
          </w:p>
          <w:p w14:paraId="1F8C3E5E" w14:textId="1D4063EC" w:rsidR="00AA1F5C" w:rsidRPr="009A23B8" w:rsidRDefault="00AA1F5C" w:rsidP="00396E63">
            <w:pPr>
              <w:pStyle w:val="ListParagraph"/>
              <w:numPr>
                <w:ilvl w:val="0"/>
                <w:numId w:val="6"/>
              </w:numPr>
              <w:bidi/>
              <w:spacing w:before="60" w:after="60"/>
              <w:jc w:val="both"/>
              <w:rPr>
                <w:rFonts w:asciiTheme="majorBidi" w:hAnsiTheme="majorBidi" w:cstheme="majorBidi"/>
                <w:sz w:val="24"/>
                <w:szCs w:val="24"/>
                <w:rtl/>
              </w:rPr>
            </w:pPr>
            <w:r w:rsidRPr="009A23B8">
              <w:rPr>
                <w:rFonts w:asciiTheme="majorBidi" w:hAnsiTheme="majorBidi"/>
                <w:sz w:val="24"/>
                <w:szCs w:val="24"/>
                <w:rtl/>
              </w:rPr>
              <w:t>الأشخاص من مختلف الأنواع الاجتماعية؛</w:t>
            </w:r>
          </w:p>
          <w:p w14:paraId="62416833" w14:textId="4A4F892B" w:rsidR="00AA1F5C" w:rsidRPr="009A23B8" w:rsidRDefault="00AA1F5C" w:rsidP="00396E63">
            <w:pPr>
              <w:pStyle w:val="ListParagraph"/>
              <w:numPr>
                <w:ilvl w:val="0"/>
                <w:numId w:val="6"/>
              </w:numPr>
              <w:bidi/>
              <w:spacing w:before="60" w:after="60"/>
              <w:jc w:val="both"/>
              <w:rPr>
                <w:rFonts w:asciiTheme="majorBidi" w:hAnsiTheme="majorBidi" w:cstheme="majorBidi"/>
                <w:sz w:val="24"/>
                <w:szCs w:val="24"/>
                <w:rtl/>
              </w:rPr>
            </w:pPr>
            <w:r w:rsidRPr="009A23B8">
              <w:rPr>
                <w:rFonts w:asciiTheme="majorBidi" w:hAnsiTheme="majorBidi"/>
                <w:sz w:val="24"/>
                <w:szCs w:val="24"/>
                <w:rtl/>
              </w:rPr>
              <w:t>الأشخاص ذوي الاحتياجات الخاصة؛</w:t>
            </w:r>
          </w:p>
          <w:p w14:paraId="332D3A13" w14:textId="45EA4B39" w:rsidR="007C0997" w:rsidRPr="009A23B8" w:rsidRDefault="00AA1F5C" w:rsidP="00396E63">
            <w:pPr>
              <w:pStyle w:val="ListParagraph"/>
              <w:numPr>
                <w:ilvl w:val="0"/>
                <w:numId w:val="6"/>
              </w:numPr>
              <w:bidi/>
              <w:spacing w:before="60" w:after="60"/>
              <w:jc w:val="both"/>
              <w:rPr>
                <w:rFonts w:asciiTheme="majorBidi" w:hAnsiTheme="majorBidi" w:cstheme="majorBidi"/>
                <w:sz w:val="24"/>
                <w:szCs w:val="24"/>
              </w:rPr>
            </w:pPr>
            <w:r w:rsidRPr="009A23B8">
              <w:rPr>
                <w:rFonts w:asciiTheme="majorBidi" w:hAnsiTheme="majorBidi"/>
                <w:sz w:val="24"/>
                <w:szCs w:val="24"/>
                <w:rtl/>
              </w:rPr>
              <w:t>أعضاء الفئات الضعيفة.</w:t>
            </w:r>
          </w:p>
        </w:tc>
        <w:tc>
          <w:tcPr>
            <w:tcW w:w="914" w:type="pct"/>
            <w:shd w:val="clear" w:color="auto" w:fill="auto"/>
            <w:vAlign w:val="center"/>
          </w:tcPr>
          <w:p w14:paraId="75A4E433" w14:textId="5916ECE9" w:rsidR="00B9140C" w:rsidRPr="009A23B8" w:rsidRDefault="00785F88" w:rsidP="00396E63">
            <w:pPr>
              <w:bidi/>
              <w:spacing w:before="60" w:after="60"/>
              <w:jc w:val="both"/>
              <w:rPr>
                <w:rFonts w:asciiTheme="majorBidi" w:hAnsiTheme="majorBidi"/>
                <w:sz w:val="24"/>
                <w:rtl/>
              </w:rPr>
            </w:pPr>
            <w:r w:rsidRPr="009A23B8">
              <w:rPr>
                <w:rFonts w:asciiTheme="majorBidi" w:hAnsiTheme="majorBidi"/>
                <w:sz w:val="24"/>
                <w:rtl/>
              </w:rPr>
              <w:t xml:space="preserve">التوجيه </w:t>
            </w:r>
            <w:r w:rsidR="009C358E" w:rsidRPr="009A23B8">
              <w:rPr>
                <w:sz w:val="24"/>
                <w:rtl/>
              </w:rPr>
              <w:t>التنفيذي</w:t>
            </w:r>
            <w:r w:rsidR="002F3BBE" w:rsidRPr="009A23B8">
              <w:rPr>
                <w:rFonts w:hint="cs"/>
                <w:sz w:val="24"/>
                <w:rtl/>
              </w:rPr>
              <w:t xml:space="preserve"> </w:t>
            </w:r>
            <w:r w:rsidRPr="009A23B8">
              <w:rPr>
                <w:rFonts w:asciiTheme="majorBidi" w:hAnsiTheme="majorBidi"/>
                <w:sz w:val="24"/>
                <w:rtl/>
              </w:rPr>
              <w:t>100</w:t>
            </w:r>
            <w:r w:rsidR="00B9140C" w:rsidRPr="009A23B8">
              <w:rPr>
                <w:rFonts w:asciiTheme="majorBidi" w:hAnsiTheme="majorBidi" w:hint="cs"/>
                <w:sz w:val="24"/>
                <w:rtl/>
              </w:rPr>
              <w:t>، و</w:t>
            </w:r>
            <w:r w:rsidR="00BF2D98" w:rsidRPr="009A23B8">
              <w:rPr>
                <w:rFonts w:asciiTheme="majorBidi" w:hAnsiTheme="majorBidi"/>
                <w:sz w:val="24"/>
                <w:rtl/>
              </w:rPr>
              <w:t xml:space="preserve">التوجيه </w:t>
            </w:r>
            <w:r w:rsidR="009C358E" w:rsidRPr="009A23B8">
              <w:rPr>
                <w:sz w:val="24"/>
                <w:rtl/>
              </w:rPr>
              <w:t>التنفيذي</w:t>
            </w:r>
            <w:r w:rsidR="002F3BBE" w:rsidRPr="009A23B8">
              <w:rPr>
                <w:rFonts w:hint="cs"/>
                <w:sz w:val="24"/>
                <w:rtl/>
              </w:rPr>
              <w:t xml:space="preserve"> </w:t>
            </w:r>
            <w:r w:rsidR="00BF2D98" w:rsidRPr="009A23B8">
              <w:rPr>
                <w:rFonts w:asciiTheme="majorBidi" w:hAnsiTheme="majorBidi"/>
                <w:sz w:val="24"/>
                <w:rtl/>
              </w:rPr>
              <w:t>102</w:t>
            </w:r>
            <w:r w:rsidR="00B9140C" w:rsidRPr="009A23B8">
              <w:rPr>
                <w:rFonts w:asciiTheme="majorBidi" w:hAnsiTheme="majorBidi" w:hint="cs"/>
                <w:sz w:val="24"/>
                <w:rtl/>
              </w:rPr>
              <w:t>، و</w:t>
            </w:r>
            <w:r w:rsidR="00BF2D98" w:rsidRPr="009A23B8">
              <w:rPr>
                <w:rFonts w:asciiTheme="majorBidi" w:hAnsiTheme="majorBidi"/>
                <w:sz w:val="24"/>
                <w:rtl/>
              </w:rPr>
              <w:t xml:space="preserve">التوجيه </w:t>
            </w:r>
            <w:r w:rsidR="009C358E" w:rsidRPr="009A23B8">
              <w:rPr>
                <w:sz w:val="24"/>
                <w:rtl/>
              </w:rPr>
              <w:t>التنفيذي</w:t>
            </w:r>
            <w:r w:rsidR="002F3BBE" w:rsidRPr="009A23B8">
              <w:rPr>
                <w:rFonts w:hint="cs"/>
                <w:sz w:val="24"/>
                <w:rtl/>
              </w:rPr>
              <w:t xml:space="preserve"> </w:t>
            </w:r>
            <w:r w:rsidR="00BF2D98" w:rsidRPr="009A23B8">
              <w:rPr>
                <w:rFonts w:asciiTheme="majorBidi" w:hAnsiTheme="majorBidi"/>
                <w:sz w:val="24"/>
                <w:rtl/>
              </w:rPr>
              <w:t>174</w:t>
            </w:r>
            <w:r w:rsidR="00B9140C" w:rsidRPr="009A23B8">
              <w:rPr>
                <w:rFonts w:asciiTheme="majorBidi" w:hAnsiTheme="majorBidi" w:hint="cs"/>
                <w:sz w:val="24"/>
                <w:rtl/>
              </w:rPr>
              <w:t>، و</w:t>
            </w:r>
            <w:r w:rsidRPr="009A23B8">
              <w:rPr>
                <w:rFonts w:asciiTheme="majorBidi" w:hAnsiTheme="majorBidi"/>
                <w:sz w:val="24"/>
                <w:rtl/>
              </w:rPr>
              <w:t xml:space="preserve">التوجيه </w:t>
            </w:r>
            <w:r w:rsidR="009C358E" w:rsidRPr="009A23B8">
              <w:rPr>
                <w:sz w:val="24"/>
                <w:rtl/>
              </w:rPr>
              <w:t>التنفيذي</w:t>
            </w:r>
            <w:r w:rsidR="002F3BBE" w:rsidRPr="009A23B8">
              <w:rPr>
                <w:rFonts w:hint="cs"/>
                <w:sz w:val="24"/>
                <w:rtl/>
              </w:rPr>
              <w:t xml:space="preserve"> </w:t>
            </w:r>
            <w:r w:rsidRPr="009A23B8">
              <w:rPr>
                <w:rFonts w:asciiTheme="majorBidi" w:hAnsiTheme="majorBidi"/>
                <w:sz w:val="24"/>
                <w:rtl/>
              </w:rPr>
              <w:t>194</w:t>
            </w:r>
          </w:p>
          <w:p w14:paraId="6919AF03" w14:textId="7403A89A" w:rsidR="007C0997" w:rsidRPr="009A23B8" w:rsidRDefault="009C358E" w:rsidP="00396E63">
            <w:pPr>
              <w:bidi/>
              <w:spacing w:before="60" w:after="60"/>
              <w:jc w:val="both"/>
              <w:rPr>
                <w:rFonts w:asciiTheme="majorBidi" w:hAnsiTheme="majorBidi" w:cstheme="majorBidi"/>
                <w:sz w:val="24"/>
              </w:rPr>
            </w:pPr>
            <w:r w:rsidRPr="009A23B8">
              <w:rPr>
                <w:rFonts w:asciiTheme="majorBidi" w:hAnsiTheme="majorBidi" w:hint="cs"/>
                <w:sz w:val="24"/>
                <w:rtl/>
              </w:rPr>
              <w:t>المبد</w:t>
            </w:r>
            <w:r w:rsidR="00B9140C" w:rsidRPr="009A23B8">
              <w:rPr>
                <w:rFonts w:asciiTheme="majorBidi" w:hAnsiTheme="majorBidi" w:hint="cs"/>
                <w:sz w:val="24"/>
                <w:rtl/>
              </w:rPr>
              <w:t>أ</w:t>
            </w:r>
            <w:r w:rsidRPr="009A23B8">
              <w:rPr>
                <w:rFonts w:asciiTheme="majorBidi" w:hAnsiTheme="majorBidi" w:hint="cs"/>
                <w:sz w:val="24"/>
                <w:rtl/>
              </w:rPr>
              <w:t xml:space="preserve"> الأخلاقي</w:t>
            </w:r>
            <w:r w:rsidR="00785F88" w:rsidRPr="009A23B8">
              <w:rPr>
                <w:rFonts w:asciiTheme="majorBidi" w:hAnsiTheme="majorBidi"/>
                <w:sz w:val="24"/>
                <w:rtl/>
              </w:rPr>
              <w:t xml:space="preserve"> 1، </w:t>
            </w:r>
            <w:r w:rsidR="00865524" w:rsidRPr="009A23B8">
              <w:rPr>
                <w:rFonts w:asciiTheme="majorBidi" w:hAnsiTheme="majorBidi" w:hint="cs"/>
                <w:sz w:val="24"/>
                <w:rtl/>
              </w:rPr>
              <w:t>و</w:t>
            </w:r>
            <w:r w:rsidRPr="009A23B8">
              <w:rPr>
                <w:rFonts w:asciiTheme="majorBidi" w:hAnsiTheme="majorBidi" w:hint="cs"/>
                <w:sz w:val="24"/>
                <w:rtl/>
              </w:rPr>
              <w:t>المبد</w:t>
            </w:r>
            <w:r w:rsidR="00B9140C" w:rsidRPr="009A23B8">
              <w:rPr>
                <w:rFonts w:asciiTheme="majorBidi" w:hAnsiTheme="majorBidi" w:hint="cs"/>
                <w:sz w:val="24"/>
                <w:rtl/>
              </w:rPr>
              <w:t>أ</w:t>
            </w:r>
            <w:r w:rsidRPr="009A23B8">
              <w:rPr>
                <w:rFonts w:asciiTheme="majorBidi" w:hAnsiTheme="majorBidi" w:hint="cs"/>
                <w:sz w:val="24"/>
                <w:rtl/>
              </w:rPr>
              <w:t xml:space="preserve"> الأخلاقي</w:t>
            </w:r>
            <w:r w:rsidRPr="009A23B8">
              <w:rPr>
                <w:rFonts w:asciiTheme="majorBidi" w:hAnsiTheme="majorBidi"/>
                <w:sz w:val="24"/>
                <w:rtl/>
              </w:rPr>
              <w:t xml:space="preserve"> </w:t>
            </w:r>
            <w:r w:rsidR="00785F88" w:rsidRPr="009A23B8">
              <w:rPr>
                <w:rFonts w:asciiTheme="majorBidi" w:hAnsiTheme="majorBidi"/>
                <w:sz w:val="24"/>
                <w:rtl/>
              </w:rPr>
              <w:t>2،</w:t>
            </w:r>
            <w:r w:rsidRPr="009A23B8">
              <w:rPr>
                <w:rFonts w:asciiTheme="majorBidi" w:hAnsiTheme="majorBidi" w:cstheme="majorBidi" w:hint="cs"/>
                <w:sz w:val="24"/>
                <w:rtl/>
                <w:lang w:bidi="ar-EG"/>
              </w:rPr>
              <w:t xml:space="preserve"> </w:t>
            </w:r>
            <w:r w:rsidRPr="009A23B8">
              <w:rPr>
                <w:rFonts w:asciiTheme="majorBidi" w:hAnsiTheme="majorBidi" w:hint="cs"/>
                <w:sz w:val="24"/>
                <w:rtl/>
              </w:rPr>
              <w:t>والمبد</w:t>
            </w:r>
            <w:r w:rsidR="00B9140C" w:rsidRPr="009A23B8">
              <w:rPr>
                <w:rFonts w:asciiTheme="majorBidi" w:hAnsiTheme="majorBidi" w:hint="cs"/>
                <w:sz w:val="24"/>
                <w:rtl/>
              </w:rPr>
              <w:t>أ</w:t>
            </w:r>
            <w:r w:rsidRPr="009A23B8">
              <w:rPr>
                <w:rFonts w:asciiTheme="majorBidi" w:hAnsiTheme="majorBidi" w:hint="cs"/>
                <w:sz w:val="24"/>
                <w:rtl/>
              </w:rPr>
              <w:t xml:space="preserve"> الأخلاقي</w:t>
            </w:r>
            <w:r w:rsidRPr="009A23B8">
              <w:rPr>
                <w:rFonts w:asciiTheme="majorBidi" w:hAnsiTheme="majorBidi"/>
                <w:sz w:val="24"/>
                <w:rtl/>
              </w:rPr>
              <w:t xml:space="preserve"> </w:t>
            </w:r>
            <w:r w:rsidR="00785F88" w:rsidRPr="009A23B8">
              <w:rPr>
                <w:rFonts w:asciiTheme="majorBidi" w:hAnsiTheme="majorBidi"/>
                <w:sz w:val="24"/>
                <w:rtl/>
              </w:rPr>
              <w:t xml:space="preserve">4، </w:t>
            </w:r>
            <w:r w:rsidRPr="009A23B8">
              <w:rPr>
                <w:rFonts w:asciiTheme="majorBidi" w:hAnsiTheme="majorBidi" w:hint="cs"/>
                <w:sz w:val="24"/>
                <w:rtl/>
              </w:rPr>
              <w:t>والمبد</w:t>
            </w:r>
            <w:r w:rsidR="00B9140C" w:rsidRPr="009A23B8">
              <w:rPr>
                <w:rFonts w:asciiTheme="majorBidi" w:hAnsiTheme="majorBidi" w:hint="cs"/>
                <w:sz w:val="24"/>
                <w:rtl/>
              </w:rPr>
              <w:t>أ</w:t>
            </w:r>
            <w:r w:rsidRPr="009A23B8">
              <w:rPr>
                <w:rFonts w:asciiTheme="majorBidi" w:hAnsiTheme="majorBidi" w:hint="cs"/>
                <w:sz w:val="24"/>
                <w:rtl/>
              </w:rPr>
              <w:t xml:space="preserve"> الأخلاقي</w:t>
            </w:r>
            <w:r w:rsidRPr="009A23B8">
              <w:rPr>
                <w:rFonts w:asciiTheme="majorBidi" w:hAnsiTheme="majorBidi"/>
                <w:sz w:val="24"/>
                <w:rtl/>
              </w:rPr>
              <w:t xml:space="preserve"> </w:t>
            </w:r>
            <w:r w:rsidR="00785F88" w:rsidRPr="009A23B8">
              <w:rPr>
                <w:rFonts w:asciiTheme="majorBidi" w:hAnsiTheme="majorBidi"/>
                <w:sz w:val="24"/>
                <w:rtl/>
              </w:rPr>
              <w:t>9</w:t>
            </w:r>
            <w:r w:rsidR="00B9140C" w:rsidRPr="009A23B8">
              <w:rPr>
                <w:rFonts w:asciiTheme="majorBidi" w:hAnsiTheme="majorBidi" w:hint="cs"/>
                <w:sz w:val="24"/>
                <w:rtl/>
              </w:rPr>
              <w:t>، و</w:t>
            </w:r>
            <w:r w:rsidRPr="009A23B8">
              <w:rPr>
                <w:rFonts w:asciiTheme="majorBidi" w:hAnsiTheme="majorBidi" w:hint="cs"/>
                <w:sz w:val="24"/>
                <w:rtl/>
              </w:rPr>
              <w:t>المبد</w:t>
            </w:r>
            <w:r w:rsidR="00B9140C" w:rsidRPr="009A23B8">
              <w:rPr>
                <w:rFonts w:asciiTheme="majorBidi" w:hAnsiTheme="majorBidi" w:hint="cs"/>
                <w:sz w:val="24"/>
                <w:rtl/>
              </w:rPr>
              <w:t>أ</w:t>
            </w:r>
            <w:r w:rsidRPr="009A23B8">
              <w:rPr>
                <w:rFonts w:asciiTheme="majorBidi" w:hAnsiTheme="majorBidi" w:hint="cs"/>
                <w:sz w:val="24"/>
                <w:rtl/>
              </w:rPr>
              <w:t xml:space="preserve"> الأخلاقي</w:t>
            </w:r>
            <w:r w:rsidR="00785F88" w:rsidRPr="009A23B8">
              <w:rPr>
                <w:rFonts w:asciiTheme="majorBidi" w:hAnsiTheme="majorBidi"/>
                <w:sz w:val="24"/>
                <w:rtl/>
              </w:rPr>
              <w:t xml:space="preserve"> 10</w:t>
            </w:r>
          </w:p>
        </w:tc>
      </w:tr>
      <w:tr w:rsidR="007C0997" w:rsidRPr="00C11D14" w14:paraId="0A0495C8" w14:textId="77777777" w:rsidTr="002F3BBE">
        <w:trPr>
          <w:cantSplit/>
        </w:trPr>
        <w:tc>
          <w:tcPr>
            <w:tcW w:w="786" w:type="pct"/>
            <w:vMerge/>
            <w:shd w:val="clear" w:color="auto" w:fill="auto"/>
          </w:tcPr>
          <w:p w14:paraId="754E57C2" w14:textId="77777777" w:rsidR="007C0997" w:rsidRPr="009A23B8" w:rsidRDefault="007C0997" w:rsidP="00396E63">
            <w:pPr>
              <w:bidi/>
              <w:spacing w:before="120"/>
              <w:jc w:val="both"/>
              <w:rPr>
                <w:rFonts w:asciiTheme="majorBidi" w:hAnsiTheme="majorBidi" w:cstheme="majorBidi"/>
                <w:b/>
                <w:sz w:val="24"/>
              </w:rPr>
            </w:pPr>
          </w:p>
        </w:tc>
        <w:tc>
          <w:tcPr>
            <w:tcW w:w="3300" w:type="pct"/>
            <w:shd w:val="clear" w:color="auto" w:fill="auto"/>
            <w:vAlign w:val="center"/>
          </w:tcPr>
          <w:p w14:paraId="5989A882" w14:textId="4A96796C" w:rsidR="007C0997" w:rsidRPr="009A23B8" w:rsidRDefault="0093144F" w:rsidP="00396E63">
            <w:pPr>
              <w:bidi/>
              <w:spacing w:before="60" w:after="60"/>
              <w:jc w:val="both"/>
              <w:rPr>
                <w:rFonts w:asciiTheme="majorBidi" w:hAnsiTheme="majorBidi" w:cstheme="majorBidi"/>
                <w:sz w:val="24"/>
              </w:rPr>
            </w:pPr>
            <w:r w:rsidRPr="009A23B8">
              <w:rPr>
                <w:rFonts w:asciiTheme="majorBidi" w:hAnsiTheme="majorBidi"/>
                <w:sz w:val="24"/>
                <w:rtl/>
              </w:rPr>
              <w:t>16-2 تعزيز احترام الذات والاحترام المتبادل بين الجماعات والمجموعات والأفراد من خلال خطط وبرامج صون التراث الثقافي غير المادي بشكل عام و/أو لعناصر محدّدة من التراث الثقافي غير المادي، سواء كانت مدرجة أم لا.</w:t>
            </w:r>
          </w:p>
        </w:tc>
        <w:tc>
          <w:tcPr>
            <w:tcW w:w="914" w:type="pct"/>
            <w:shd w:val="clear" w:color="auto" w:fill="auto"/>
            <w:vAlign w:val="center"/>
          </w:tcPr>
          <w:p w14:paraId="1C48879D" w14:textId="12D5C2AB" w:rsidR="00785F88" w:rsidRPr="009A23B8" w:rsidRDefault="00785F88" w:rsidP="00396E63">
            <w:pPr>
              <w:bidi/>
              <w:spacing w:before="60" w:after="60"/>
              <w:jc w:val="both"/>
              <w:rPr>
                <w:rFonts w:asciiTheme="majorBidi" w:hAnsiTheme="majorBidi"/>
                <w:sz w:val="24"/>
                <w:rtl/>
              </w:rPr>
            </w:pPr>
            <w:r w:rsidRPr="009A23B8">
              <w:rPr>
                <w:rFonts w:asciiTheme="majorBidi" w:hAnsiTheme="majorBidi"/>
                <w:sz w:val="24"/>
                <w:rtl/>
              </w:rPr>
              <w:t>المادة 1</w:t>
            </w:r>
            <w:r w:rsidR="007F029C" w:rsidRPr="009A23B8">
              <w:rPr>
                <w:rFonts w:asciiTheme="majorBidi" w:hAnsiTheme="majorBidi" w:hint="cs"/>
                <w:sz w:val="24"/>
                <w:rtl/>
              </w:rPr>
              <w:t>، و</w:t>
            </w:r>
            <w:r w:rsidR="00BF2D98" w:rsidRPr="009A23B8">
              <w:rPr>
                <w:rFonts w:asciiTheme="majorBidi" w:hAnsiTheme="majorBidi"/>
                <w:sz w:val="24"/>
                <w:rtl/>
              </w:rPr>
              <w:t>المادة 2</w:t>
            </w:r>
            <w:r w:rsidR="007F029C" w:rsidRPr="009A23B8">
              <w:rPr>
                <w:rFonts w:asciiTheme="majorBidi" w:hAnsiTheme="majorBidi" w:hint="cs"/>
                <w:sz w:val="24"/>
                <w:rtl/>
              </w:rPr>
              <w:t>، و</w:t>
            </w:r>
            <w:r w:rsidRPr="009A23B8">
              <w:rPr>
                <w:rFonts w:asciiTheme="majorBidi" w:hAnsiTheme="majorBidi"/>
                <w:sz w:val="24"/>
                <w:rtl/>
              </w:rPr>
              <w:t>المادة 14 (أ)</w:t>
            </w:r>
          </w:p>
          <w:p w14:paraId="111266F6" w14:textId="59D2EC2D" w:rsidR="007C0997" w:rsidRPr="009A23B8" w:rsidRDefault="00BF2D98" w:rsidP="00396E63">
            <w:pPr>
              <w:bidi/>
              <w:spacing w:before="60" w:after="60"/>
              <w:jc w:val="both"/>
              <w:rPr>
                <w:rFonts w:asciiTheme="majorBidi" w:hAnsiTheme="majorBidi"/>
                <w:sz w:val="24"/>
              </w:rPr>
            </w:pPr>
            <w:r w:rsidRPr="009A23B8">
              <w:rPr>
                <w:rFonts w:asciiTheme="majorBidi" w:hAnsiTheme="majorBidi"/>
                <w:sz w:val="24"/>
                <w:rtl/>
              </w:rPr>
              <w:t xml:space="preserve">التوجيه </w:t>
            </w:r>
            <w:r w:rsidR="009C358E" w:rsidRPr="009A23B8">
              <w:rPr>
                <w:sz w:val="24"/>
                <w:rtl/>
              </w:rPr>
              <w:t>التنفيذي</w:t>
            </w:r>
            <w:r w:rsidR="00C14665" w:rsidRPr="009A23B8">
              <w:rPr>
                <w:rFonts w:hint="cs"/>
                <w:sz w:val="24"/>
                <w:rtl/>
              </w:rPr>
              <w:t xml:space="preserve"> </w:t>
            </w:r>
            <w:r w:rsidRPr="009A23B8">
              <w:rPr>
                <w:rFonts w:asciiTheme="majorBidi" w:hAnsiTheme="majorBidi"/>
                <w:sz w:val="24"/>
                <w:rtl/>
              </w:rPr>
              <w:t>100</w:t>
            </w:r>
            <w:r w:rsidR="007F029C" w:rsidRPr="009A23B8">
              <w:rPr>
                <w:rFonts w:asciiTheme="majorBidi" w:hAnsiTheme="majorBidi" w:hint="cs"/>
                <w:sz w:val="24"/>
                <w:rtl/>
              </w:rPr>
              <w:t>، و</w:t>
            </w:r>
            <w:r w:rsidR="007631B8" w:rsidRPr="009A23B8">
              <w:rPr>
                <w:rFonts w:asciiTheme="majorBidi" w:hAnsiTheme="majorBidi"/>
                <w:sz w:val="24"/>
                <w:rtl/>
              </w:rPr>
              <w:t>التوجيه</w:t>
            </w:r>
            <w:r w:rsidR="007631B8" w:rsidRPr="009A23B8">
              <w:rPr>
                <w:rFonts w:asciiTheme="majorBidi" w:hAnsiTheme="majorBidi"/>
                <w:sz w:val="24"/>
              </w:rPr>
              <w:t xml:space="preserve"> </w:t>
            </w:r>
            <w:r w:rsidR="009C358E" w:rsidRPr="009A23B8">
              <w:rPr>
                <w:sz w:val="24"/>
                <w:rtl/>
              </w:rPr>
              <w:t>التنفيذي</w:t>
            </w:r>
            <w:r w:rsidR="00C14665" w:rsidRPr="009A23B8">
              <w:rPr>
                <w:rFonts w:hint="cs"/>
                <w:sz w:val="24"/>
                <w:rtl/>
              </w:rPr>
              <w:t xml:space="preserve"> </w:t>
            </w:r>
            <w:r w:rsidR="00785F88" w:rsidRPr="009A23B8">
              <w:rPr>
                <w:rFonts w:asciiTheme="majorBidi" w:hAnsiTheme="majorBidi"/>
                <w:sz w:val="24"/>
                <w:rtl/>
              </w:rPr>
              <w:t xml:space="preserve">107، </w:t>
            </w:r>
            <w:r w:rsidR="009C358E" w:rsidRPr="009A23B8">
              <w:rPr>
                <w:rFonts w:asciiTheme="majorBidi" w:hAnsiTheme="majorBidi" w:hint="cs"/>
                <w:sz w:val="24"/>
                <w:rtl/>
                <w:lang w:bidi="ar-EG"/>
              </w:rPr>
              <w:t>و</w:t>
            </w:r>
            <w:r w:rsidR="00785F88" w:rsidRPr="009A23B8">
              <w:rPr>
                <w:rFonts w:asciiTheme="majorBidi" w:hAnsiTheme="majorBidi"/>
                <w:sz w:val="24"/>
                <w:rtl/>
              </w:rPr>
              <w:t xml:space="preserve">التوجيه </w:t>
            </w:r>
            <w:r w:rsidR="009C358E" w:rsidRPr="009A23B8">
              <w:rPr>
                <w:sz w:val="24"/>
                <w:rtl/>
              </w:rPr>
              <w:t>التنفيذي</w:t>
            </w:r>
            <w:r w:rsidR="009C358E" w:rsidRPr="009A23B8">
              <w:rPr>
                <w:rFonts w:hint="cs"/>
                <w:sz w:val="24"/>
                <w:rtl/>
              </w:rPr>
              <w:t xml:space="preserve"> </w:t>
            </w:r>
            <w:r w:rsidR="00785F88" w:rsidRPr="009A23B8">
              <w:rPr>
                <w:rFonts w:asciiTheme="majorBidi" w:hAnsiTheme="majorBidi"/>
                <w:sz w:val="24"/>
                <w:rtl/>
              </w:rPr>
              <w:t>155</w:t>
            </w:r>
          </w:p>
        </w:tc>
      </w:tr>
      <w:tr w:rsidR="005473CF" w:rsidRPr="00C11D14" w14:paraId="759F1CC9" w14:textId="77777777" w:rsidTr="007E2E7F">
        <w:trPr>
          <w:cantSplit/>
        </w:trPr>
        <w:tc>
          <w:tcPr>
            <w:tcW w:w="786" w:type="pct"/>
            <w:shd w:val="clear" w:color="auto" w:fill="auto"/>
          </w:tcPr>
          <w:p w14:paraId="230CB777" w14:textId="568F9331" w:rsidR="005473CF" w:rsidRPr="009A23B8" w:rsidRDefault="00FF6124" w:rsidP="00396E63">
            <w:pPr>
              <w:bidi/>
              <w:spacing w:before="120"/>
              <w:jc w:val="both"/>
              <w:rPr>
                <w:rFonts w:asciiTheme="majorBidi" w:hAnsiTheme="majorBidi" w:cstheme="majorBidi"/>
                <w:b/>
                <w:sz w:val="24"/>
              </w:rPr>
            </w:pPr>
            <w:r w:rsidRPr="009A23B8">
              <w:rPr>
                <w:rFonts w:asciiTheme="majorBidi" w:hAnsiTheme="majorBidi"/>
                <w:b/>
                <w:bCs/>
                <w:sz w:val="24"/>
                <w:rtl/>
              </w:rPr>
              <w:t>العلاقة مع أهداف التنمية المستدامة والمؤشرات الأخرى</w:t>
            </w:r>
          </w:p>
        </w:tc>
        <w:tc>
          <w:tcPr>
            <w:tcW w:w="4214" w:type="pct"/>
            <w:gridSpan w:val="2"/>
            <w:shd w:val="clear" w:color="auto" w:fill="auto"/>
          </w:tcPr>
          <w:p w14:paraId="340C0602" w14:textId="45A117BF" w:rsidR="006900BB" w:rsidRPr="009A23B8" w:rsidRDefault="006900BB" w:rsidP="00396E63">
            <w:pPr>
              <w:keepLines/>
              <w:bidi/>
              <w:spacing w:before="120"/>
              <w:jc w:val="both"/>
              <w:rPr>
                <w:rFonts w:asciiTheme="majorBidi" w:hAnsiTheme="majorBidi"/>
                <w:sz w:val="24"/>
              </w:rPr>
            </w:pPr>
            <w:r w:rsidRPr="009A23B8">
              <w:rPr>
                <w:rFonts w:asciiTheme="majorBidi" w:hAnsiTheme="majorBidi"/>
                <w:b/>
                <w:bCs/>
                <w:sz w:val="24"/>
                <w:rtl/>
              </w:rPr>
              <w:t>أهداف التنمية المستدامة:</w:t>
            </w:r>
            <w:r w:rsidRPr="009A23B8">
              <w:rPr>
                <w:rFonts w:asciiTheme="majorBidi" w:hAnsiTheme="majorBidi"/>
                <w:sz w:val="24"/>
                <w:rtl/>
              </w:rPr>
              <w:t xml:space="preserve"> يُكمل المؤشر 16 العديد من غايات أهداف التنمية المستدامة، بما في ذلك الغاية 11-4</w:t>
            </w:r>
            <w:r w:rsidR="00735C49" w:rsidRPr="009A23B8">
              <w:rPr>
                <w:rFonts w:asciiTheme="majorBidi" w:hAnsiTheme="majorBidi" w:hint="cs"/>
                <w:sz w:val="24"/>
                <w:rtl/>
              </w:rPr>
              <w:t>،</w:t>
            </w:r>
            <w:r w:rsidRPr="009A23B8">
              <w:rPr>
                <w:rFonts w:asciiTheme="majorBidi" w:hAnsiTheme="majorBidi"/>
                <w:sz w:val="24"/>
                <w:rtl/>
              </w:rPr>
              <w:t xml:space="preserve"> "تعزيز الجهود الرامية إلى حماية وصون التراث الثقافي والطبيعي العالمي</w:t>
            </w:r>
            <w:r w:rsidRPr="009A23B8">
              <w:rPr>
                <w:rFonts w:asciiTheme="majorBidi" w:hAnsiTheme="majorBidi" w:hint="cs"/>
                <w:sz w:val="24"/>
                <w:rtl/>
              </w:rPr>
              <w:t>،</w:t>
            </w:r>
            <w:r w:rsidRPr="009A23B8">
              <w:rPr>
                <w:rFonts w:asciiTheme="majorBidi" w:hAnsiTheme="majorBidi"/>
                <w:sz w:val="24"/>
                <w:rtl/>
              </w:rPr>
              <w:t>'' والغاية 11-3 "تعزيز التوسع الحضري الشامل للجميع والمستدام، والقدرة على تخطيط وإدارة المستوطنات البشرية في جميع البلدان على نحو قائم على المشاركة ومتكامل ومستدام".</w:t>
            </w:r>
            <w:r w:rsidR="000B0833" w:rsidRPr="009A23B8">
              <w:rPr>
                <w:rFonts w:asciiTheme="majorBidi" w:hAnsiTheme="majorBidi" w:hint="cs"/>
                <w:sz w:val="24"/>
                <w:rtl/>
              </w:rPr>
              <w:t xml:space="preserve"> </w:t>
            </w:r>
            <w:r w:rsidR="000B0833" w:rsidRPr="009A23B8">
              <w:rPr>
                <w:rFonts w:asciiTheme="majorBidi" w:hAnsiTheme="majorBidi"/>
                <w:sz w:val="24"/>
                <w:rtl/>
              </w:rPr>
              <w:t xml:space="preserve">علاوة على ذلك، يستجيب المؤشر للغاية 5-5 من أهداف التنمية المستدامة </w:t>
            </w:r>
            <w:r w:rsidR="000B0833" w:rsidRPr="009A23B8">
              <w:rPr>
                <w:rFonts w:asciiTheme="majorBidi" w:hAnsiTheme="majorBidi" w:hint="cs"/>
                <w:sz w:val="24"/>
                <w:rtl/>
              </w:rPr>
              <w:t>المتعلقة بـ</w:t>
            </w:r>
            <w:r w:rsidR="000B0833" w:rsidRPr="009A23B8">
              <w:rPr>
                <w:rFonts w:asciiTheme="majorBidi" w:hAnsiTheme="majorBidi"/>
                <w:sz w:val="24"/>
                <w:rtl/>
              </w:rPr>
              <w:t xml:space="preserve"> "مشاركة المرأة مشاركة كاملة وفعالة '' في اتخاذ </w:t>
            </w:r>
            <w:r w:rsidR="00832997" w:rsidRPr="009A23B8">
              <w:rPr>
                <w:rFonts w:asciiTheme="majorBidi" w:hAnsiTheme="majorBidi" w:hint="cs"/>
                <w:sz w:val="24"/>
                <w:rtl/>
              </w:rPr>
              <w:t>القرارات</w:t>
            </w:r>
            <w:r w:rsidR="000B0833" w:rsidRPr="009A23B8">
              <w:rPr>
                <w:rFonts w:asciiTheme="majorBidi" w:hAnsiTheme="majorBidi"/>
                <w:sz w:val="24"/>
                <w:rtl/>
              </w:rPr>
              <w:t xml:space="preserve">، والغاية </w:t>
            </w:r>
            <w:r w:rsidR="001214B3" w:rsidRPr="009A23B8">
              <w:rPr>
                <w:rFonts w:asciiTheme="majorBidi" w:hAnsiTheme="majorBidi" w:hint="cs"/>
                <w:sz w:val="24"/>
                <w:rtl/>
              </w:rPr>
              <w:t>5-ج</w:t>
            </w:r>
            <w:r w:rsidR="000B0833" w:rsidRPr="009A23B8">
              <w:rPr>
                <w:rFonts w:asciiTheme="majorBidi" w:hAnsiTheme="majorBidi"/>
                <w:sz w:val="24"/>
                <w:rtl/>
              </w:rPr>
              <w:t xml:space="preserve"> التي تدعو إلى "النهوض بالمساواة بين الجنسين وتمكين كل النساء والفتيات على جميع المستويات". كما تتجسد روح الشمولية </w:t>
            </w:r>
            <w:r w:rsidR="001214B3" w:rsidRPr="009A23B8">
              <w:rPr>
                <w:rFonts w:asciiTheme="majorBidi" w:hAnsiTheme="majorBidi"/>
                <w:sz w:val="24"/>
                <w:rtl/>
              </w:rPr>
              <w:t>نفس</w:t>
            </w:r>
            <w:r w:rsidR="001214B3" w:rsidRPr="009A23B8">
              <w:rPr>
                <w:rFonts w:asciiTheme="majorBidi" w:hAnsiTheme="majorBidi" w:hint="cs"/>
                <w:sz w:val="24"/>
                <w:rtl/>
              </w:rPr>
              <w:t>ها</w:t>
            </w:r>
            <w:r w:rsidR="001214B3" w:rsidRPr="009A23B8">
              <w:rPr>
                <w:rFonts w:asciiTheme="majorBidi" w:hAnsiTheme="majorBidi"/>
                <w:sz w:val="24"/>
                <w:rtl/>
              </w:rPr>
              <w:t xml:space="preserve"> </w:t>
            </w:r>
            <w:r w:rsidR="000B0833" w:rsidRPr="009A23B8">
              <w:rPr>
                <w:rFonts w:asciiTheme="majorBidi" w:hAnsiTheme="majorBidi"/>
                <w:sz w:val="24"/>
                <w:rtl/>
              </w:rPr>
              <w:t xml:space="preserve">على نطاق أوسع في الغاية 10-2 من أهداف التنمية المستدامة التي تدعو إلى "الإدماج الاجتماعي والاقتصادي والسياسي للجميع، بغض النظر عن </w:t>
            </w:r>
            <w:proofErr w:type="gramStart"/>
            <w:r w:rsidR="000B0833" w:rsidRPr="009A23B8">
              <w:rPr>
                <w:rFonts w:asciiTheme="majorBidi" w:hAnsiTheme="majorBidi"/>
                <w:sz w:val="24"/>
                <w:rtl/>
              </w:rPr>
              <w:t>السن</w:t>
            </w:r>
            <w:proofErr w:type="gramEnd"/>
            <w:r w:rsidR="000B0833" w:rsidRPr="009A23B8">
              <w:rPr>
                <w:rFonts w:asciiTheme="majorBidi" w:hAnsiTheme="majorBidi"/>
                <w:sz w:val="24"/>
                <w:rtl/>
              </w:rPr>
              <w:t xml:space="preserve"> أو الجنس أو الإعاقة أو العرق أو الإثنية أو الأصل أو الدين أو الوضع الاقتصادي أو غير ذلك"، والغاية 10-3 من أهداف التنمية المستدامة التي تسعى إلى "ضمان تكافؤ الفرص والحد من أوجه انعدام المساواة في النتائج". في الختام، تشير الغاية 10-7 من أهداف التنمية المستدامة إلى الحاجة إلى "الهجرة وتنقل الأشخاص على نحو منظم وآمن ومنتظم ومتسم بالمسؤولية".</w:t>
            </w:r>
          </w:p>
          <w:p w14:paraId="6F5D9EB9" w14:textId="55EEA655" w:rsidR="00845B6C" w:rsidRPr="009A23B8" w:rsidRDefault="00497D28" w:rsidP="00396E63">
            <w:pPr>
              <w:keepLines/>
              <w:bidi/>
              <w:spacing w:before="120"/>
              <w:jc w:val="both"/>
              <w:rPr>
                <w:rFonts w:asciiTheme="majorBidi" w:hAnsiTheme="majorBidi" w:cstheme="majorBidi"/>
                <w:bCs/>
                <w:sz w:val="24"/>
              </w:rPr>
            </w:pPr>
            <w:r w:rsidRPr="009A23B8">
              <w:rPr>
                <w:rFonts w:asciiTheme="majorBidi" w:hAnsiTheme="majorBidi"/>
                <w:bCs/>
                <w:sz w:val="24"/>
                <w:rtl/>
              </w:rPr>
              <w:t xml:space="preserve">العلاقة بالمؤشرات الأخرى: </w:t>
            </w:r>
            <w:r w:rsidRPr="009A23B8">
              <w:rPr>
                <w:rFonts w:asciiTheme="majorBidi" w:hAnsiTheme="majorBidi"/>
                <w:b/>
                <w:sz w:val="24"/>
                <w:rtl/>
              </w:rPr>
              <w:t>يعد هذا المؤشر مستعرض</w:t>
            </w:r>
            <w:r w:rsidR="00EB2449" w:rsidRPr="009A23B8">
              <w:rPr>
                <w:rFonts w:asciiTheme="majorBidi" w:hAnsiTheme="majorBidi" w:hint="cs"/>
                <w:b/>
                <w:sz w:val="24"/>
                <w:rtl/>
              </w:rPr>
              <w:t>ًا</w:t>
            </w:r>
            <w:r w:rsidRPr="009A23B8">
              <w:rPr>
                <w:rFonts w:asciiTheme="majorBidi" w:hAnsiTheme="majorBidi"/>
                <w:b/>
                <w:sz w:val="24"/>
                <w:rtl/>
              </w:rPr>
              <w:t>، ويحدد المبادئ العامة للشمولية والمساواة، والهدف العام المتمثل في تعزيز احترام الذات والاحترام المتبادل - القيم الأساسية التي تقوم عليها خطط وبرامج الصون</w:t>
            </w:r>
            <w:r w:rsidRPr="009A23B8">
              <w:rPr>
                <w:rFonts w:asciiTheme="majorBidi" w:hAnsiTheme="majorBidi" w:hint="cs"/>
                <w:b/>
                <w:sz w:val="24"/>
                <w:rtl/>
              </w:rPr>
              <w:t xml:space="preserve">، </w:t>
            </w:r>
            <w:r w:rsidRPr="009A23B8">
              <w:rPr>
                <w:rFonts w:asciiTheme="majorBidi" w:hAnsiTheme="majorBidi"/>
                <w:b/>
                <w:sz w:val="24"/>
                <w:rtl/>
              </w:rPr>
              <w:t xml:space="preserve">بغض النظر عن نطاقها أو تركيزها المحدد. وبالتالي، يكمل المؤشر 11 </w:t>
            </w:r>
            <w:r w:rsidR="00EB2449" w:rsidRPr="009A23B8">
              <w:rPr>
                <w:rFonts w:asciiTheme="majorBidi" w:hAnsiTheme="majorBidi" w:hint="cs"/>
                <w:b/>
                <w:sz w:val="24"/>
                <w:rtl/>
              </w:rPr>
              <w:t>المتعلق</w:t>
            </w:r>
            <w:r w:rsidRPr="009A23B8">
              <w:rPr>
                <w:rFonts w:asciiTheme="majorBidi" w:hAnsiTheme="majorBidi"/>
                <w:b/>
                <w:sz w:val="24"/>
                <w:rtl/>
              </w:rPr>
              <w:t xml:space="preserve"> أيضًا </w:t>
            </w:r>
            <w:r w:rsidR="00EB2449" w:rsidRPr="009A23B8">
              <w:rPr>
                <w:rFonts w:asciiTheme="majorBidi" w:hAnsiTheme="majorBidi" w:hint="cs"/>
                <w:b/>
                <w:sz w:val="24"/>
                <w:rtl/>
              </w:rPr>
              <w:t>ب</w:t>
            </w:r>
            <w:r w:rsidRPr="009A23B8">
              <w:rPr>
                <w:rFonts w:asciiTheme="majorBidi" w:hAnsiTheme="majorBidi"/>
                <w:b/>
                <w:sz w:val="24"/>
                <w:rtl/>
              </w:rPr>
              <w:t xml:space="preserve">خطط الصون، سواء بالنسبة للتراث الثقافي غير المادي عامة أو لعناصر محددة من التراث الثقافي غير المادي. بالإضافة إلى ذلك، فإنه يحدد المبادئ التوجيهية التي تقوم عليها المؤشرات 17-20، والتي تشير بالتحديد إلى برامج </w:t>
            </w:r>
            <w:r w:rsidR="005106E0" w:rsidRPr="009A23B8">
              <w:rPr>
                <w:rFonts w:asciiTheme="majorBidi" w:hAnsiTheme="majorBidi" w:hint="cs"/>
                <w:b/>
                <w:sz w:val="24"/>
                <w:rtl/>
              </w:rPr>
              <w:t>ال</w:t>
            </w:r>
            <w:r w:rsidR="00D55749" w:rsidRPr="009A23B8">
              <w:rPr>
                <w:rFonts w:asciiTheme="majorBidi" w:hAnsiTheme="majorBidi" w:hint="cs"/>
                <w:b/>
                <w:sz w:val="24"/>
                <w:rtl/>
              </w:rPr>
              <w:t>ت</w:t>
            </w:r>
            <w:r w:rsidR="005106E0" w:rsidRPr="009A23B8">
              <w:rPr>
                <w:rFonts w:asciiTheme="majorBidi" w:hAnsiTheme="majorBidi" w:hint="cs"/>
                <w:b/>
                <w:sz w:val="24"/>
                <w:rtl/>
              </w:rPr>
              <w:t>وعية</w:t>
            </w:r>
            <w:r w:rsidRPr="009A23B8">
              <w:rPr>
                <w:rFonts w:asciiTheme="majorBidi" w:hAnsiTheme="majorBidi"/>
                <w:b/>
                <w:sz w:val="24"/>
                <w:rtl/>
              </w:rPr>
              <w:t xml:space="preserve"> بأهمية التراث الثقافي غير المادي وصونه، والمؤشر 22 المتعلق برصد برامج صون التراث الثقافي غير المادي.</w:t>
            </w:r>
          </w:p>
        </w:tc>
      </w:tr>
      <w:tr w:rsidR="00896177" w:rsidRPr="00C11D14" w14:paraId="4EF1C980" w14:textId="77777777" w:rsidTr="007E2E7F">
        <w:trPr>
          <w:cantSplit/>
        </w:trPr>
        <w:tc>
          <w:tcPr>
            <w:tcW w:w="786" w:type="pct"/>
            <w:shd w:val="clear" w:color="auto" w:fill="auto"/>
          </w:tcPr>
          <w:p w14:paraId="74203557" w14:textId="1F0C47BF" w:rsidR="00896177" w:rsidRPr="009A23B8" w:rsidRDefault="001B08C2" w:rsidP="00396E63">
            <w:pPr>
              <w:bidi/>
              <w:spacing w:before="120"/>
              <w:jc w:val="both"/>
              <w:rPr>
                <w:rFonts w:asciiTheme="majorBidi" w:hAnsiTheme="majorBidi" w:cstheme="majorBidi"/>
                <w:b/>
                <w:sz w:val="24"/>
              </w:rPr>
            </w:pPr>
            <w:r w:rsidRPr="009A23B8">
              <w:rPr>
                <w:rFonts w:asciiTheme="majorBidi" w:hAnsiTheme="majorBidi"/>
                <w:b/>
                <w:bCs/>
                <w:sz w:val="24"/>
                <w:rtl/>
              </w:rPr>
              <w:lastRenderedPageBreak/>
              <w:t xml:space="preserve">الأسس المنطقية </w:t>
            </w:r>
            <w:r w:rsidR="00FC5FC7" w:rsidRPr="009A23B8">
              <w:rPr>
                <w:rFonts w:asciiTheme="majorBidi" w:hAnsiTheme="majorBidi" w:hint="cs"/>
                <w:b/>
                <w:bCs/>
                <w:sz w:val="24"/>
                <w:rtl/>
              </w:rPr>
              <w:t>للإجراءات</w:t>
            </w:r>
          </w:p>
        </w:tc>
        <w:tc>
          <w:tcPr>
            <w:tcW w:w="4214" w:type="pct"/>
            <w:gridSpan w:val="2"/>
            <w:shd w:val="clear" w:color="auto" w:fill="auto"/>
          </w:tcPr>
          <w:p w14:paraId="12AB4138" w14:textId="593CBEDD" w:rsidR="00704766" w:rsidRPr="009A23B8" w:rsidRDefault="000B7C90" w:rsidP="00396E63">
            <w:pPr>
              <w:keepLines/>
              <w:bidi/>
              <w:spacing w:before="120"/>
              <w:jc w:val="both"/>
              <w:rPr>
                <w:rFonts w:asciiTheme="majorBidi" w:hAnsiTheme="majorBidi" w:cstheme="majorBidi"/>
                <w:sz w:val="24"/>
              </w:rPr>
            </w:pPr>
            <w:r w:rsidRPr="009A23B8">
              <w:rPr>
                <w:rFonts w:asciiTheme="majorBidi" w:hAnsiTheme="majorBidi"/>
                <w:sz w:val="24"/>
                <w:rtl/>
              </w:rPr>
              <w:t>يت</w:t>
            </w:r>
            <w:r w:rsidR="002A5BE3" w:rsidRPr="009A23B8">
              <w:rPr>
                <w:rFonts w:asciiTheme="majorBidi" w:hAnsiTheme="majorBidi" w:hint="cs"/>
                <w:sz w:val="24"/>
                <w:rtl/>
              </w:rPr>
              <w:t>صل</w:t>
            </w:r>
            <w:r w:rsidRPr="009A23B8">
              <w:rPr>
                <w:rFonts w:asciiTheme="majorBidi" w:hAnsiTheme="majorBidi"/>
                <w:sz w:val="24"/>
                <w:rtl/>
              </w:rPr>
              <w:t xml:space="preserve"> هذا المؤشر بالمبادئ الأساسية للاتفاقية، كما وردت في المبادئ الأخلاقية لصون التراث الثقافي غير المادي. تندرج متطلبات "الاحترام المتبادل بين الجماعات والمجموعات والأفراد" في تعريف الاتفاقية للتراث الثقافي غير المادي (المادة 2-1)، وإن هدف هذه الاتفاقية من "احترام التراث الثقافي غير المادي للجماعات والمجموعات المعنية والأفراد المعنين" (المادة 1(ب)) ينطوي على احترام هؤلاء الأشخاص فضل</w:t>
            </w:r>
            <w:r w:rsidR="005F5920" w:rsidRPr="009A23B8">
              <w:rPr>
                <w:rFonts w:asciiTheme="majorBidi" w:hAnsiTheme="majorBidi" w:hint="cs"/>
                <w:sz w:val="24"/>
                <w:rtl/>
              </w:rPr>
              <w:t>ً</w:t>
            </w:r>
            <w:r w:rsidRPr="009A23B8">
              <w:rPr>
                <w:rFonts w:asciiTheme="majorBidi" w:hAnsiTheme="majorBidi"/>
                <w:sz w:val="24"/>
                <w:rtl/>
              </w:rPr>
              <w:t>ا عن تراثهم الثقافي غير المادي. فتعد مبادئ الشمولية وعدم التمييز قيم</w:t>
            </w:r>
            <w:r w:rsidR="005F5920" w:rsidRPr="009A23B8">
              <w:rPr>
                <w:rFonts w:asciiTheme="majorBidi" w:hAnsiTheme="majorBidi" w:hint="cs"/>
                <w:sz w:val="24"/>
                <w:rtl/>
              </w:rPr>
              <w:t>ًا</w:t>
            </w:r>
            <w:r w:rsidRPr="009A23B8">
              <w:rPr>
                <w:rFonts w:asciiTheme="majorBidi" w:hAnsiTheme="majorBidi"/>
                <w:sz w:val="24"/>
                <w:rtl/>
              </w:rPr>
              <w:t xml:space="preserve"> أساسية للأمم المتحدة، واليونسكو بالمثل، وقد أُكد عليها في التوجيهات </w:t>
            </w:r>
            <w:r w:rsidR="005F5920" w:rsidRPr="009A23B8">
              <w:rPr>
                <w:rFonts w:asciiTheme="majorBidi" w:hAnsiTheme="majorBidi" w:hint="cs"/>
                <w:sz w:val="24"/>
                <w:rtl/>
              </w:rPr>
              <w:t>التنفيذية</w:t>
            </w:r>
            <w:r w:rsidRPr="009A23B8">
              <w:rPr>
                <w:rFonts w:asciiTheme="majorBidi" w:hAnsiTheme="majorBidi"/>
                <w:sz w:val="24"/>
                <w:rtl/>
              </w:rPr>
              <w:t xml:space="preserve"> والمبادئ الأخلاقية. كما تجسد قيمة الشمولية المادة 15، في إشارتها إلى "أوسع مشاركة ممكنة للجماعات، والمجموعات، وأحيانا الأفراد،" في صون التراث الثقافي غير المادي وإدارته.</w:t>
            </w:r>
          </w:p>
        </w:tc>
      </w:tr>
      <w:tr w:rsidR="00704766" w:rsidRPr="00C11D14" w14:paraId="3FD17B62" w14:textId="77777777" w:rsidTr="007E2E7F">
        <w:trPr>
          <w:cantSplit/>
        </w:trPr>
        <w:tc>
          <w:tcPr>
            <w:tcW w:w="786" w:type="pct"/>
            <w:shd w:val="clear" w:color="auto" w:fill="auto"/>
          </w:tcPr>
          <w:p w14:paraId="2C119DFD" w14:textId="67325B90" w:rsidR="00704766" w:rsidRPr="009A23B8" w:rsidRDefault="001B08C2" w:rsidP="00396E63">
            <w:pPr>
              <w:bidi/>
              <w:spacing w:before="120" w:after="60"/>
              <w:jc w:val="both"/>
              <w:rPr>
                <w:rFonts w:asciiTheme="majorBidi" w:hAnsiTheme="majorBidi" w:cstheme="majorBidi"/>
                <w:b/>
                <w:sz w:val="24"/>
              </w:rPr>
            </w:pPr>
            <w:r w:rsidRPr="009A23B8">
              <w:rPr>
                <w:rFonts w:asciiTheme="majorBidi" w:hAnsiTheme="majorBidi"/>
                <w:b/>
                <w:bCs/>
                <w:sz w:val="24"/>
                <w:rtl/>
              </w:rPr>
              <w:t>المصطلحات الرئيسية</w:t>
            </w:r>
          </w:p>
        </w:tc>
        <w:tc>
          <w:tcPr>
            <w:tcW w:w="4214" w:type="pct"/>
            <w:gridSpan w:val="2"/>
            <w:shd w:val="clear" w:color="auto" w:fill="auto"/>
          </w:tcPr>
          <w:p w14:paraId="457102AA" w14:textId="349C4CF4" w:rsidR="00192E54" w:rsidRPr="009A23B8" w:rsidRDefault="00317019" w:rsidP="00396E63">
            <w:pPr>
              <w:pStyle w:val="ListParagraph"/>
              <w:numPr>
                <w:ilvl w:val="0"/>
                <w:numId w:val="3"/>
              </w:numPr>
              <w:bidi/>
              <w:spacing w:before="120"/>
              <w:jc w:val="both"/>
              <w:rPr>
                <w:rFonts w:asciiTheme="majorBidi" w:hAnsiTheme="majorBidi" w:cstheme="majorBidi"/>
                <w:sz w:val="24"/>
                <w:szCs w:val="24"/>
                <w:lang w:val="en-GB"/>
              </w:rPr>
            </w:pPr>
            <w:r w:rsidRPr="009A23B8">
              <w:rPr>
                <w:rFonts w:asciiTheme="majorBidi" w:hAnsiTheme="majorBidi"/>
                <w:sz w:val="24"/>
                <w:szCs w:val="24"/>
                <w:rtl/>
                <w:lang w:val="en-GB"/>
              </w:rPr>
              <w:t>شامل/ شمولي</w:t>
            </w:r>
            <w:r w:rsidR="00CB42C5" w:rsidRPr="009A23B8">
              <w:rPr>
                <w:rFonts w:asciiTheme="majorBidi" w:hAnsiTheme="majorBidi" w:hint="cs"/>
                <w:sz w:val="24"/>
                <w:szCs w:val="24"/>
                <w:rtl/>
                <w:lang w:val="en-GB"/>
              </w:rPr>
              <w:t>ة</w:t>
            </w:r>
          </w:p>
          <w:p w14:paraId="1B800548" w14:textId="45D2CE00" w:rsidR="00192E54" w:rsidRPr="009A23B8" w:rsidRDefault="00192E54" w:rsidP="00396E63">
            <w:pPr>
              <w:pStyle w:val="ListParagraph"/>
              <w:numPr>
                <w:ilvl w:val="0"/>
                <w:numId w:val="3"/>
              </w:numPr>
              <w:bidi/>
              <w:spacing w:before="120"/>
              <w:jc w:val="both"/>
              <w:rPr>
                <w:rFonts w:asciiTheme="majorBidi" w:hAnsiTheme="majorBidi" w:cstheme="majorBidi"/>
                <w:sz w:val="24"/>
                <w:szCs w:val="24"/>
                <w:lang w:val="en-GB"/>
              </w:rPr>
            </w:pPr>
            <w:r w:rsidRPr="009A23B8">
              <w:rPr>
                <w:rFonts w:asciiTheme="majorBidi" w:hAnsiTheme="majorBidi"/>
                <w:sz w:val="24"/>
                <w:szCs w:val="24"/>
                <w:rtl/>
                <w:lang w:val="en-GB"/>
              </w:rPr>
              <w:t xml:space="preserve">قطاعات </w:t>
            </w:r>
            <w:r w:rsidR="00FC5FC7" w:rsidRPr="009A23B8">
              <w:rPr>
                <w:rFonts w:asciiTheme="majorBidi" w:hAnsiTheme="majorBidi"/>
                <w:sz w:val="24"/>
                <w:szCs w:val="24"/>
                <w:rtl/>
                <w:lang w:val="en-GB"/>
              </w:rPr>
              <w:t xml:space="preserve">المجتمع </w:t>
            </w:r>
            <w:r w:rsidRPr="009A23B8">
              <w:rPr>
                <w:rFonts w:asciiTheme="majorBidi" w:hAnsiTheme="majorBidi"/>
                <w:sz w:val="24"/>
                <w:szCs w:val="24"/>
                <w:rtl/>
                <w:lang w:val="en-GB"/>
              </w:rPr>
              <w:t>وطبقات</w:t>
            </w:r>
            <w:r w:rsidR="00FC5FC7" w:rsidRPr="009A23B8">
              <w:rPr>
                <w:rFonts w:asciiTheme="majorBidi" w:hAnsiTheme="majorBidi" w:hint="cs"/>
                <w:sz w:val="24"/>
                <w:szCs w:val="24"/>
                <w:rtl/>
                <w:lang w:val="en-GB"/>
              </w:rPr>
              <w:t>ه</w:t>
            </w:r>
            <w:r w:rsidRPr="009A23B8">
              <w:rPr>
                <w:rFonts w:asciiTheme="majorBidi" w:hAnsiTheme="majorBidi"/>
                <w:sz w:val="24"/>
                <w:szCs w:val="24"/>
                <w:rtl/>
                <w:lang w:val="en-GB"/>
              </w:rPr>
              <w:t xml:space="preserve"> </w:t>
            </w:r>
          </w:p>
          <w:p w14:paraId="1957669D" w14:textId="3F81BD82" w:rsidR="00192E54" w:rsidRPr="009A23B8" w:rsidRDefault="00FC5FC7" w:rsidP="00396E63">
            <w:pPr>
              <w:pStyle w:val="ListParagraph"/>
              <w:numPr>
                <w:ilvl w:val="0"/>
                <w:numId w:val="3"/>
              </w:numPr>
              <w:bidi/>
              <w:spacing w:before="120"/>
              <w:jc w:val="both"/>
              <w:rPr>
                <w:rFonts w:asciiTheme="majorBidi" w:hAnsiTheme="majorBidi" w:cstheme="majorBidi"/>
                <w:sz w:val="24"/>
                <w:szCs w:val="24"/>
                <w:lang w:val="en-GB"/>
              </w:rPr>
            </w:pPr>
            <w:r w:rsidRPr="009A23B8">
              <w:rPr>
                <w:rFonts w:asciiTheme="majorBidi" w:hAnsiTheme="majorBidi" w:hint="cs"/>
                <w:sz w:val="24"/>
                <w:szCs w:val="24"/>
                <w:rtl/>
                <w:lang w:val="en-GB"/>
              </w:rPr>
              <w:t>ال</w:t>
            </w:r>
            <w:r w:rsidR="00317019" w:rsidRPr="009A23B8">
              <w:rPr>
                <w:rFonts w:asciiTheme="majorBidi" w:hAnsiTheme="majorBidi"/>
                <w:sz w:val="24"/>
                <w:szCs w:val="24"/>
                <w:rtl/>
                <w:lang w:val="en-GB"/>
              </w:rPr>
              <w:t xml:space="preserve">سكان </w:t>
            </w:r>
            <w:r w:rsidRPr="009A23B8">
              <w:rPr>
                <w:rFonts w:asciiTheme="majorBidi" w:hAnsiTheme="majorBidi" w:hint="cs"/>
                <w:sz w:val="24"/>
                <w:szCs w:val="24"/>
                <w:rtl/>
                <w:lang w:val="en-GB"/>
              </w:rPr>
              <w:t>ال</w:t>
            </w:r>
            <w:r w:rsidR="00192E54" w:rsidRPr="009A23B8">
              <w:rPr>
                <w:rFonts w:asciiTheme="majorBidi" w:hAnsiTheme="majorBidi"/>
                <w:sz w:val="24"/>
                <w:szCs w:val="24"/>
                <w:rtl/>
                <w:lang w:val="en-GB"/>
              </w:rPr>
              <w:t>أصلي</w:t>
            </w:r>
            <w:r w:rsidR="00CB42C5" w:rsidRPr="009A23B8">
              <w:rPr>
                <w:rFonts w:asciiTheme="majorBidi" w:hAnsiTheme="majorBidi" w:hint="cs"/>
                <w:sz w:val="24"/>
                <w:szCs w:val="24"/>
                <w:rtl/>
                <w:lang w:val="en-GB"/>
              </w:rPr>
              <w:t>و</w:t>
            </w:r>
            <w:r w:rsidR="00192E54" w:rsidRPr="009A23B8">
              <w:rPr>
                <w:rFonts w:asciiTheme="majorBidi" w:hAnsiTheme="majorBidi"/>
                <w:sz w:val="24"/>
                <w:szCs w:val="24"/>
                <w:rtl/>
                <w:lang w:val="en-GB"/>
              </w:rPr>
              <w:t>ن</w:t>
            </w:r>
          </w:p>
          <w:p w14:paraId="301677E1" w14:textId="77777777" w:rsidR="00CB42C5" w:rsidRPr="009A23B8" w:rsidRDefault="00CB42C5" w:rsidP="00396E63">
            <w:pPr>
              <w:pStyle w:val="ListParagraph"/>
              <w:numPr>
                <w:ilvl w:val="0"/>
                <w:numId w:val="3"/>
              </w:numPr>
              <w:bidi/>
              <w:spacing w:before="120"/>
              <w:jc w:val="both"/>
              <w:rPr>
                <w:rFonts w:asciiTheme="majorBidi" w:hAnsiTheme="majorBidi"/>
                <w:sz w:val="24"/>
                <w:szCs w:val="24"/>
                <w:lang w:val="en-GB"/>
              </w:rPr>
            </w:pPr>
            <w:r w:rsidRPr="009A23B8">
              <w:rPr>
                <w:rFonts w:asciiTheme="majorBidi" w:hAnsiTheme="majorBidi"/>
                <w:sz w:val="24"/>
                <w:szCs w:val="24"/>
                <w:rtl/>
                <w:lang w:val="en-GB"/>
              </w:rPr>
              <w:t xml:space="preserve">المجموعات ذات الهويات العرقية المختلفة </w:t>
            </w:r>
          </w:p>
          <w:p w14:paraId="5D514114" w14:textId="117200E8" w:rsidR="00192E54" w:rsidRPr="009A23B8" w:rsidRDefault="00CB42C5" w:rsidP="00396E63">
            <w:pPr>
              <w:pStyle w:val="ListParagraph"/>
              <w:numPr>
                <w:ilvl w:val="0"/>
                <w:numId w:val="3"/>
              </w:numPr>
              <w:bidi/>
              <w:spacing w:before="120"/>
              <w:jc w:val="both"/>
              <w:rPr>
                <w:rFonts w:asciiTheme="majorBidi" w:hAnsiTheme="majorBidi" w:cstheme="majorBidi"/>
                <w:sz w:val="24"/>
                <w:szCs w:val="24"/>
                <w:lang w:val="en-GB"/>
              </w:rPr>
            </w:pPr>
            <w:r w:rsidRPr="009A23B8">
              <w:rPr>
                <w:rFonts w:asciiTheme="majorBidi" w:hAnsiTheme="majorBidi"/>
                <w:sz w:val="24"/>
                <w:szCs w:val="24"/>
                <w:rtl/>
                <w:lang w:val="en-GB"/>
              </w:rPr>
              <w:t>المهاجرون واللاجئون</w:t>
            </w:r>
          </w:p>
          <w:p w14:paraId="36943F07" w14:textId="4AD8BBA6" w:rsidR="00274CAE" w:rsidRPr="009A23B8" w:rsidRDefault="00274CAE" w:rsidP="00396E63">
            <w:pPr>
              <w:pStyle w:val="ListParagraph"/>
              <w:numPr>
                <w:ilvl w:val="0"/>
                <w:numId w:val="3"/>
              </w:numPr>
              <w:bidi/>
              <w:spacing w:before="120"/>
              <w:jc w:val="both"/>
              <w:rPr>
                <w:rFonts w:asciiTheme="majorBidi" w:hAnsiTheme="majorBidi"/>
                <w:sz w:val="24"/>
                <w:szCs w:val="24"/>
                <w:lang w:val="en-GB" w:bidi="ar-EG"/>
              </w:rPr>
            </w:pPr>
            <w:r w:rsidRPr="009A23B8">
              <w:rPr>
                <w:rFonts w:asciiTheme="majorBidi" w:hAnsiTheme="majorBidi"/>
                <w:sz w:val="24"/>
                <w:szCs w:val="24"/>
                <w:rtl/>
                <w:lang w:val="en-GB" w:bidi="ar-EG"/>
              </w:rPr>
              <w:t>الأشخاص من مختلف الأنواع الاجتماعية</w:t>
            </w:r>
          </w:p>
          <w:p w14:paraId="7042C841" w14:textId="5F048114" w:rsidR="00274CAE" w:rsidRPr="009A23B8" w:rsidRDefault="00274CAE" w:rsidP="00396E63">
            <w:pPr>
              <w:pStyle w:val="ListParagraph"/>
              <w:numPr>
                <w:ilvl w:val="0"/>
                <w:numId w:val="3"/>
              </w:numPr>
              <w:bidi/>
              <w:spacing w:before="120"/>
              <w:jc w:val="both"/>
              <w:rPr>
                <w:rFonts w:asciiTheme="majorBidi" w:hAnsiTheme="majorBidi"/>
                <w:sz w:val="24"/>
                <w:szCs w:val="24"/>
                <w:lang w:val="en-GB" w:bidi="ar-EG"/>
              </w:rPr>
            </w:pPr>
            <w:r w:rsidRPr="009A23B8">
              <w:rPr>
                <w:rFonts w:asciiTheme="majorBidi" w:hAnsiTheme="majorBidi"/>
                <w:sz w:val="24"/>
                <w:szCs w:val="24"/>
                <w:rtl/>
                <w:lang w:val="en-GB" w:bidi="ar-EG"/>
              </w:rPr>
              <w:t>الأشخاص ذوي الاحتياجات الخاصة</w:t>
            </w:r>
          </w:p>
          <w:p w14:paraId="171FE759" w14:textId="3DFAF136" w:rsidR="00274CAE" w:rsidRPr="009A23B8" w:rsidRDefault="00274CAE" w:rsidP="00396E63">
            <w:pPr>
              <w:pStyle w:val="ListParagraph"/>
              <w:numPr>
                <w:ilvl w:val="0"/>
                <w:numId w:val="3"/>
              </w:numPr>
              <w:bidi/>
              <w:spacing w:before="120"/>
              <w:jc w:val="both"/>
              <w:rPr>
                <w:rFonts w:asciiTheme="majorBidi" w:hAnsiTheme="majorBidi" w:cstheme="majorBidi"/>
                <w:sz w:val="24"/>
                <w:szCs w:val="24"/>
                <w:lang w:val="en-GB"/>
              </w:rPr>
            </w:pPr>
            <w:r w:rsidRPr="009A23B8">
              <w:rPr>
                <w:rFonts w:asciiTheme="majorBidi" w:hAnsiTheme="majorBidi"/>
                <w:sz w:val="24"/>
                <w:szCs w:val="24"/>
                <w:rtl/>
                <w:lang w:val="en-GB" w:bidi="ar-EG"/>
              </w:rPr>
              <w:t>أعضاء الفئات الضعيفة</w:t>
            </w:r>
          </w:p>
          <w:p w14:paraId="6157877E" w14:textId="7CEFD088" w:rsidR="00192E54" w:rsidRPr="009A23B8" w:rsidRDefault="00317019" w:rsidP="00396E63">
            <w:pPr>
              <w:pStyle w:val="ListParagraph"/>
              <w:numPr>
                <w:ilvl w:val="0"/>
                <w:numId w:val="3"/>
              </w:numPr>
              <w:bidi/>
              <w:spacing w:before="120"/>
              <w:jc w:val="both"/>
              <w:rPr>
                <w:rFonts w:asciiTheme="majorBidi" w:hAnsiTheme="majorBidi" w:cstheme="majorBidi"/>
                <w:sz w:val="24"/>
                <w:szCs w:val="24"/>
                <w:lang w:val="en-GB"/>
              </w:rPr>
            </w:pPr>
            <w:r w:rsidRPr="009A23B8">
              <w:rPr>
                <w:rFonts w:asciiTheme="majorBidi" w:hAnsiTheme="majorBidi"/>
                <w:sz w:val="24"/>
                <w:szCs w:val="24"/>
                <w:rtl/>
                <w:lang w:val="en-GB"/>
              </w:rPr>
              <w:t>جماعات أو مجموعات أو</w:t>
            </w:r>
            <w:r w:rsidRPr="009A23B8">
              <w:rPr>
                <w:rFonts w:asciiTheme="majorBidi" w:hAnsiTheme="majorBidi" w:hint="cs"/>
                <w:sz w:val="24"/>
                <w:szCs w:val="24"/>
                <w:rtl/>
                <w:lang w:val="en-GB"/>
              </w:rPr>
              <w:t xml:space="preserve"> أحينًا </w:t>
            </w:r>
            <w:r w:rsidR="00192E54" w:rsidRPr="009A23B8">
              <w:rPr>
                <w:rFonts w:asciiTheme="majorBidi" w:hAnsiTheme="majorBidi"/>
                <w:sz w:val="24"/>
                <w:szCs w:val="24"/>
                <w:rtl/>
                <w:lang w:val="en-GB"/>
              </w:rPr>
              <w:t>أفراد</w:t>
            </w:r>
          </w:p>
          <w:p w14:paraId="75F5C616" w14:textId="77777777" w:rsidR="00192E54" w:rsidRPr="009A23B8" w:rsidRDefault="00192E54" w:rsidP="00396E63">
            <w:pPr>
              <w:pStyle w:val="ListParagraph"/>
              <w:numPr>
                <w:ilvl w:val="0"/>
                <w:numId w:val="3"/>
              </w:numPr>
              <w:bidi/>
              <w:spacing w:before="120"/>
              <w:jc w:val="both"/>
              <w:rPr>
                <w:rFonts w:asciiTheme="majorBidi" w:hAnsiTheme="majorBidi" w:cstheme="majorBidi"/>
                <w:sz w:val="24"/>
                <w:szCs w:val="24"/>
                <w:lang w:val="en-GB"/>
              </w:rPr>
            </w:pPr>
            <w:r w:rsidRPr="009A23B8">
              <w:rPr>
                <w:rFonts w:asciiTheme="majorBidi" w:hAnsiTheme="majorBidi"/>
                <w:sz w:val="24"/>
                <w:szCs w:val="24"/>
                <w:rtl/>
                <w:lang w:val="en-GB"/>
              </w:rPr>
              <w:t>عناصر التراث الثقافي غير المادي</w:t>
            </w:r>
          </w:p>
          <w:p w14:paraId="3AE6B599" w14:textId="04ABEA21" w:rsidR="00384433" w:rsidRPr="009A23B8" w:rsidRDefault="00192E54" w:rsidP="00396E63">
            <w:pPr>
              <w:pStyle w:val="ListParagraph"/>
              <w:numPr>
                <w:ilvl w:val="0"/>
                <w:numId w:val="3"/>
              </w:numPr>
              <w:bidi/>
              <w:spacing w:before="120" w:after="120"/>
              <w:jc w:val="both"/>
              <w:rPr>
                <w:rFonts w:asciiTheme="majorBidi" w:hAnsiTheme="majorBidi" w:cstheme="majorBidi"/>
                <w:sz w:val="24"/>
                <w:szCs w:val="24"/>
                <w:lang w:val="en-GB"/>
              </w:rPr>
            </w:pPr>
            <w:r w:rsidRPr="009A23B8">
              <w:rPr>
                <w:rFonts w:asciiTheme="majorBidi" w:hAnsiTheme="majorBidi"/>
                <w:sz w:val="24"/>
                <w:szCs w:val="24"/>
                <w:rtl/>
                <w:lang w:val="en-GB"/>
              </w:rPr>
              <w:t>مدرج (</w:t>
            </w:r>
            <w:r w:rsidR="00317019" w:rsidRPr="009A23B8">
              <w:rPr>
                <w:rFonts w:asciiTheme="majorBidi" w:hAnsiTheme="majorBidi" w:hint="cs"/>
                <w:sz w:val="24"/>
                <w:szCs w:val="24"/>
                <w:rtl/>
                <w:lang w:val="en-GB"/>
              </w:rPr>
              <w:t>سواء كان مدرجًا أم لا</w:t>
            </w:r>
            <w:r w:rsidRPr="009A23B8">
              <w:rPr>
                <w:rFonts w:asciiTheme="majorBidi" w:hAnsiTheme="majorBidi"/>
                <w:sz w:val="24"/>
                <w:szCs w:val="24"/>
                <w:rtl/>
                <w:lang w:val="en-GB"/>
              </w:rPr>
              <w:t>)</w:t>
            </w:r>
          </w:p>
        </w:tc>
      </w:tr>
    </w:tbl>
    <w:p w14:paraId="62773F68" w14:textId="77777777" w:rsidR="0054175C" w:rsidRPr="007E2E7F" w:rsidRDefault="0054175C" w:rsidP="00396E63">
      <w:pPr>
        <w:bidi/>
        <w:jc w:val="center"/>
        <w:rPr>
          <w:rFonts w:asciiTheme="majorBidi" w:hAnsiTheme="majorBidi" w:cstheme="majorBidi"/>
          <w:b/>
          <w:sz w:val="24"/>
        </w:rPr>
        <w:sectPr w:rsidR="0054175C" w:rsidRPr="007E2E7F" w:rsidSect="000F25BA">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397" w:footer="284" w:gutter="0"/>
          <w:cols w:space="708"/>
          <w:docGrid w:linePitch="360"/>
        </w:sectPr>
      </w:pPr>
    </w:p>
    <w:p w14:paraId="06A312F2" w14:textId="4552D947" w:rsidR="001B08C2" w:rsidRPr="00145673" w:rsidRDefault="001B08C2" w:rsidP="00396E63">
      <w:pPr>
        <w:keepNext/>
        <w:bidi/>
        <w:jc w:val="center"/>
        <w:rPr>
          <w:rFonts w:asciiTheme="majorBidi" w:hAnsiTheme="majorBidi" w:cstheme="majorBidi"/>
          <w:b/>
          <w:bCs/>
          <w:sz w:val="28"/>
          <w:szCs w:val="28"/>
        </w:rPr>
      </w:pPr>
      <w:r w:rsidRPr="00145673">
        <w:rPr>
          <w:rFonts w:asciiTheme="majorBidi" w:hAnsiTheme="majorBidi" w:hint="cs"/>
          <w:b/>
          <w:bCs/>
          <w:sz w:val="28"/>
          <w:szCs w:val="28"/>
          <w:rtl/>
        </w:rPr>
        <w:t xml:space="preserve">التوجيهات المحددة بشأن الرصد </w:t>
      </w:r>
      <w:proofErr w:type="gramStart"/>
      <w:r w:rsidRPr="00145673">
        <w:rPr>
          <w:rFonts w:asciiTheme="majorBidi" w:hAnsiTheme="majorBidi" w:hint="cs"/>
          <w:b/>
          <w:bCs/>
          <w:sz w:val="28"/>
          <w:szCs w:val="28"/>
          <w:rtl/>
        </w:rPr>
        <w:t>و</w:t>
      </w:r>
      <w:r w:rsidR="00145673" w:rsidRPr="00145673">
        <w:rPr>
          <w:rFonts w:asciiTheme="majorBidi" w:hAnsiTheme="majorBidi" w:hint="cs"/>
          <w:b/>
          <w:bCs/>
          <w:sz w:val="28"/>
          <w:szCs w:val="28"/>
          <w:rtl/>
        </w:rPr>
        <w:t>ال</w:t>
      </w:r>
      <w:r w:rsidR="001679CE">
        <w:rPr>
          <w:rFonts w:asciiTheme="majorBidi" w:hAnsiTheme="majorBidi" w:hint="cs"/>
          <w:b/>
          <w:bCs/>
          <w:sz w:val="28"/>
          <w:szCs w:val="28"/>
          <w:rtl/>
        </w:rPr>
        <w:t xml:space="preserve">تقرير </w:t>
      </w:r>
      <w:r w:rsidRPr="00145673">
        <w:rPr>
          <w:rFonts w:asciiTheme="majorBidi" w:hAnsiTheme="majorBidi" w:hint="cs"/>
          <w:b/>
          <w:bCs/>
          <w:sz w:val="28"/>
          <w:szCs w:val="28"/>
          <w:rtl/>
        </w:rPr>
        <w:t xml:space="preserve"> الدوري</w:t>
      </w:r>
      <w:proofErr w:type="gramEnd"/>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394D20" w14:paraId="426D1745" w14:textId="77777777" w:rsidTr="007E2E7F">
        <w:tc>
          <w:tcPr>
            <w:tcW w:w="730" w:type="pct"/>
            <w:shd w:val="clear" w:color="auto" w:fill="auto"/>
          </w:tcPr>
          <w:p w14:paraId="0AFEC26F" w14:textId="3D79B76F" w:rsidR="002C28BA" w:rsidRPr="00394D20" w:rsidRDefault="001B08C2" w:rsidP="00396E63">
            <w:pPr>
              <w:bidi/>
              <w:spacing w:before="120"/>
              <w:rPr>
                <w:rFonts w:asciiTheme="majorBidi" w:hAnsiTheme="majorBidi" w:cstheme="majorBidi"/>
                <w:b/>
                <w:sz w:val="24"/>
              </w:rPr>
            </w:pPr>
            <w:bookmarkStart w:id="0" w:name="_Hlk80116152"/>
            <w:r w:rsidRPr="00394D20">
              <w:rPr>
                <w:rFonts w:asciiTheme="majorBidi" w:hAnsiTheme="majorBidi"/>
                <w:b/>
                <w:bCs/>
                <w:sz w:val="24"/>
                <w:rtl/>
              </w:rPr>
              <w:t>فوائد الرصد</w:t>
            </w:r>
          </w:p>
        </w:tc>
        <w:tc>
          <w:tcPr>
            <w:tcW w:w="4270" w:type="pct"/>
            <w:shd w:val="clear" w:color="auto" w:fill="auto"/>
          </w:tcPr>
          <w:p w14:paraId="6A75C0AA" w14:textId="5FF07340" w:rsidR="002C28BA" w:rsidRPr="00394D20" w:rsidRDefault="00661A0C" w:rsidP="00396E63">
            <w:pPr>
              <w:keepLines/>
              <w:bidi/>
              <w:spacing w:before="120"/>
              <w:jc w:val="both"/>
              <w:rPr>
                <w:rFonts w:asciiTheme="majorBidi" w:hAnsiTheme="majorBidi" w:cstheme="majorBidi"/>
                <w:b/>
                <w:sz w:val="24"/>
              </w:rPr>
            </w:pPr>
            <w:r w:rsidRPr="00394D20">
              <w:rPr>
                <w:rFonts w:asciiTheme="majorBidi" w:hAnsiTheme="majorBidi"/>
                <w:b/>
                <w:sz w:val="24"/>
                <w:rtl/>
              </w:rPr>
              <w:t xml:space="preserve">يمكن أن يساعد الرصد الدولة على تحديد </w:t>
            </w:r>
            <w:r w:rsidR="001E65B5">
              <w:rPr>
                <w:rFonts w:asciiTheme="majorBidi" w:hAnsiTheme="majorBidi" w:hint="cs"/>
                <w:b/>
                <w:sz w:val="24"/>
                <w:rtl/>
              </w:rPr>
              <w:t xml:space="preserve">أن </w:t>
            </w:r>
            <w:r w:rsidRPr="00394D20">
              <w:rPr>
                <w:rFonts w:asciiTheme="majorBidi" w:hAnsiTheme="majorBidi"/>
                <w:b/>
                <w:sz w:val="24"/>
                <w:rtl/>
              </w:rPr>
              <w:t>مدى شمولية خطط وبرامج الصون الخاصة بها كامل قدر الإمكان، وتحديد ما إذا كانت هناك حواجز أو عقبات غير متعمدة تعوق أوسع مشاركة ممكنة للجماعات أو المجموعات أو الأفراد. علاوة على ذلك، يمكن أن يساعد</w:t>
            </w:r>
            <w:r w:rsidR="001E65B5">
              <w:rPr>
                <w:rFonts w:asciiTheme="majorBidi" w:hAnsiTheme="majorBidi" w:hint="cs"/>
                <w:b/>
                <w:sz w:val="24"/>
                <w:rtl/>
              </w:rPr>
              <w:t xml:space="preserve"> </w:t>
            </w:r>
            <w:r w:rsidRPr="00394D20">
              <w:rPr>
                <w:rFonts w:asciiTheme="majorBidi" w:hAnsiTheme="majorBidi"/>
                <w:b/>
                <w:sz w:val="24"/>
                <w:rtl/>
              </w:rPr>
              <w:t>الدولة على التأكد من أن أنشطة الصون التي تقوم بها تساهم بالفعل في تحقيق احترام الذات والاحترام المتبادل، بما يتماشى مع الاتفاقية. كما يمكن أن يساعد الدولة في تحديد الحالات حيث قد يكون لخطط وبرامج الصون تأثير</w:t>
            </w:r>
            <w:r w:rsidR="005106E0" w:rsidRPr="00394D20">
              <w:rPr>
                <w:rFonts w:asciiTheme="majorBidi" w:hAnsiTheme="majorBidi" w:hint="cs"/>
                <w:b/>
                <w:sz w:val="24"/>
                <w:rtl/>
              </w:rPr>
              <w:t>ًا</w:t>
            </w:r>
            <w:r w:rsidRPr="00394D20">
              <w:rPr>
                <w:rFonts w:asciiTheme="majorBidi" w:hAnsiTheme="majorBidi"/>
                <w:b/>
                <w:sz w:val="24"/>
                <w:rtl/>
              </w:rPr>
              <w:t xml:space="preserve"> غير متعمد وعكسي. وعلى الصعيد العالمي، يمكن أن يساعد رصد هذا المؤشر الدول على تحديد ما إذا كانت هناك ثغرات منهجية أو غير متعمدة في التوعية والمشاركة بالاتفاقية، وتوفير الثقة من أنها تعزز احترام الذات والاحترام المتبادل بدل</w:t>
            </w:r>
            <w:r w:rsidR="00037D4C">
              <w:rPr>
                <w:rFonts w:asciiTheme="majorBidi" w:hAnsiTheme="majorBidi" w:hint="cs"/>
                <w:b/>
                <w:sz w:val="24"/>
                <w:rtl/>
              </w:rPr>
              <w:t>ً</w:t>
            </w:r>
            <w:r w:rsidRPr="00394D20">
              <w:rPr>
                <w:rFonts w:asciiTheme="majorBidi" w:hAnsiTheme="majorBidi"/>
                <w:b/>
                <w:sz w:val="24"/>
                <w:rtl/>
              </w:rPr>
              <w:t>ا من التقليل منهما بأي شكل من الأشكال.</w:t>
            </w:r>
          </w:p>
        </w:tc>
      </w:tr>
      <w:tr w:rsidR="0054175C" w:rsidRPr="00394D20" w14:paraId="59D917D8" w14:textId="77777777" w:rsidTr="007E2E7F">
        <w:tc>
          <w:tcPr>
            <w:tcW w:w="730" w:type="pct"/>
            <w:shd w:val="clear" w:color="auto" w:fill="auto"/>
          </w:tcPr>
          <w:p w14:paraId="6E227FEA" w14:textId="69B369B1" w:rsidR="0054175C" w:rsidRPr="00394D20" w:rsidRDefault="001B08C2" w:rsidP="00396E63">
            <w:pPr>
              <w:bidi/>
              <w:spacing w:before="120"/>
              <w:rPr>
                <w:rFonts w:asciiTheme="majorBidi" w:hAnsiTheme="majorBidi" w:cstheme="majorBidi"/>
                <w:b/>
                <w:sz w:val="24"/>
              </w:rPr>
            </w:pPr>
            <w:r w:rsidRPr="00394D20">
              <w:rPr>
                <w:rFonts w:asciiTheme="majorBidi" w:hAnsiTheme="majorBidi"/>
                <w:b/>
                <w:bCs/>
                <w:sz w:val="24"/>
                <w:rtl/>
              </w:rPr>
              <w:t>مصادر البيانات وجمعها</w:t>
            </w:r>
          </w:p>
        </w:tc>
        <w:tc>
          <w:tcPr>
            <w:tcW w:w="4270" w:type="pct"/>
            <w:shd w:val="clear" w:color="auto" w:fill="auto"/>
          </w:tcPr>
          <w:p w14:paraId="63824860" w14:textId="16665449" w:rsidR="00B0423E" w:rsidRPr="00394D20" w:rsidRDefault="00B0423E" w:rsidP="00396E63">
            <w:pPr>
              <w:keepNext/>
              <w:keepLines/>
              <w:bidi/>
              <w:spacing w:before="120" w:after="60"/>
              <w:jc w:val="both"/>
              <w:rPr>
                <w:rFonts w:asciiTheme="majorBidi" w:hAnsiTheme="majorBidi"/>
                <w:sz w:val="24"/>
                <w:rtl/>
              </w:rPr>
            </w:pPr>
            <w:r w:rsidRPr="00394D20">
              <w:rPr>
                <w:rFonts w:asciiTheme="majorBidi" w:hAnsiTheme="majorBidi"/>
                <w:sz w:val="24"/>
                <w:rtl/>
              </w:rPr>
              <w:t>كما هو حال المؤشر 15، قد يحتاج المسؤولون عن الرصد و</w:t>
            </w:r>
            <w:r w:rsidR="00037D4C">
              <w:rPr>
                <w:rFonts w:asciiTheme="majorBidi" w:hAnsiTheme="majorBidi" w:hint="cs"/>
                <w:sz w:val="24"/>
                <w:rtl/>
              </w:rPr>
              <w:t>ا</w:t>
            </w:r>
            <w:r w:rsidR="001679CE">
              <w:rPr>
                <w:rFonts w:asciiTheme="majorBidi" w:hAnsiTheme="majorBidi" w:hint="cs"/>
                <w:sz w:val="24"/>
                <w:rtl/>
              </w:rPr>
              <w:t xml:space="preserve">عداد </w:t>
            </w:r>
            <w:proofErr w:type="gramStart"/>
            <w:r w:rsidR="001679CE">
              <w:rPr>
                <w:rFonts w:asciiTheme="majorBidi" w:hAnsiTheme="majorBidi" w:hint="cs"/>
                <w:sz w:val="24"/>
                <w:rtl/>
              </w:rPr>
              <w:t xml:space="preserve">التقرير </w:t>
            </w:r>
            <w:r w:rsidR="00037D4C">
              <w:rPr>
                <w:rFonts w:asciiTheme="majorBidi" w:hAnsiTheme="majorBidi" w:hint="cs"/>
                <w:sz w:val="24"/>
                <w:rtl/>
              </w:rPr>
              <w:t xml:space="preserve"> </w:t>
            </w:r>
            <w:r w:rsidRPr="00394D20">
              <w:rPr>
                <w:rFonts w:asciiTheme="majorBidi" w:hAnsiTheme="majorBidi"/>
                <w:sz w:val="24"/>
                <w:rtl/>
              </w:rPr>
              <w:t>إلى</w:t>
            </w:r>
            <w:proofErr w:type="gramEnd"/>
            <w:r w:rsidRPr="00394D20">
              <w:rPr>
                <w:rFonts w:asciiTheme="majorBidi" w:hAnsiTheme="majorBidi"/>
                <w:sz w:val="24"/>
                <w:rtl/>
              </w:rPr>
              <w:t xml:space="preserve"> النظر في </w:t>
            </w:r>
            <w:r w:rsidR="00037D4C">
              <w:rPr>
                <w:rFonts w:asciiTheme="majorBidi" w:hAnsiTheme="majorBidi" w:hint="cs"/>
                <w:sz w:val="24"/>
                <w:rtl/>
              </w:rPr>
              <w:t>نطاق</w:t>
            </w:r>
            <w:r w:rsidRPr="00394D20">
              <w:rPr>
                <w:rFonts w:asciiTheme="majorBidi" w:hAnsiTheme="majorBidi"/>
                <w:sz w:val="24"/>
                <w:rtl/>
              </w:rPr>
              <w:t xml:space="preserve"> واسعة من مصادر البيانات لتحديد أمثلة ملموسة بشأن كيفية ضمان الشمولية في خطط صون التراث الثقافي غير المادي</w:t>
            </w:r>
            <w:r w:rsidR="00037D4C">
              <w:rPr>
                <w:rFonts w:asciiTheme="majorBidi" w:hAnsiTheme="majorBidi" w:hint="cs"/>
                <w:sz w:val="24"/>
                <w:rtl/>
              </w:rPr>
              <w:t xml:space="preserve"> </w:t>
            </w:r>
            <w:r w:rsidR="00037D4C" w:rsidRPr="00394D20">
              <w:rPr>
                <w:rFonts w:asciiTheme="majorBidi" w:hAnsiTheme="majorBidi"/>
                <w:sz w:val="24"/>
                <w:rtl/>
              </w:rPr>
              <w:t>وبرامج</w:t>
            </w:r>
            <w:r w:rsidR="00037D4C">
              <w:rPr>
                <w:rFonts w:asciiTheme="majorBidi" w:hAnsiTheme="majorBidi" w:hint="cs"/>
                <w:sz w:val="24"/>
                <w:rtl/>
              </w:rPr>
              <w:t>ه</w:t>
            </w:r>
            <w:r w:rsidRPr="00394D20">
              <w:rPr>
                <w:rFonts w:asciiTheme="majorBidi" w:hAnsiTheme="majorBidi"/>
                <w:sz w:val="24"/>
                <w:rtl/>
              </w:rPr>
              <w:t>. كما يمكن أن تكون المسوحات الدورية بين مختلف الجهات الفاعلة في مجال صون التراث الثقافي غير المادي، أو استعراضات التغطية الإعلامية والبح</w:t>
            </w:r>
            <w:r w:rsidR="00295F30">
              <w:rPr>
                <w:rFonts w:asciiTheme="majorBidi" w:hAnsiTheme="majorBidi" w:hint="cs"/>
                <w:sz w:val="24"/>
                <w:rtl/>
              </w:rPr>
              <w:t>و</w:t>
            </w:r>
            <w:r w:rsidRPr="00394D20">
              <w:rPr>
                <w:rFonts w:asciiTheme="majorBidi" w:hAnsiTheme="majorBidi"/>
                <w:sz w:val="24"/>
                <w:rtl/>
              </w:rPr>
              <w:t xml:space="preserve">ث الأكاديمي، وسيلة مهمة لجمع البيانات. ستعد </w:t>
            </w:r>
            <w:r w:rsidR="00295F30">
              <w:rPr>
                <w:rFonts w:asciiTheme="majorBidi" w:hAnsiTheme="majorBidi" w:hint="cs"/>
                <w:sz w:val="24"/>
                <w:rtl/>
              </w:rPr>
              <w:t xml:space="preserve">أيضًا </w:t>
            </w:r>
            <w:r w:rsidRPr="00394D20">
              <w:rPr>
                <w:rFonts w:asciiTheme="majorBidi" w:hAnsiTheme="majorBidi"/>
                <w:sz w:val="24"/>
                <w:rtl/>
              </w:rPr>
              <w:t>الهيئة الاستشارية أو آلية التنسيق، إن وجدت، مصدرًا مهمًا لمعلومات هذا المؤشر.</w:t>
            </w:r>
          </w:p>
          <w:p w14:paraId="4E547FAC" w14:textId="18C548B0" w:rsidR="0054175C" w:rsidRPr="00394D20" w:rsidRDefault="001B08C2" w:rsidP="00396E63">
            <w:pPr>
              <w:keepNext/>
              <w:keepLines/>
              <w:bidi/>
              <w:spacing w:before="120" w:after="60"/>
              <w:jc w:val="both"/>
              <w:rPr>
                <w:rFonts w:asciiTheme="majorBidi" w:hAnsiTheme="majorBidi" w:cstheme="majorBidi"/>
                <w:b/>
                <w:sz w:val="24"/>
              </w:rPr>
            </w:pPr>
            <w:r w:rsidRPr="00394D20">
              <w:rPr>
                <w:rFonts w:asciiTheme="majorBidi" w:hAnsiTheme="majorBidi" w:cstheme="majorBidi" w:hint="cs"/>
                <w:b/>
                <w:bCs/>
                <w:sz w:val="24"/>
                <w:rtl/>
              </w:rPr>
              <w:t>مصادر البيانات المحتملة</w:t>
            </w:r>
          </w:p>
          <w:p w14:paraId="78E9D510" w14:textId="18088A88" w:rsidR="00B0423E" w:rsidRPr="00394D20" w:rsidRDefault="00B0423E" w:rsidP="00396E63">
            <w:pPr>
              <w:pStyle w:val="ListParagraph"/>
              <w:numPr>
                <w:ilvl w:val="0"/>
                <w:numId w:val="4"/>
              </w:numPr>
              <w:bidi/>
              <w:spacing w:before="120"/>
              <w:jc w:val="both"/>
              <w:rPr>
                <w:rFonts w:asciiTheme="majorBidi" w:hAnsiTheme="majorBidi" w:cstheme="majorBidi"/>
                <w:sz w:val="24"/>
                <w:szCs w:val="24"/>
                <w:lang w:val="en-GB"/>
              </w:rPr>
            </w:pPr>
            <w:r w:rsidRPr="00394D20">
              <w:rPr>
                <w:rFonts w:asciiTheme="majorBidi" w:hAnsiTheme="majorBidi"/>
                <w:sz w:val="24"/>
                <w:szCs w:val="24"/>
                <w:rtl/>
                <w:lang w:val="en-GB"/>
              </w:rPr>
              <w:t>تقارير عن تنفيذ خطط صون عناصر التراث الثقاف</w:t>
            </w:r>
            <w:r w:rsidR="005106E0" w:rsidRPr="00394D20">
              <w:rPr>
                <w:rFonts w:asciiTheme="majorBidi" w:hAnsiTheme="majorBidi"/>
                <w:sz w:val="24"/>
                <w:szCs w:val="24"/>
                <w:rtl/>
                <w:lang w:val="en-GB"/>
              </w:rPr>
              <w:t>ي غير المادي المدرجة في أي من ق</w:t>
            </w:r>
            <w:r w:rsidRPr="00394D20">
              <w:rPr>
                <w:rFonts w:asciiTheme="majorBidi" w:hAnsiTheme="majorBidi"/>
                <w:sz w:val="24"/>
                <w:szCs w:val="24"/>
                <w:rtl/>
                <w:lang w:val="en-GB"/>
              </w:rPr>
              <w:t>ائم</w:t>
            </w:r>
            <w:r w:rsidR="005106E0" w:rsidRPr="00394D20">
              <w:rPr>
                <w:rFonts w:asciiTheme="majorBidi" w:hAnsiTheme="majorBidi" w:hint="cs"/>
                <w:sz w:val="24"/>
                <w:szCs w:val="24"/>
                <w:rtl/>
                <w:lang w:val="en-GB"/>
              </w:rPr>
              <w:t>تي</w:t>
            </w:r>
            <w:r w:rsidRPr="00394D20">
              <w:rPr>
                <w:rFonts w:asciiTheme="majorBidi" w:hAnsiTheme="majorBidi"/>
                <w:sz w:val="24"/>
                <w:szCs w:val="24"/>
                <w:rtl/>
                <w:lang w:val="en-GB"/>
              </w:rPr>
              <w:t xml:space="preserve"> الاتفاقية أو القوائم الوطنية</w:t>
            </w:r>
          </w:p>
          <w:p w14:paraId="3D9FB808" w14:textId="5EAF5298" w:rsidR="00B0423E" w:rsidRPr="00394D20" w:rsidRDefault="00685F2B" w:rsidP="00396E63">
            <w:pPr>
              <w:pStyle w:val="ListParagraph"/>
              <w:numPr>
                <w:ilvl w:val="0"/>
                <w:numId w:val="4"/>
              </w:numPr>
              <w:bidi/>
              <w:spacing w:before="120"/>
              <w:jc w:val="both"/>
              <w:rPr>
                <w:rFonts w:asciiTheme="majorBidi" w:hAnsiTheme="majorBidi" w:cstheme="majorBidi"/>
                <w:sz w:val="24"/>
                <w:szCs w:val="24"/>
                <w:lang w:val="en-GB"/>
              </w:rPr>
            </w:pPr>
            <w:r w:rsidRPr="00394D20">
              <w:rPr>
                <w:rFonts w:asciiTheme="majorBidi" w:hAnsiTheme="majorBidi"/>
                <w:sz w:val="24"/>
                <w:szCs w:val="24"/>
                <w:rtl/>
                <w:lang w:val="en-GB"/>
              </w:rPr>
              <w:t xml:space="preserve">تقارير منظمات غير حكومية، وجمعيات </w:t>
            </w:r>
            <w:r w:rsidR="00295F30">
              <w:rPr>
                <w:rFonts w:asciiTheme="majorBidi" w:hAnsiTheme="majorBidi" w:hint="cs"/>
                <w:sz w:val="24"/>
                <w:szCs w:val="24"/>
                <w:rtl/>
                <w:lang w:val="en-GB"/>
              </w:rPr>
              <w:t>الجماعات</w:t>
            </w:r>
            <w:r w:rsidRPr="00394D20">
              <w:rPr>
                <w:rFonts w:asciiTheme="majorBidi" w:hAnsiTheme="majorBidi"/>
                <w:sz w:val="24"/>
                <w:szCs w:val="24"/>
                <w:rtl/>
                <w:lang w:val="en-GB"/>
              </w:rPr>
              <w:t xml:space="preserve">، وجهات فاعلة </w:t>
            </w:r>
            <w:r w:rsidR="00B0423E" w:rsidRPr="00394D20">
              <w:rPr>
                <w:rFonts w:asciiTheme="majorBidi" w:hAnsiTheme="majorBidi"/>
                <w:sz w:val="24"/>
                <w:szCs w:val="24"/>
                <w:rtl/>
                <w:lang w:val="en-GB"/>
              </w:rPr>
              <w:t>أخرى حول خطط الصون</w:t>
            </w:r>
            <w:r w:rsidR="00295F30">
              <w:rPr>
                <w:rFonts w:asciiTheme="majorBidi" w:hAnsiTheme="majorBidi" w:hint="cs"/>
                <w:sz w:val="24"/>
                <w:szCs w:val="24"/>
                <w:rtl/>
                <w:lang w:val="en-GB"/>
              </w:rPr>
              <w:t xml:space="preserve"> </w:t>
            </w:r>
            <w:r w:rsidR="00295F30" w:rsidRPr="00394D20">
              <w:rPr>
                <w:rFonts w:asciiTheme="majorBidi" w:hAnsiTheme="majorBidi"/>
                <w:sz w:val="24"/>
                <w:szCs w:val="24"/>
                <w:rtl/>
                <w:lang w:val="en-GB"/>
              </w:rPr>
              <w:t>وبرامج</w:t>
            </w:r>
            <w:r w:rsidR="00295F30">
              <w:rPr>
                <w:rFonts w:asciiTheme="majorBidi" w:hAnsiTheme="majorBidi" w:hint="cs"/>
                <w:sz w:val="24"/>
                <w:szCs w:val="24"/>
                <w:rtl/>
                <w:lang w:val="en-GB"/>
              </w:rPr>
              <w:t>ه</w:t>
            </w:r>
            <w:r w:rsidR="00B0423E" w:rsidRPr="00394D20">
              <w:rPr>
                <w:rFonts w:asciiTheme="majorBidi" w:hAnsiTheme="majorBidi"/>
                <w:sz w:val="24"/>
                <w:szCs w:val="24"/>
                <w:rtl/>
                <w:lang w:val="en-GB"/>
              </w:rPr>
              <w:t xml:space="preserve"> الخاصة بهم</w:t>
            </w:r>
          </w:p>
          <w:p w14:paraId="3363D011" w14:textId="3529262E" w:rsidR="00B0423E" w:rsidRPr="00394D20" w:rsidRDefault="00B0423E" w:rsidP="00396E63">
            <w:pPr>
              <w:pStyle w:val="ListParagraph"/>
              <w:numPr>
                <w:ilvl w:val="0"/>
                <w:numId w:val="4"/>
              </w:numPr>
              <w:bidi/>
              <w:spacing w:before="120"/>
              <w:jc w:val="both"/>
              <w:rPr>
                <w:rFonts w:asciiTheme="majorBidi" w:hAnsiTheme="majorBidi" w:cstheme="majorBidi"/>
                <w:sz w:val="24"/>
                <w:szCs w:val="24"/>
                <w:lang w:val="en-GB"/>
              </w:rPr>
            </w:pPr>
            <w:r w:rsidRPr="00394D20">
              <w:rPr>
                <w:rFonts w:asciiTheme="majorBidi" w:hAnsiTheme="majorBidi"/>
                <w:sz w:val="24"/>
                <w:szCs w:val="24"/>
                <w:rtl/>
                <w:lang w:val="en-GB"/>
              </w:rPr>
              <w:t>رسائ</w:t>
            </w:r>
            <w:r w:rsidR="00685F2B" w:rsidRPr="00394D20">
              <w:rPr>
                <w:rFonts w:asciiTheme="majorBidi" w:hAnsiTheme="majorBidi"/>
                <w:sz w:val="24"/>
                <w:szCs w:val="24"/>
                <w:rtl/>
                <w:lang w:val="en-GB"/>
              </w:rPr>
              <w:t xml:space="preserve">ل إخبارية أو نشرات أو مواقع </w:t>
            </w:r>
            <w:r w:rsidRPr="00394D20">
              <w:rPr>
                <w:rFonts w:asciiTheme="majorBidi" w:hAnsiTheme="majorBidi"/>
                <w:sz w:val="24"/>
                <w:szCs w:val="24"/>
                <w:rtl/>
                <w:lang w:val="en-GB"/>
              </w:rPr>
              <w:t>إلكترونية للجمعيات المهنية أو شبكات الباحثين</w:t>
            </w:r>
          </w:p>
          <w:p w14:paraId="1AB2D66F" w14:textId="4788360E" w:rsidR="0054175C" w:rsidRPr="00394D20" w:rsidRDefault="00685F2B" w:rsidP="00396E63">
            <w:pPr>
              <w:pStyle w:val="ListParagraph"/>
              <w:numPr>
                <w:ilvl w:val="0"/>
                <w:numId w:val="4"/>
              </w:numPr>
              <w:bidi/>
              <w:spacing w:before="120"/>
              <w:jc w:val="both"/>
              <w:rPr>
                <w:rFonts w:asciiTheme="majorBidi" w:hAnsiTheme="majorBidi" w:cstheme="majorBidi"/>
                <w:sz w:val="24"/>
                <w:szCs w:val="24"/>
                <w:lang w:val="en-GB"/>
              </w:rPr>
            </w:pPr>
            <w:r w:rsidRPr="00394D20">
              <w:rPr>
                <w:rFonts w:asciiTheme="majorBidi" w:hAnsiTheme="majorBidi"/>
                <w:sz w:val="24"/>
                <w:szCs w:val="24"/>
                <w:rtl/>
                <w:lang w:val="en-GB"/>
              </w:rPr>
              <w:t xml:space="preserve">تغطية </w:t>
            </w:r>
            <w:r w:rsidR="00B0423E" w:rsidRPr="00394D20">
              <w:rPr>
                <w:rFonts w:asciiTheme="majorBidi" w:hAnsiTheme="majorBidi"/>
                <w:sz w:val="24"/>
                <w:szCs w:val="24"/>
                <w:rtl/>
                <w:lang w:val="en-GB"/>
              </w:rPr>
              <w:t>إعلامية لخطط الصون</w:t>
            </w:r>
            <w:r w:rsidR="00A757DF">
              <w:rPr>
                <w:rFonts w:asciiTheme="majorBidi" w:hAnsiTheme="majorBidi" w:hint="cs"/>
                <w:sz w:val="24"/>
                <w:szCs w:val="24"/>
                <w:rtl/>
                <w:lang w:val="en-GB"/>
              </w:rPr>
              <w:t xml:space="preserve"> </w:t>
            </w:r>
            <w:r w:rsidR="00A757DF" w:rsidRPr="00394D20">
              <w:rPr>
                <w:rFonts w:asciiTheme="majorBidi" w:hAnsiTheme="majorBidi"/>
                <w:sz w:val="24"/>
                <w:szCs w:val="24"/>
                <w:rtl/>
                <w:lang w:val="en-GB"/>
              </w:rPr>
              <w:t>وبرامج</w:t>
            </w:r>
            <w:r w:rsidR="00A757DF">
              <w:rPr>
                <w:rFonts w:asciiTheme="majorBidi" w:hAnsiTheme="majorBidi" w:hint="cs"/>
                <w:sz w:val="24"/>
                <w:szCs w:val="24"/>
                <w:rtl/>
                <w:lang w:val="en-GB"/>
              </w:rPr>
              <w:t>ه</w:t>
            </w:r>
          </w:p>
        </w:tc>
      </w:tr>
      <w:bookmarkEnd w:id="0"/>
    </w:tbl>
    <w:p w14:paraId="4F9541DB" w14:textId="77777777" w:rsidR="00320242" w:rsidRPr="007E2E7F" w:rsidRDefault="00320242" w:rsidP="00396E63">
      <w:pPr>
        <w:bidi/>
        <w:rPr>
          <w:rFonts w:asciiTheme="majorBidi" w:hAnsiTheme="majorBidi" w:cstheme="majorBidi"/>
        </w:rPr>
      </w:pPr>
    </w:p>
    <w:sectPr w:rsidR="00320242" w:rsidRPr="007E2E7F"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E6C6" w14:textId="77777777" w:rsidR="00CF7B86" w:rsidRDefault="00CF7B86" w:rsidP="002938F2">
      <w:r>
        <w:separator/>
      </w:r>
    </w:p>
    <w:p w14:paraId="3D6006A8" w14:textId="77777777" w:rsidR="00CF7B86" w:rsidRDefault="00CF7B86"/>
  </w:endnote>
  <w:endnote w:type="continuationSeparator" w:id="0">
    <w:p w14:paraId="2BB520AF" w14:textId="77777777" w:rsidR="00CF7B86" w:rsidRDefault="00CF7B86" w:rsidP="002938F2">
      <w:r>
        <w:continuationSeparator/>
      </w:r>
    </w:p>
    <w:p w14:paraId="5EB3B2F6" w14:textId="77777777" w:rsidR="00CF7B86" w:rsidRDefault="00CF7B86"/>
  </w:endnote>
  <w:endnote w:type="continuationNotice" w:id="1">
    <w:p w14:paraId="34D131C2" w14:textId="77777777" w:rsidR="00CF7B86" w:rsidRDefault="00CF7B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AC64" w14:textId="77777777" w:rsidR="00685F2B" w:rsidRDefault="00685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8A31" w14:textId="333B58A4" w:rsidR="00C04344" w:rsidRPr="000A0709" w:rsidRDefault="000F25BA" w:rsidP="00685F2B">
    <w:pPr>
      <w:pStyle w:val="Footer"/>
      <w:bidi/>
      <w:jc w:val="center"/>
      <w:rPr>
        <w:rFonts w:ascii="Arial" w:hAnsi="Arial"/>
      </w:rPr>
    </w:pPr>
    <w:r w:rsidRPr="000F25BA">
      <w:rPr>
        <w:rFonts w:ascii="Arial" w:hAnsi="Arial" w:cs="Arial"/>
      </w:rPr>
      <w:fldChar w:fldCharType="begin"/>
    </w:r>
    <w:r w:rsidRPr="000F25BA">
      <w:rPr>
        <w:rFonts w:ascii="Arial" w:hAnsi="Arial" w:cs="Arial"/>
      </w:rPr>
      <w:instrText xml:space="preserve"> PAGE   \* MERGEFORMAT </w:instrText>
    </w:r>
    <w:r w:rsidRPr="000F25BA">
      <w:rPr>
        <w:rFonts w:ascii="Arial" w:hAnsi="Arial" w:cs="Arial"/>
      </w:rPr>
      <w:fldChar w:fldCharType="separate"/>
    </w:r>
    <w:r w:rsidR="008C6907">
      <w:rPr>
        <w:rFonts w:ascii="Arial" w:hAnsi="Arial" w:cs="Arial"/>
        <w:noProof/>
        <w:rtl/>
      </w:rPr>
      <w:t>3</w:t>
    </w:r>
    <w:r w:rsidRPr="000F25BA">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EAA5" w14:textId="77777777" w:rsidR="00685F2B" w:rsidRDefault="00685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CB27" w14:textId="77777777" w:rsidR="00CF7B86" w:rsidRDefault="00CF7B86" w:rsidP="002938F2">
      <w:r>
        <w:separator/>
      </w:r>
    </w:p>
  </w:footnote>
  <w:footnote w:type="continuationSeparator" w:id="0">
    <w:p w14:paraId="4BA31BC4" w14:textId="77777777" w:rsidR="00CF7B86" w:rsidRDefault="00CF7B86" w:rsidP="002938F2">
      <w:r>
        <w:continuationSeparator/>
      </w:r>
    </w:p>
    <w:p w14:paraId="4B6D0E56" w14:textId="77777777" w:rsidR="00CF7B86" w:rsidRDefault="00CF7B86"/>
  </w:footnote>
  <w:footnote w:type="continuationNotice" w:id="1">
    <w:p w14:paraId="75678789" w14:textId="77777777" w:rsidR="00CF7B86" w:rsidRDefault="00CF7B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A22D" w14:textId="77777777" w:rsidR="00685F2B" w:rsidRDefault="00685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5718" w14:textId="77777777" w:rsidR="00D7501D" w:rsidRDefault="00D75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39D7" w14:textId="77777777" w:rsidR="00685F2B" w:rsidRDefault="00685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0142"/>
    <w:multiLevelType w:val="hybridMultilevel"/>
    <w:tmpl w:val="62D873B0"/>
    <w:lvl w:ilvl="0" w:tplc="5CC4477A">
      <w:start w:val="1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220377"/>
    <w:multiLevelType w:val="hybridMultilevel"/>
    <w:tmpl w:val="42A6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655861"/>
    <w:multiLevelType w:val="hybridMultilevel"/>
    <w:tmpl w:val="4740CCB6"/>
    <w:lvl w:ilvl="0" w:tplc="1EB0BCA6">
      <w:start w:val="1"/>
      <w:numFmt w:val="lowerRoman"/>
      <w:pStyle w:val="i"/>
      <w:lvlText w:val="%1."/>
      <w:lvlJc w:val="left"/>
      <w:pPr>
        <w:ind w:left="1147" w:hanging="360"/>
      </w:pPr>
      <w:rPr>
        <w:rFonts w:cs="Times New Roman" w:hint="default"/>
      </w:rPr>
    </w:lvl>
    <w:lvl w:ilvl="1" w:tplc="040C0019" w:tentative="1">
      <w:start w:val="1"/>
      <w:numFmt w:val="lowerLetter"/>
      <w:lvlText w:val="%2."/>
      <w:lvlJc w:val="left"/>
      <w:pPr>
        <w:ind w:left="1867" w:hanging="360"/>
      </w:pPr>
      <w:rPr>
        <w:rFonts w:cs="Times New Roman"/>
      </w:rPr>
    </w:lvl>
    <w:lvl w:ilvl="2" w:tplc="040C001B" w:tentative="1">
      <w:start w:val="1"/>
      <w:numFmt w:val="lowerRoman"/>
      <w:lvlText w:val="%3."/>
      <w:lvlJc w:val="right"/>
      <w:pPr>
        <w:ind w:left="2587" w:hanging="180"/>
      </w:pPr>
      <w:rPr>
        <w:rFonts w:cs="Times New Roman"/>
      </w:rPr>
    </w:lvl>
    <w:lvl w:ilvl="3" w:tplc="040C000F" w:tentative="1">
      <w:start w:val="1"/>
      <w:numFmt w:val="decimal"/>
      <w:lvlText w:val="%4."/>
      <w:lvlJc w:val="left"/>
      <w:pPr>
        <w:ind w:left="3307" w:hanging="360"/>
      </w:pPr>
      <w:rPr>
        <w:rFonts w:cs="Times New Roman"/>
      </w:rPr>
    </w:lvl>
    <w:lvl w:ilvl="4" w:tplc="040C0019" w:tentative="1">
      <w:start w:val="1"/>
      <w:numFmt w:val="lowerLetter"/>
      <w:lvlText w:val="%5."/>
      <w:lvlJc w:val="left"/>
      <w:pPr>
        <w:ind w:left="4027" w:hanging="360"/>
      </w:pPr>
      <w:rPr>
        <w:rFonts w:cs="Times New Roman"/>
      </w:rPr>
    </w:lvl>
    <w:lvl w:ilvl="5" w:tplc="040C001B" w:tentative="1">
      <w:start w:val="1"/>
      <w:numFmt w:val="lowerRoman"/>
      <w:lvlText w:val="%6."/>
      <w:lvlJc w:val="right"/>
      <w:pPr>
        <w:ind w:left="4747" w:hanging="180"/>
      </w:pPr>
      <w:rPr>
        <w:rFonts w:cs="Times New Roman"/>
      </w:rPr>
    </w:lvl>
    <w:lvl w:ilvl="6" w:tplc="040C000F" w:tentative="1">
      <w:start w:val="1"/>
      <w:numFmt w:val="decimal"/>
      <w:lvlText w:val="%7."/>
      <w:lvlJc w:val="left"/>
      <w:pPr>
        <w:ind w:left="5467" w:hanging="360"/>
      </w:pPr>
      <w:rPr>
        <w:rFonts w:cs="Times New Roman"/>
      </w:rPr>
    </w:lvl>
    <w:lvl w:ilvl="7" w:tplc="040C0019" w:tentative="1">
      <w:start w:val="1"/>
      <w:numFmt w:val="lowerLetter"/>
      <w:lvlText w:val="%8."/>
      <w:lvlJc w:val="left"/>
      <w:pPr>
        <w:ind w:left="6187" w:hanging="360"/>
      </w:pPr>
      <w:rPr>
        <w:rFonts w:cs="Times New Roman"/>
      </w:rPr>
    </w:lvl>
    <w:lvl w:ilvl="8" w:tplc="040C001B" w:tentative="1">
      <w:start w:val="1"/>
      <w:numFmt w:val="lowerRoman"/>
      <w:lvlText w:val="%9."/>
      <w:lvlJc w:val="right"/>
      <w:pPr>
        <w:ind w:left="6907" w:hanging="18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ar-SA" w:vendorID="64" w:dllVersion="0" w:nlCheck="1" w:checkStyle="0"/>
  <w:activeWritingStyle w:appName="MSWord" w:lang="ar-EG"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97"/>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37D4C"/>
    <w:rsid w:val="00043214"/>
    <w:rsid w:val="00047E58"/>
    <w:rsid w:val="00054FDC"/>
    <w:rsid w:val="000632E2"/>
    <w:rsid w:val="0007203D"/>
    <w:rsid w:val="000729D2"/>
    <w:rsid w:val="0007327D"/>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B0833"/>
    <w:rsid w:val="000B7C90"/>
    <w:rsid w:val="000C03BF"/>
    <w:rsid w:val="000C15BD"/>
    <w:rsid w:val="000C65E4"/>
    <w:rsid w:val="000C7EE0"/>
    <w:rsid w:val="000D1EBC"/>
    <w:rsid w:val="000D260B"/>
    <w:rsid w:val="000D345F"/>
    <w:rsid w:val="000D7375"/>
    <w:rsid w:val="000E2EE7"/>
    <w:rsid w:val="000F25BA"/>
    <w:rsid w:val="000F2B3F"/>
    <w:rsid w:val="000F49F4"/>
    <w:rsid w:val="000F7E6F"/>
    <w:rsid w:val="00106B72"/>
    <w:rsid w:val="00106D19"/>
    <w:rsid w:val="0011334A"/>
    <w:rsid w:val="00115830"/>
    <w:rsid w:val="00116489"/>
    <w:rsid w:val="0011750D"/>
    <w:rsid w:val="001214B3"/>
    <w:rsid w:val="00121B41"/>
    <w:rsid w:val="001301DF"/>
    <w:rsid w:val="00136209"/>
    <w:rsid w:val="001412DE"/>
    <w:rsid w:val="00142D78"/>
    <w:rsid w:val="00144A4D"/>
    <w:rsid w:val="00145673"/>
    <w:rsid w:val="00151351"/>
    <w:rsid w:val="00156788"/>
    <w:rsid w:val="001609A1"/>
    <w:rsid w:val="00162554"/>
    <w:rsid w:val="00163F68"/>
    <w:rsid w:val="001679CE"/>
    <w:rsid w:val="00173B50"/>
    <w:rsid w:val="00173E0E"/>
    <w:rsid w:val="00174B39"/>
    <w:rsid w:val="00175731"/>
    <w:rsid w:val="00183F6C"/>
    <w:rsid w:val="00192E54"/>
    <w:rsid w:val="00194802"/>
    <w:rsid w:val="00194AEB"/>
    <w:rsid w:val="00196AA4"/>
    <w:rsid w:val="001A431C"/>
    <w:rsid w:val="001A5519"/>
    <w:rsid w:val="001A7C3A"/>
    <w:rsid w:val="001B08C2"/>
    <w:rsid w:val="001B5C26"/>
    <w:rsid w:val="001C08BC"/>
    <w:rsid w:val="001C56BA"/>
    <w:rsid w:val="001C6D7D"/>
    <w:rsid w:val="001D00B5"/>
    <w:rsid w:val="001D3B29"/>
    <w:rsid w:val="001D59C8"/>
    <w:rsid w:val="001E4EEB"/>
    <w:rsid w:val="001E6026"/>
    <w:rsid w:val="001E65B5"/>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74CAE"/>
    <w:rsid w:val="00281AA4"/>
    <w:rsid w:val="00282A9D"/>
    <w:rsid w:val="002843F8"/>
    <w:rsid w:val="00286C0C"/>
    <w:rsid w:val="00287687"/>
    <w:rsid w:val="00290D5F"/>
    <w:rsid w:val="002938F2"/>
    <w:rsid w:val="00293CCC"/>
    <w:rsid w:val="00295F30"/>
    <w:rsid w:val="002A195D"/>
    <w:rsid w:val="002A5BE3"/>
    <w:rsid w:val="002B43D6"/>
    <w:rsid w:val="002B6B98"/>
    <w:rsid w:val="002C28BA"/>
    <w:rsid w:val="002C3B8F"/>
    <w:rsid w:val="002C444C"/>
    <w:rsid w:val="002C5021"/>
    <w:rsid w:val="002C5280"/>
    <w:rsid w:val="002C5C29"/>
    <w:rsid w:val="002D396D"/>
    <w:rsid w:val="002D71D4"/>
    <w:rsid w:val="002E113D"/>
    <w:rsid w:val="002F17E1"/>
    <w:rsid w:val="002F3BBE"/>
    <w:rsid w:val="003043A9"/>
    <w:rsid w:val="0030454E"/>
    <w:rsid w:val="00317019"/>
    <w:rsid w:val="00320242"/>
    <w:rsid w:val="00322A3A"/>
    <w:rsid w:val="00323A92"/>
    <w:rsid w:val="00324A32"/>
    <w:rsid w:val="00325D6E"/>
    <w:rsid w:val="00334977"/>
    <w:rsid w:val="00337194"/>
    <w:rsid w:val="00342EE8"/>
    <w:rsid w:val="00344D78"/>
    <w:rsid w:val="00345548"/>
    <w:rsid w:val="00346517"/>
    <w:rsid w:val="00351CCB"/>
    <w:rsid w:val="0035648A"/>
    <w:rsid w:val="00362B41"/>
    <w:rsid w:val="00363995"/>
    <w:rsid w:val="00364E5E"/>
    <w:rsid w:val="00370E9B"/>
    <w:rsid w:val="00377E4B"/>
    <w:rsid w:val="00383BA9"/>
    <w:rsid w:val="00384433"/>
    <w:rsid w:val="003845B0"/>
    <w:rsid w:val="00385B34"/>
    <w:rsid w:val="00386C08"/>
    <w:rsid w:val="00387D88"/>
    <w:rsid w:val="0039446E"/>
    <w:rsid w:val="00394D20"/>
    <w:rsid w:val="00396E63"/>
    <w:rsid w:val="003A02EF"/>
    <w:rsid w:val="003A260A"/>
    <w:rsid w:val="003A2BC4"/>
    <w:rsid w:val="003A4396"/>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0F9B"/>
    <w:rsid w:val="0041110F"/>
    <w:rsid w:val="0041300C"/>
    <w:rsid w:val="00414B68"/>
    <w:rsid w:val="00430ED2"/>
    <w:rsid w:val="00434773"/>
    <w:rsid w:val="004367F5"/>
    <w:rsid w:val="004458C9"/>
    <w:rsid w:val="00447C66"/>
    <w:rsid w:val="00462F38"/>
    <w:rsid w:val="00471B34"/>
    <w:rsid w:val="00474AFE"/>
    <w:rsid w:val="00477E66"/>
    <w:rsid w:val="00480809"/>
    <w:rsid w:val="004831C7"/>
    <w:rsid w:val="00486A5E"/>
    <w:rsid w:val="00493F92"/>
    <w:rsid w:val="00497D28"/>
    <w:rsid w:val="004A0C2B"/>
    <w:rsid w:val="004A610E"/>
    <w:rsid w:val="004A6E57"/>
    <w:rsid w:val="004B4D4F"/>
    <w:rsid w:val="004C20E2"/>
    <w:rsid w:val="004E056C"/>
    <w:rsid w:val="004E2817"/>
    <w:rsid w:val="004E2AE8"/>
    <w:rsid w:val="004E418A"/>
    <w:rsid w:val="004F2CF8"/>
    <w:rsid w:val="005016FB"/>
    <w:rsid w:val="0050208F"/>
    <w:rsid w:val="00504256"/>
    <w:rsid w:val="005106E0"/>
    <w:rsid w:val="00511D17"/>
    <w:rsid w:val="0051213D"/>
    <w:rsid w:val="00513FF2"/>
    <w:rsid w:val="005157E2"/>
    <w:rsid w:val="0051699F"/>
    <w:rsid w:val="00516DE3"/>
    <w:rsid w:val="005300BF"/>
    <w:rsid w:val="00532631"/>
    <w:rsid w:val="0054008B"/>
    <w:rsid w:val="005414A1"/>
    <w:rsid w:val="0054175C"/>
    <w:rsid w:val="005473CF"/>
    <w:rsid w:val="0055673D"/>
    <w:rsid w:val="00570355"/>
    <w:rsid w:val="00574530"/>
    <w:rsid w:val="005777D8"/>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03F8"/>
    <w:rsid w:val="005D2DDA"/>
    <w:rsid w:val="005E3A3E"/>
    <w:rsid w:val="005E3CEC"/>
    <w:rsid w:val="005E6A2B"/>
    <w:rsid w:val="005E7C7C"/>
    <w:rsid w:val="005F5920"/>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61A0C"/>
    <w:rsid w:val="0067005F"/>
    <w:rsid w:val="0067015A"/>
    <w:rsid w:val="006736EC"/>
    <w:rsid w:val="00673D90"/>
    <w:rsid w:val="00676C1E"/>
    <w:rsid w:val="00685F2B"/>
    <w:rsid w:val="00686D60"/>
    <w:rsid w:val="006900BB"/>
    <w:rsid w:val="00691869"/>
    <w:rsid w:val="006A0D86"/>
    <w:rsid w:val="006A49AE"/>
    <w:rsid w:val="006A56C0"/>
    <w:rsid w:val="006C0911"/>
    <w:rsid w:val="006C737A"/>
    <w:rsid w:val="006D46FB"/>
    <w:rsid w:val="006E29C0"/>
    <w:rsid w:val="006E54AE"/>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5C49"/>
    <w:rsid w:val="007368A2"/>
    <w:rsid w:val="007418AE"/>
    <w:rsid w:val="00742DD1"/>
    <w:rsid w:val="0074360F"/>
    <w:rsid w:val="00746204"/>
    <w:rsid w:val="00747715"/>
    <w:rsid w:val="00747F86"/>
    <w:rsid w:val="00750138"/>
    <w:rsid w:val="00753DA3"/>
    <w:rsid w:val="007610D3"/>
    <w:rsid w:val="007629DB"/>
    <w:rsid w:val="007631B8"/>
    <w:rsid w:val="00764F50"/>
    <w:rsid w:val="00767871"/>
    <w:rsid w:val="00770A92"/>
    <w:rsid w:val="00774D9C"/>
    <w:rsid w:val="007766D0"/>
    <w:rsid w:val="00776A63"/>
    <w:rsid w:val="00785F88"/>
    <w:rsid w:val="00790C65"/>
    <w:rsid w:val="007930B7"/>
    <w:rsid w:val="0079316B"/>
    <w:rsid w:val="007A0565"/>
    <w:rsid w:val="007A0EAA"/>
    <w:rsid w:val="007A1247"/>
    <w:rsid w:val="007A1E0A"/>
    <w:rsid w:val="007A6F91"/>
    <w:rsid w:val="007A7D45"/>
    <w:rsid w:val="007B4ADA"/>
    <w:rsid w:val="007C0997"/>
    <w:rsid w:val="007C105C"/>
    <w:rsid w:val="007C1B00"/>
    <w:rsid w:val="007D0F1D"/>
    <w:rsid w:val="007D2881"/>
    <w:rsid w:val="007D31CE"/>
    <w:rsid w:val="007D3AD8"/>
    <w:rsid w:val="007D5BB7"/>
    <w:rsid w:val="007D6A69"/>
    <w:rsid w:val="007E0621"/>
    <w:rsid w:val="007E1DCE"/>
    <w:rsid w:val="007E2E7F"/>
    <w:rsid w:val="007E3D97"/>
    <w:rsid w:val="007E4E37"/>
    <w:rsid w:val="007F029C"/>
    <w:rsid w:val="007F4B07"/>
    <w:rsid w:val="008000D9"/>
    <w:rsid w:val="008029A6"/>
    <w:rsid w:val="008147BA"/>
    <w:rsid w:val="008269B0"/>
    <w:rsid w:val="0083067E"/>
    <w:rsid w:val="00832357"/>
    <w:rsid w:val="00832997"/>
    <w:rsid w:val="0083488D"/>
    <w:rsid w:val="00845B6C"/>
    <w:rsid w:val="008466C3"/>
    <w:rsid w:val="00846809"/>
    <w:rsid w:val="00851458"/>
    <w:rsid w:val="00854AB0"/>
    <w:rsid w:val="00861A47"/>
    <w:rsid w:val="00865524"/>
    <w:rsid w:val="008707FF"/>
    <w:rsid w:val="00871F5C"/>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6907"/>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144F"/>
    <w:rsid w:val="009342E8"/>
    <w:rsid w:val="009357B4"/>
    <w:rsid w:val="00946D71"/>
    <w:rsid w:val="009577E1"/>
    <w:rsid w:val="00971CA1"/>
    <w:rsid w:val="00972A16"/>
    <w:rsid w:val="0097349C"/>
    <w:rsid w:val="009814C2"/>
    <w:rsid w:val="00982FFD"/>
    <w:rsid w:val="00985265"/>
    <w:rsid w:val="00985856"/>
    <w:rsid w:val="009A23B8"/>
    <w:rsid w:val="009A4969"/>
    <w:rsid w:val="009B1466"/>
    <w:rsid w:val="009B6973"/>
    <w:rsid w:val="009C0510"/>
    <w:rsid w:val="009C358E"/>
    <w:rsid w:val="009C3663"/>
    <w:rsid w:val="009D098F"/>
    <w:rsid w:val="009D4547"/>
    <w:rsid w:val="009D5A49"/>
    <w:rsid w:val="009D5E38"/>
    <w:rsid w:val="009D602F"/>
    <w:rsid w:val="009D68D0"/>
    <w:rsid w:val="009E17AF"/>
    <w:rsid w:val="009E6ED9"/>
    <w:rsid w:val="009F0D42"/>
    <w:rsid w:val="009F1B82"/>
    <w:rsid w:val="009F34A4"/>
    <w:rsid w:val="009F3988"/>
    <w:rsid w:val="00A003D0"/>
    <w:rsid w:val="00A048FE"/>
    <w:rsid w:val="00A073FD"/>
    <w:rsid w:val="00A079B3"/>
    <w:rsid w:val="00A13463"/>
    <w:rsid w:val="00A150C7"/>
    <w:rsid w:val="00A2307A"/>
    <w:rsid w:val="00A462C6"/>
    <w:rsid w:val="00A519A2"/>
    <w:rsid w:val="00A51BDC"/>
    <w:rsid w:val="00A535B7"/>
    <w:rsid w:val="00A5709F"/>
    <w:rsid w:val="00A616C4"/>
    <w:rsid w:val="00A61F20"/>
    <w:rsid w:val="00A62E84"/>
    <w:rsid w:val="00A64796"/>
    <w:rsid w:val="00A66CD4"/>
    <w:rsid w:val="00A70883"/>
    <w:rsid w:val="00A757DF"/>
    <w:rsid w:val="00A77AEB"/>
    <w:rsid w:val="00A81F0A"/>
    <w:rsid w:val="00A85C7A"/>
    <w:rsid w:val="00A86042"/>
    <w:rsid w:val="00AA1F5C"/>
    <w:rsid w:val="00AA36F9"/>
    <w:rsid w:val="00AA444A"/>
    <w:rsid w:val="00AB1528"/>
    <w:rsid w:val="00AB265C"/>
    <w:rsid w:val="00AD6BD4"/>
    <w:rsid w:val="00AE1B18"/>
    <w:rsid w:val="00AE1D83"/>
    <w:rsid w:val="00AE2DFB"/>
    <w:rsid w:val="00AE3061"/>
    <w:rsid w:val="00AF15BA"/>
    <w:rsid w:val="00AF1C32"/>
    <w:rsid w:val="00AF65C6"/>
    <w:rsid w:val="00B0423E"/>
    <w:rsid w:val="00B07105"/>
    <w:rsid w:val="00B11AE3"/>
    <w:rsid w:val="00B121A6"/>
    <w:rsid w:val="00B300B8"/>
    <w:rsid w:val="00B32A28"/>
    <w:rsid w:val="00B33904"/>
    <w:rsid w:val="00B35C38"/>
    <w:rsid w:val="00B3751E"/>
    <w:rsid w:val="00B427FE"/>
    <w:rsid w:val="00B51737"/>
    <w:rsid w:val="00B525D9"/>
    <w:rsid w:val="00B6102A"/>
    <w:rsid w:val="00B6167A"/>
    <w:rsid w:val="00B62ED0"/>
    <w:rsid w:val="00B64196"/>
    <w:rsid w:val="00B66A7A"/>
    <w:rsid w:val="00B70266"/>
    <w:rsid w:val="00B74304"/>
    <w:rsid w:val="00B82F05"/>
    <w:rsid w:val="00B87142"/>
    <w:rsid w:val="00B8750E"/>
    <w:rsid w:val="00B9140C"/>
    <w:rsid w:val="00B92374"/>
    <w:rsid w:val="00B924C8"/>
    <w:rsid w:val="00B95E33"/>
    <w:rsid w:val="00B973B5"/>
    <w:rsid w:val="00B97FD1"/>
    <w:rsid w:val="00BA6367"/>
    <w:rsid w:val="00BB1062"/>
    <w:rsid w:val="00BB28EF"/>
    <w:rsid w:val="00BB5DEE"/>
    <w:rsid w:val="00BC002E"/>
    <w:rsid w:val="00BC393F"/>
    <w:rsid w:val="00BC75FC"/>
    <w:rsid w:val="00BD12A9"/>
    <w:rsid w:val="00BD59BD"/>
    <w:rsid w:val="00BE196A"/>
    <w:rsid w:val="00BE5B3F"/>
    <w:rsid w:val="00BF2D98"/>
    <w:rsid w:val="00BF351F"/>
    <w:rsid w:val="00BF3F50"/>
    <w:rsid w:val="00BF6F37"/>
    <w:rsid w:val="00C02924"/>
    <w:rsid w:val="00C04344"/>
    <w:rsid w:val="00C11D14"/>
    <w:rsid w:val="00C14665"/>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75D4F"/>
    <w:rsid w:val="00C87194"/>
    <w:rsid w:val="00C90629"/>
    <w:rsid w:val="00C90C51"/>
    <w:rsid w:val="00C9570B"/>
    <w:rsid w:val="00CA3ED6"/>
    <w:rsid w:val="00CA7CF4"/>
    <w:rsid w:val="00CA7D60"/>
    <w:rsid w:val="00CB0B50"/>
    <w:rsid w:val="00CB0F37"/>
    <w:rsid w:val="00CB1135"/>
    <w:rsid w:val="00CB42C5"/>
    <w:rsid w:val="00CB590B"/>
    <w:rsid w:val="00CC02C5"/>
    <w:rsid w:val="00CC2BC6"/>
    <w:rsid w:val="00CC3AAB"/>
    <w:rsid w:val="00CD324E"/>
    <w:rsid w:val="00CD4A28"/>
    <w:rsid w:val="00CD54BD"/>
    <w:rsid w:val="00CD6C36"/>
    <w:rsid w:val="00CE2586"/>
    <w:rsid w:val="00CE7832"/>
    <w:rsid w:val="00CF05D7"/>
    <w:rsid w:val="00CF34A6"/>
    <w:rsid w:val="00CF3F93"/>
    <w:rsid w:val="00CF7B86"/>
    <w:rsid w:val="00D00810"/>
    <w:rsid w:val="00D020F3"/>
    <w:rsid w:val="00D04515"/>
    <w:rsid w:val="00D065AD"/>
    <w:rsid w:val="00D22831"/>
    <w:rsid w:val="00D404B7"/>
    <w:rsid w:val="00D44509"/>
    <w:rsid w:val="00D448CB"/>
    <w:rsid w:val="00D47226"/>
    <w:rsid w:val="00D47ED5"/>
    <w:rsid w:val="00D55749"/>
    <w:rsid w:val="00D61779"/>
    <w:rsid w:val="00D73DB6"/>
    <w:rsid w:val="00D7501D"/>
    <w:rsid w:val="00D809E5"/>
    <w:rsid w:val="00D81948"/>
    <w:rsid w:val="00D86816"/>
    <w:rsid w:val="00D90819"/>
    <w:rsid w:val="00D93291"/>
    <w:rsid w:val="00D9501F"/>
    <w:rsid w:val="00DA57B6"/>
    <w:rsid w:val="00DB50D5"/>
    <w:rsid w:val="00DC5537"/>
    <w:rsid w:val="00DD01F9"/>
    <w:rsid w:val="00DD11EE"/>
    <w:rsid w:val="00DD52A0"/>
    <w:rsid w:val="00DE5590"/>
    <w:rsid w:val="00DE6364"/>
    <w:rsid w:val="00DF1D9E"/>
    <w:rsid w:val="00DF3DA3"/>
    <w:rsid w:val="00DF5DA4"/>
    <w:rsid w:val="00E03AD1"/>
    <w:rsid w:val="00E06492"/>
    <w:rsid w:val="00E065CE"/>
    <w:rsid w:val="00E06A00"/>
    <w:rsid w:val="00E13157"/>
    <w:rsid w:val="00E13BFC"/>
    <w:rsid w:val="00E13E03"/>
    <w:rsid w:val="00E22B99"/>
    <w:rsid w:val="00E24A9D"/>
    <w:rsid w:val="00E258D9"/>
    <w:rsid w:val="00E35B8C"/>
    <w:rsid w:val="00E439CA"/>
    <w:rsid w:val="00E46DDB"/>
    <w:rsid w:val="00E473F3"/>
    <w:rsid w:val="00E5219B"/>
    <w:rsid w:val="00E54863"/>
    <w:rsid w:val="00E56905"/>
    <w:rsid w:val="00E64BE4"/>
    <w:rsid w:val="00E769C7"/>
    <w:rsid w:val="00E85565"/>
    <w:rsid w:val="00E87F91"/>
    <w:rsid w:val="00E94BC6"/>
    <w:rsid w:val="00EA0563"/>
    <w:rsid w:val="00EA198F"/>
    <w:rsid w:val="00EA2EA1"/>
    <w:rsid w:val="00EA3CB9"/>
    <w:rsid w:val="00EA59EB"/>
    <w:rsid w:val="00EA67F3"/>
    <w:rsid w:val="00EB2449"/>
    <w:rsid w:val="00EB48F8"/>
    <w:rsid w:val="00EB7F2E"/>
    <w:rsid w:val="00ED0C60"/>
    <w:rsid w:val="00ED178E"/>
    <w:rsid w:val="00ED3D26"/>
    <w:rsid w:val="00ED5218"/>
    <w:rsid w:val="00EE1D9D"/>
    <w:rsid w:val="00EF0BCB"/>
    <w:rsid w:val="00EF0E74"/>
    <w:rsid w:val="00EF2549"/>
    <w:rsid w:val="00F00E8A"/>
    <w:rsid w:val="00F1277A"/>
    <w:rsid w:val="00F13E5C"/>
    <w:rsid w:val="00F16242"/>
    <w:rsid w:val="00F17FCB"/>
    <w:rsid w:val="00F226CC"/>
    <w:rsid w:val="00F22C5F"/>
    <w:rsid w:val="00F2691E"/>
    <w:rsid w:val="00F279DD"/>
    <w:rsid w:val="00F3242E"/>
    <w:rsid w:val="00F33650"/>
    <w:rsid w:val="00F348F9"/>
    <w:rsid w:val="00F37E4B"/>
    <w:rsid w:val="00F4144E"/>
    <w:rsid w:val="00F41B00"/>
    <w:rsid w:val="00F46FF8"/>
    <w:rsid w:val="00F473CB"/>
    <w:rsid w:val="00F50245"/>
    <w:rsid w:val="00F63DDA"/>
    <w:rsid w:val="00F67029"/>
    <w:rsid w:val="00F70858"/>
    <w:rsid w:val="00F70871"/>
    <w:rsid w:val="00F71BBC"/>
    <w:rsid w:val="00F7224E"/>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C5FC7"/>
    <w:rsid w:val="00FD1C42"/>
    <w:rsid w:val="00FD1E96"/>
    <w:rsid w:val="00FD1FE7"/>
    <w:rsid w:val="00FD6442"/>
    <w:rsid w:val="00FE15F6"/>
    <w:rsid w:val="00FE1F8A"/>
    <w:rsid w:val="00FE3751"/>
    <w:rsid w:val="00FF0D9C"/>
    <w:rsid w:val="00FF14AA"/>
    <w:rsid w:val="00FF26CC"/>
    <w:rsid w:val="00FF2B1D"/>
    <w:rsid w:val="00FF3524"/>
    <w:rsid w:val="00FF612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F73A8A"/>
  <w15:docId w15:val="{283FB243-131E-4A02-A460-9015088E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2"/>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paragraph" w:customStyle="1" w:styleId="i">
    <w:name w:val="(i)"/>
    <w:basedOn w:val="Normal"/>
    <w:link w:val="iChar"/>
    <w:autoRedefine/>
    <w:qFormat/>
    <w:rsid w:val="007C0997"/>
    <w:pPr>
      <w:numPr>
        <w:numId w:val="5"/>
      </w:numPr>
      <w:autoSpaceDE w:val="0"/>
      <w:autoSpaceDN w:val="0"/>
      <w:adjustRightInd w:val="0"/>
      <w:spacing w:before="120"/>
      <w:ind w:right="284"/>
      <w:jc w:val="both"/>
    </w:pPr>
    <w:rPr>
      <w:rFonts w:ascii="Arial" w:eastAsia="SimSun" w:hAnsi="Arial" w:cs="Arial"/>
      <w:w w:val="90"/>
      <w:szCs w:val="22"/>
      <w:lang w:val="en-US"/>
    </w:rPr>
  </w:style>
  <w:style w:type="character" w:customStyle="1" w:styleId="iChar">
    <w:name w:val="(i) Char"/>
    <w:link w:val="i"/>
    <w:locked/>
    <w:rsid w:val="007C0997"/>
    <w:rPr>
      <w:rFonts w:ascii="Arial" w:hAnsi="Arial" w:cs="Arial"/>
      <w:w w:val="90"/>
      <w:sz w:val="22"/>
      <w:szCs w:val="22"/>
      <w:lang w:eastAsia="fr-FR" w:bidi="ar-SA"/>
    </w:rPr>
  </w:style>
  <w:style w:type="character" w:customStyle="1" w:styleId="UnresolvedMention20">
    <w:name w:val="Unresolved Mention2"/>
    <w:basedOn w:val="DefaultParagraphFont"/>
    <w:uiPriority w:val="99"/>
    <w:semiHidden/>
    <w:unhideWhenUsed/>
    <w:rsid w:val="00D75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17331">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9F1CE-DACE-45B6-A6F9-D19D5DF6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0</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Joseph, George</cp:lastModifiedBy>
  <cp:revision>2</cp:revision>
  <dcterms:created xsi:type="dcterms:W3CDTF">2022-04-06T09:52:00Z</dcterms:created>
  <dcterms:modified xsi:type="dcterms:W3CDTF">2022-04-06T09:52:00Z</dcterms:modified>
</cp:coreProperties>
</file>