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9ECD5"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F866CD" w14:paraId="4BED086E" w14:textId="77777777" w:rsidTr="00D7501D">
        <w:trPr>
          <w:cantSplit/>
        </w:trPr>
        <w:tc>
          <w:tcPr>
            <w:tcW w:w="786" w:type="pct"/>
            <w:shd w:val="clear" w:color="auto" w:fill="auto"/>
          </w:tcPr>
          <w:p w14:paraId="658F747A"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4B746900" w14:textId="44FABA33" w:rsidR="005473CF" w:rsidRPr="00F866CD" w:rsidRDefault="007C0997" w:rsidP="007E1DCE">
            <w:pPr>
              <w:keepLines/>
              <w:spacing w:before="120"/>
              <w:ind w:left="567" w:hanging="567"/>
              <w:rPr>
                <w:rFonts w:ascii="Arial" w:hAnsi="Arial" w:cs="Arial"/>
                <w:b/>
                <w:szCs w:val="22"/>
              </w:rPr>
            </w:pPr>
            <w:r w:rsidRPr="007C0997">
              <w:rPr>
                <w:rFonts w:ascii="Arial" w:hAnsi="Arial" w:cs="Arial"/>
                <w:b/>
                <w:szCs w:val="22"/>
              </w:rPr>
              <w:t>16.</w:t>
            </w:r>
            <w:r w:rsidRPr="007C0997">
              <w:rPr>
                <w:rFonts w:ascii="Arial" w:hAnsi="Arial" w:cs="Arial"/>
                <w:b/>
                <w:szCs w:val="22"/>
              </w:rPr>
              <w:tab/>
              <w:t>Extent to which the importance of safeguarding ICH is recognized through inclusive plans and programmes that foster self-respect and mutual respect</w:t>
            </w:r>
          </w:p>
        </w:tc>
      </w:tr>
      <w:tr w:rsidR="005B0FE5" w:rsidRPr="00F866CD" w14:paraId="3E4347C1" w14:textId="77777777" w:rsidTr="00D7501D">
        <w:trPr>
          <w:cantSplit/>
        </w:trPr>
        <w:tc>
          <w:tcPr>
            <w:tcW w:w="786" w:type="pct"/>
            <w:vMerge w:val="restart"/>
            <w:shd w:val="clear" w:color="auto" w:fill="auto"/>
          </w:tcPr>
          <w:p w14:paraId="5F693F39"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63AB50AF" w14:textId="07CD6614"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7C0997">
              <w:rPr>
                <w:rFonts w:ascii="Arial" w:hAnsi="Arial" w:cs="Arial"/>
                <w:szCs w:val="22"/>
              </w:rPr>
              <w:t>two</w:t>
            </w:r>
            <w:r w:rsidRPr="00F866CD">
              <w:rPr>
                <w:rFonts w:ascii="Arial" w:hAnsi="Arial" w:cs="Arial"/>
                <w:szCs w:val="22"/>
              </w:rPr>
              <w:t xml:space="preserve"> country-level factors monitored and reported by each State Party:</w:t>
            </w:r>
          </w:p>
        </w:tc>
      </w:tr>
      <w:tr w:rsidR="007C0997" w:rsidRPr="00F866CD" w14:paraId="195BE434" w14:textId="77777777" w:rsidTr="00D7501D">
        <w:trPr>
          <w:cantSplit/>
        </w:trPr>
        <w:tc>
          <w:tcPr>
            <w:tcW w:w="786" w:type="pct"/>
            <w:vMerge/>
            <w:shd w:val="clear" w:color="auto" w:fill="auto"/>
          </w:tcPr>
          <w:p w14:paraId="36248C75" w14:textId="77777777" w:rsidR="007C0997" w:rsidRPr="00F866CD" w:rsidRDefault="007C0997" w:rsidP="007C0997">
            <w:pPr>
              <w:spacing w:before="120"/>
              <w:rPr>
                <w:rFonts w:ascii="Arial" w:hAnsi="Arial" w:cs="Arial"/>
                <w:b/>
                <w:szCs w:val="22"/>
              </w:rPr>
            </w:pPr>
          </w:p>
        </w:tc>
        <w:tc>
          <w:tcPr>
            <w:tcW w:w="3418" w:type="pct"/>
            <w:shd w:val="clear" w:color="auto" w:fill="auto"/>
            <w:vAlign w:val="center"/>
          </w:tcPr>
          <w:p w14:paraId="1D61037C" w14:textId="77777777" w:rsidR="007C0997" w:rsidRPr="00A8072E" w:rsidRDefault="007C0997" w:rsidP="007C0997">
            <w:pPr>
              <w:numPr>
                <w:ilvl w:val="1"/>
                <w:numId w:val="57"/>
              </w:numPr>
              <w:spacing w:before="60" w:after="60"/>
              <w:ind w:left="567" w:hanging="567"/>
              <w:rPr>
                <w:rFonts w:ascii="Arial" w:eastAsia="Calibri" w:hAnsi="Arial" w:cs="Arial"/>
                <w:vanish/>
                <w:sz w:val="20"/>
                <w:szCs w:val="20"/>
                <w:lang w:eastAsia="en-US"/>
              </w:rPr>
            </w:pPr>
            <w:r w:rsidRPr="00A8072E">
              <w:rPr>
                <w:rFonts w:ascii="Arial" w:eastAsia="Calibri" w:hAnsi="Arial" w:cs="Arial"/>
                <w:sz w:val="20"/>
                <w:szCs w:val="20"/>
                <w:lang w:eastAsia="en-US"/>
              </w:rPr>
              <w:t>ICH safeguarding plans and programmes are inclusive of all sectors and strata of society, including but not limited to:</w:t>
            </w:r>
          </w:p>
          <w:p w14:paraId="2DCF7ACC" w14:textId="220DF175"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indigenous peoples;</w:t>
            </w:r>
          </w:p>
          <w:p w14:paraId="0BA6BA48" w14:textId="77777777"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groups with different ethnic identities;</w:t>
            </w:r>
          </w:p>
          <w:p w14:paraId="16450B4A" w14:textId="77777777"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migrants, immigrants and refugees;</w:t>
            </w:r>
          </w:p>
          <w:p w14:paraId="71CED306" w14:textId="77777777"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people of different ages;</w:t>
            </w:r>
          </w:p>
          <w:p w14:paraId="26826F6A" w14:textId="77777777"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people of different genders;</w:t>
            </w:r>
          </w:p>
          <w:p w14:paraId="74F8EE13" w14:textId="77777777" w:rsidR="007C0997" w:rsidRPr="00A8072E" w:rsidRDefault="007C0997" w:rsidP="007C0997">
            <w:pPr>
              <w:numPr>
                <w:ilvl w:val="0"/>
                <w:numId w:val="33"/>
              </w:numPr>
              <w:spacing w:before="60" w:after="60"/>
              <w:ind w:left="971" w:hanging="283"/>
              <w:rPr>
                <w:rFonts w:ascii="Arial" w:eastAsia="Calibri" w:hAnsi="Arial" w:cs="Arial"/>
                <w:sz w:val="20"/>
                <w:szCs w:val="20"/>
                <w:lang w:eastAsia="en-US"/>
              </w:rPr>
            </w:pPr>
            <w:r w:rsidRPr="00A8072E">
              <w:rPr>
                <w:rFonts w:ascii="Arial" w:eastAsia="Calibri" w:hAnsi="Arial" w:cs="Arial"/>
                <w:sz w:val="20"/>
                <w:szCs w:val="20"/>
                <w:lang w:eastAsia="en-US"/>
              </w:rPr>
              <w:t>persons with disabilities;</w:t>
            </w:r>
          </w:p>
          <w:p w14:paraId="332D3A13" w14:textId="0CD2546E" w:rsidR="007C0997" w:rsidRPr="00322A3A" w:rsidRDefault="007C0997" w:rsidP="007C0997">
            <w:pPr>
              <w:numPr>
                <w:ilvl w:val="0"/>
                <w:numId w:val="33"/>
              </w:numPr>
              <w:spacing w:before="60" w:after="60"/>
              <w:ind w:left="971" w:hanging="283"/>
              <w:rPr>
                <w:rFonts w:ascii="Arial" w:hAnsi="Arial" w:cs="Arial"/>
                <w:sz w:val="20"/>
                <w:szCs w:val="20"/>
              </w:rPr>
            </w:pPr>
            <w:r w:rsidRPr="00A8072E">
              <w:rPr>
                <w:rFonts w:ascii="Arial" w:eastAsia="Calibri" w:hAnsi="Arial" w:cs="Arial"/>
                <w:sz w:val="20"/>
                <w:szCs w:val="20"/>
                <w:lang w:eastAsia="en-US"/>
              </w:rPr>
              <w:t>members of vulnerable groups.</w:t>
            </w:r>
          </w:p>
        </w:tc>
        <w:tc>
          <w:tcPr>
            <w:tcW w:w="796" w:type="pct"/>
            <w:shd w:val="clear" w:color="auto" w:fill="auto"/>
            <w:vAlign w:val="center"/>
          </w:tcPr>
          <w:p w14:paraId="4581D742" w14:textId="77777777" w:rsidR="007C0997" w:rsidRPr="00A8072E" w:rsidRDefault="007C0997" w:rsidP="007C0997">
            <w:pPr>
              <w:spacing w:before="60" w:after="60"/>
              <w:rPr>
                <w:rFonts w:ascii="Arial" w:hAnsi="Arial" w:cs="Arial"/>
                <w:sz w:val="20"/>
                <w:szCs w:val="20"/>
              </w:rPr>
            </w:pPr>
            <w:r w:rsidRPr="00A8072E">
              <w:rPr>
                <w:rFonts w:ascii="Arial" w:hAnsi="Arial" w:cs="Arial"/>
                <w:sz w:val="20"/>
                <w:szCs w:val="20"/>
              </w:rPr>
              <w:t>OD 100</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102</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174</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194</w:t>
            </w:r>
          </w:p>
          <w:p w14:paraId="6919AF03" w14:textId="212BC9FB" w:rsidR="007C0997" w:rsidRPr="0074360F" w:rsidRDefault="007C0997" w:rsidP="007C0997">
            <w:pPr>
              <w:keepLines/>
              <w:spacing w:before="120"/>
              <w:rPr>
                <w:rFonts w:ascii="Arial" w:hAnsi="Arial" w:cs="Arial"/>
                <w:sz w:val="20"/>
                <w:szCs w:val="20"/>
              </w:rPr>
            </w:pPr>
            <w:r w:rsidRPr="00A8072E">
              <w:rPr>
                <w:rFonts w:ascii="Arial" w:hAnsi="Arial" w:cs="Arial"/>
                <w:sz w:val="20"/>
                <w:szCs w:val="20"/>
              </w:rPr>
              <w:t xml:space="preserve">EP 1, EP 2, </w:t>
            </w:r>
            <w:r>
              <w:rPr>
                <w:rFonts w:ascii="Arial" w:hAnsi="Arial" w:cs="Arial"/>
                <w:sz w:val="20"/>
                <w:szCs w:val="20"/>
              </w:rPr>
              <w:br/>
            </w:r>
            <w:r w:rsidRPr="00A8072E">
              <w:rPr>
                <w:rFonts w:ascii="Arial" w:hAnsi="Arial" w:cs="Arial"/>
                <w:sz w:val="20"/>
                <w:szCs w:val="20"/>
              </w:rPr>
              <w:t xml:space="preserve">EP 4, EP 9, </w:t>
            </w:r>
            <w:r>
              <w:rPr>
                <w:rFonts w:ascii="Arial" w:hAnsi="Arial" w:cs="Arial"/>
                <w:sz w:val="20"/>
                <w:szCs w:val="20"/>
              </w:rPr>
              <w:br/>
            </w:r>
            <w:r w:rsidRPr="00A8072E">
              <w:rPr>
                <w:rFonts w:ascii="Arial" w:hAnsi="Arial" w:cs="Arial"/>
                <w:sz w:val="20"/>
                <w:szCs w:val="20"/>
              </w:rPr>
              <w:t>EP 10</w:t>
            </w:r>
          </w:p>
        </w:tc>
      </w:tr>
      <w:tr w:rsidR="007C0997" w:rsidRPr="002D7416" w14:paraId="0A0495C8" w14:textId="77777777" w:rsidTr="00D7501D">
        <w:trPr>
          <w:cantSplit/>
        </w:trPr>
        <w:tc>
          <w:tcPr>
            <w:tcW w:w="786" w:type="pct"/>
            <w:vMerge/>
            <w:shd w:val="clear" w:color="auto" w:fill="auto"/>
          </w:tcPr>
          <w:p w14:paraId="754E57C2" w14:textId="77777777" w:rsidR="007C0997" w:rsidRPr="00F866CD" w:rsidRDefault="007C0997" w:rsidP="007C0997">
            <w:pPr>
              <w:spacing w:before="120"/>
              <w:rPr>
                <w:rFonts w:ascii="Arial" w:hAnsi="Arial" w:cs="Arial"/>
                <w:b/>
                <w:szCs w:val="22"/>
              </w:rPr>
            </w:pPr>
          </w:p>
        </w:tc>
        <w:tc>
          <w:tcPr>
            <w:tcW w:w="3418" w:type="pct"/>
            <w:shd w:val="clear" w:color="auto" w:fill="auto"/>
            <w:vAlign w:val="center"/>
          </w:tcPr>
          <w:p w14:paraId="5989A882" w14:textId="7BFDA772" w:rsidR="007C0997" w:rsidRPr="00322A3A" w:rsidRDefault="007C0997" w:rsidP="00D86816">
            <w:pPr>
              <w:numPr>
                <w:ilvl w:val="1"/>
                <w:numId w:val="57"/>
              </w:numPr>
              <w:spacing w:before="60" w:after="60"/>
              <w:ind w:left="567" w:hanging="567"/>
              <w:rPr>
                <w:rFonts w:ascii="Arial" w:hAnsi="Arial" w:cs="Arial"/>
                <w:sz w:val="20"/>
                <w:szCs w:val="20"/>
              </w:rPr>
            </w:pPr>
            <w:r w:rsidRPr="00A8072E">
              <w:rPr>
                <w:rFonts w:ascii="Arial" w:hAnsi="Arial" w:cs="Arial"/>
                <w:sz w:val="20"/>
                <w:szCs w:val="20"/>
              </w:rPr>
              <w:t xml:space="preserve">Self-respect </w:t>
            </w:r>
            <w:r w:rsidRPr="007930B7">
              <w:rPr>
                <w:rFonts w:ascii="Arial" w:eastAsia="Calibri" w:hAnsi="Arial" w:cs="Arial"/>
                <w:sz w:val="20"/>
                <w:szCs w:val="20"/>
                <w:lang w:eastAsia="en-US"/>
              </w:rPr>
              <w:t>and</w:t>
            </w:r>
            <w:r w:rsidRPr="00A8072E">
              <w:rPr>
                <w:rFonts w:ascii="Arial" w:hAnsi="Arial" w:cs="Arial"/>
                <w:sz w:val="20"/>
                <w:szCs w:val="20"/>
              </w:rPr>
              <w:t xml:space="preserve"> mutual respect are fostered among communities, groups and individuals through safeguarding plans and programmes for ICH in general and/or for specific elements of ICH, whether or not inscribed.</w:t>
            </w:r>
          </w:p>
        </w:tc>
        <w:tc>
          <w:tcPr>
            <w:tcW w:w="796" w:type="pct"/>
            <w:shd w:val="clear" w:color="auto" w:fill="auto"/>
            <w:vAlign w:val="center"/>
          </w:tcPr>
          <w:p w14:paraId="27F07535" w14:textId="77777777" w:rsidR="007C0997" w:rsidRPr="00D86816" w:rsidRDefault="007C0997" w:rsidP="007C0997">
            <w:pPr>
              <w:spacing w:before="60" w:after="60"/>
              <w:rPr>
                <w:rFonts w:ascii="Arial" w:hAnsi="Arial"/>
                <w:sz w:val="20"/>
                <w:lang w:val="fr-FR"/>
              </w:rPr>
            </w:pPr>
            <w:r w:rsidRPr="00D86816">
              <w:rPr>
                <w:rFonts w:ascii="Arial" w:hAnsi="Arial"/>
                <w:sz w:val="20"/>
                <w:lang w:val="fr-FR"/>
              </w:rPr>
              <w:t xml:space="preserve">Article 1, </w:t>
            </w:r>
            <w:r w:rsidRPr="00D86816">
              <w:rPr>
                <w:rFonts w:ascii="Arial" w:hAnsi="Arial"/>
                <w:sz w:val="20"/>
                <w:lang w:val="fr-FR"/>
              </w:rPr>
              <w:br/>
              <w:t xml:space="preserve">Article 2, </w:t>
            </w:r>
            <w:r w:rsidRPr="00D86816">
              <w:rPr>
                <w:rFonts w:ascii="Arial" w:hAnsi="Arial"/>
                <w:sz w:val="20"/>
                <w:lang w:val="fr-FR"/>
              </w:rPr>
              <w:br/>
              <w:t>Article 14(a)</w:t>
            </w:r>
          </w:p>
          <w:p w14:paraId="111266F6" w14:textId="4ECD2F9F" w:rsidR="007C0997" w:rsidRPr="00D86816" w:rsidRDefault="007C0997" w:rsidP="007C0997">
            <w:pPr>
              <w:spacing w:before="60" w:after="60"/>
              <w:rPr>
                <w:rFonts w:ascii="Arial" w:hAnsi="Arial" w:cs="Arial"/>
                <w:sz w:val="20"/>
                <w:szCs w:val="20"/>
                <w:lang w:val="fr-FR"/>
              </w:rPr>
            </w:pPr>
            <w:r w:rsidRPr="00D86816">
              <w:rPr>
                <w:rFonts w:ascii="Arial" w:hAnsi="Arial"/>
                <w:sz w:val="20"/>
                <w:lang w:val="fr-FR"/>
              </w:rPr>
              <w:t xml:space="preserve">OD 100, </w:t>
            </w:r>
            <w:r w:rsidRPr="00D86816">
              <w:rPr>
                <w:rFonts w:ascii="Arial" w:hAnsi="Arial"/>
                <w:sz w:val="20"/>
                <w:lang w:val="fr-FR"/>
              </w:rPr>
              <w:br/>
              <w:t>OD 107, OD 155</w:t>
            </w:r>
          </w:p>
        </w:tc>
      </w:tr>
      <w:tr w:rsidR="005473CF" w:rsidRPr="00F866CD" w14:paraId="759F1CC9" w14:textId="77777777" w:rsidTr="00D7501D">
        <w:trPr>
          <w:cantSplit/>
        </w:trPr>
        <w:tc>
          <w:tcPr>
            <w:tcW w:w="786" w:type="pct"/>
            <w:shd w:val="clear" w:color="auto" w:fill="auto"/>
          </w:tcPr>
          <w:p w14:paraId="230CB777"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39E70954" w14:textId="599DD318" w:rsidR="005473CF" w:rsidRPr="005D03F8" w:rsidRDefault="005473CF" w:rsidP="00D7501D">
            <w:pPr>
              <w:keepLines/>
              <w:spacing w:before="120"/>
              <w:jc w:val="both"/>
              <w:rPr>
                <w:rFonts w:ascii="Arial" w:hAnsi="Arial" w:cs="Arial"/>
                <w:szCs w:val="22"/>
              </w:rPr>
            </w:pPr>
            <w:r w:rsidRPr="00F866CD">
              <w:rPr>
                <w:rFonts w:ascii="Arial" w:hAnsi="Arial" w:cs="Arial"/>
                <w:b/>
                <w:bCs/>
                <w:szCs w:val="22"/>
              </w:rPr>
              <w:t xml:space="preserve">Sustainable Development Goals: </w:t>
            </w:r>
            <w:r w:rsidR="005D03F8">
              <w:rPr>
                <w:rFonts w:ascii="Arial" w:hAnsi="Arial" w:cs="Arial"/>
                <w:szCs w:val="22"/>
              </w:rPr>
              <w:t>Indicator 16 complements several SDG Targets, including Target 11.4 to ‘strengthen efforts to protect and safeguard the world’s cultural and natural heritage’</w:t>
            </w:r>
            <w:r w:rsidR="00D7501D">
              <w:rPr>
                <w:rFonts w:ascii="Arial" w:hAnsi="Arial" w:cs="Arial"/>
                <w:szCs w:val="22"/>
              </w:rPr>
              <w:t xml:space="preserve"> and Target 11.3, ‘</w:t>
            </w:r>
            <w:r w:rsidR="00D7501D" w:rsidRPr="00D7501D">
              <w:rPr>
                <w:rFonts w:ascii="Arial" w:hAnsi="Arial" w:cs="Arial"/>
                <w:szCs w:val="22"/>
              </w:rPr>
              <w:t>enhance inclusive and sustainable</w:t>
            </w:r>
            <w:r w:rsidR="00D7501D">
              <w:rPr>
                <w:rFonts w:ascii="Arial" w:hAnsi="Arial" w:cs="Arial"/>
                <w:szCs w:val="22"/>
              </w:rPr>
              <w:t xml:space="preserve"> </w:t>
            </w:r>
            <w:r w:rsidR="00D7501D" w:rsidRPr="00D7501D">
              <w:rPr>
                <w:rFonts w:ascii="Arial" w:hAnsi="Arial" w:cs="Arial"/>
                <w:szCs w:val="22"/>
              </w:rPr>
              <w:t>urbanization and capacity for participatory, integrated</w:t>
            </w:r>
            <w:r w:rsidR="00D7501D">
              <w:rPr>
                <w:rFonts w:ascii="Arial" w:hAnsi="Arial" w:cs="Arial"/>
                <w:szCs w:val="22"/>
              </w:rPr>
              <w:t xml:space="preserve"> </w:t>
            </w:r>
            <w:r w:rsidR="00D7501D" w:rsidRPr="00D7501D">
              <w:rPr>
                <w:rFonts w:ascii="Arial" w:hAnsi="Arial" w:cs="Arial"/>
                <w:szCs w:val="22"/>
              </w:rPr>
              <w:t>and sustainable human settlement planning and</w:t>
            </w:r>
            <w:r w:rsidR="00D7501D">
              <w:rPr>
                <w:rFonts w:ascii="Arial" w:hAnsi="Arial" w:cs="Arial"/>
                <w:szCs w:val="22"/>
              </w:rPr>
              <w:t xml:space="preserve"> </w:t>
            </w:r>
            <w:r w:rsidR="00D7501D" w:rsidRPr="00D7501D">
              <w:rPr>
                <w:rFonts w:ascii="Arial" w:hAnsi="Arial" w:cs="Arial"/>
                <w:szCs w:val="22"/>
              </w:rPr>
              <w:t>management in all countries</w:t>
            </w:r>
            <w:r w:rsidR="00D7501D">
              <w:rPr>
                <w:rFonts w:ascii="Arial" w:hAnsi="Arial" w:cs="Arial"/>
                <w:szCs w:val="22"/>
              </w:rPr>
              <w:t>.’</w:t>
            </w:r>
            <w:r w:rsidR="005D03F8">
              <w:rPr>
                <w:rFonts w:ascii="Arial" w:hAnsi="Arial" w:cs="Arial"/>
                <w:szCs w:val="22"/>
              </w:rPr>
              <w:t xml:space="preserve"> More</w:t>
            </w:r>
            <w:r w:rsidR="00D7501D">
              <w:rPr>
                <w:rFonts w:ascii="Arial" w:hAnsi="Arial" w:cs="Arial"/>
                <w:szCs w:val="22"/>
              </w:rPr>
              <w:t>over</w:t>
            </w:r>
            <w:r w:rsidR="005D03F8">
              <w:rPr>
                <w:rFonts w:ascii="Arial" w:hAnsi="Arial" w:cs="Arial"/>
                <w:szCs w:val="22"/>
              </w:rPr>
              <w:t xml:space="preserve">, it responds to SDG Target 5.5, which concerns ‘women’s full and effective participation’ in decision-making, and SDG Target 5.c, which calls for the ‘promotion of gender equality and the empowerment of all women and girls at all levels.’ The same spirit of inclusiveness is embodied more broadly in SDG Target 10.2, which advocates ‘the social, economic and political inclusion of all, irrespective of age, sex, disability, race, ethnicity, origin, religion or economic or other status’ and SDG Target 10.3, which seeks to ‘ensure equal opportunity and reduce inequalities of outcome’. Finally, SDG Target 10.7 refers to the need for ‘orderly, safe, regular and responsible migration and mobility of people’. </w:t>
            </w:r>
          </w:p>
          <w:p w14:paraId="6F5D9EB9" w14:textId="3775AA05" w:rsidR="00845B6C" w:rsidRPr="005D03F8" w:rsidRDefault="005473CF" w:rsidP="00BE196A">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5D03F8">
              <w:rPr>
                <w:rFonts w:ascii="Arial" w:hAnsi="Arial" w:cs="Arial"/>
                <w:bCs/>
                <w:szCs w:val="22"/>
              </w:rPr>
              <w:t>This indicator is transversal, setting out general principles of inclusiveness and equality</w:t>
            </w:r>
            <w:r w:rsidR="00E54863">
              <w:rPr>
                <w:rFonts w:ascii="Arial" w:hAnsi="Arial" w:cs="Arial"/>
                <w:bCs/>
                <w:szCs w:val="22"/>
              </w:rPr>
              <w:t>,</w:t>
            </w:r>
            <w:r w:rsidR="005D03F8">
              <w:rPr>
                <w:rFonts w:ascii="Arial" w:hAnsi="Arial" w:cs="Arial"/>
                <w:bCs/>
                <w:szCs w:val="22"/>
              </w:rPr>
              <w:t xml:space="preserve"> and the overall goal of promoting self-respect and mutual respect – </w:t>
            </w:r>
            <w:r w:rsidR="00345548">
              <w:rPr>
                <w:rFonts w:ascii="Arial" w:hAnsi="Arial" w:cs="Arial"/>
                <w:bCs/>
                <w:szCs w:val="22"/>
              </w:rPr>
              <w:t xml:space="preserve">core </w:t>
            </w:r>
            <w:r w:rsidR="005D03F8">
              <w:rPr>
                <w:rFonts w:ascii="Arial" w:hAnsi="Arial" w:cs="Arial"/>
                <w:bCs/>
                <w:szCs w:val="22"/>
              </w:rPr>
              <w:t xml:space="preserve">values that underlie safeguarding plans and programmes regardless of their specific scope or focus. </w:t>
            </w:r>
            <w:r w:rsidR="00845B6C">
              <w:rPr>
                <w:rFonts w:ascii="Arial" w:hAnsi="Arial" w:cs="Arial"/>
                <w:bCs/>
                <w:szCs w:val="22"/>
              </w:rPr>
              <w:t>It thus complements Indicator 11, which also concerns safeguarding plans, whether for ICH in general or for specific elements of ICH. Additionally, it lays out guiding principles underlying Indicators 17-20, which refer specifically to programmes to raise awareness of the importance of ICH and its safeguarding, as well as Indicator 22 concerning monitoring of ICH safeguarding programmes.</w:t>
            </w:r>
          </w:p>
        </w:tc>
      </w:tr>
      <w:tr w:rsidR="00896177" w:rsidRPr="00F866CD" w14:paraId="4EF1C980" w14:textId="77777777" w:rsidTr="00D7501D">
        <w:trPr>
          <w:cantSplit/>
        </w:trPr>
        <w:tc>
          <w:tcPr>
            <w:tcW w:w="786" w:type="pct"/>
            <w:shd w:val="clear" w:color="auto" w:fill="auto"/>
          </w:tcPr>
          <w:p w14:paraId="74203557"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12AB4138" w14:textId="4915151A" w:rsidR="00704766" w:rsidRPr="00F866CD" w:rsidRDefault="00345548" w:rsidP="00BE196A">
            <w:pPr>
              <w:keepLines/>
              <w:spacing w:before="120"/>
              <w:jc w:val="both"/>
              <w:rPr>
                <w:rFonts w:asciiTheme="minorBidi" w:hAnsiTheme="minorBidi" w:cstheme="minorBidi"/>
                <w:szCs w:val="22"/>
              </w:rPr>
            </w:pPr>
            <w:r>
              <w:rPr>
                <w:rFonts w:asciiTheme="minorBidi" w:hAnsiTheme="minorBidi" w:cstheme="minorBidi"/>
                <w:szCs w:val="22"/>
              </w:rPr>
              <w:t xml:space="preserve">This indicator </w:t>
            </w:r>
            <w:r w:rsidR="00BE196A">
              <w:rPr>
                <w:rFonts w:asciiTheme="minorBidi" w:hAnsiTheme="minorBidi" w:cstheme="minorBidi"/>
                <w:szCs w:val="22"/>
              </w:rPr>
              <w:t xml:space="preserve">relates to </w:t>
            </w:r>
            <w:r>
              <w:rPr>
                <w:rFonts w:asciiTheme="minorBidi" w:hAnsiTheme="minorBidi" w:cstheme="minorBidi"/>
                <w:szCs w:val="22"/>
              </w:rPr>
              <w:t xml:space="preserve">the core </w:t>
            </w:r>
            <w:r w:rsidR="00BE196A">
              <w:rPr>
                <w:rFonts w:asciiTheme="minorBidi" w:hAnsiTheme="minorBidi" w:cstheme="minorBidi"/>
                <w:szCs w:val="22"/>
              </w:rPr>
              <w:t xml:space="preserve">principles </w:t>
            </w:r>
            <w:r>
              <w:rPr>
                <w:rFonts w:asciiTheme="minorBidi" w:hAnsiTheme="minorBidi" w:cstheme="minorBidi"/>
                <w:szCs w:val="22"/>
              </w:rPr>
              <w:t xml:space="preserve">of the Convention, as </w:t>
            </w:r>
            <w:r w:rsidR="00BE196A">
              <w:rPr>
                <w:rFonts w:asciiTheme="minorBidi" w:hAnsiTheme="minorBidi" w:cstheme="minorBidi"/>
                <w:szCs w:val="22"/>
              </w:rPr>
              <w:t xml:space="preserve">captured </w:t>
            </w:r>
            <w:r>
              <w:rPr>
                <w:rFonts w:asciiTheme="minorBidi" w:hAnsiTheme="minorBidi" w:cstheme="minorBidi"/>
                <w:szCs w:val="22"/>
              </w:rPr>
              <w:t>in the Ethical Principles for Safeguarding Intangible Cultural Heritage. The requirement of ‘mutual respect among communities, groups and individuals’ figures into the Convention’s definition of ICH (Article 2.1), and the Convention’s purpose to ‘</w:t>
            </w:r>
            <w:r w:rsidRPr="00345548">
              <w:rPr>
                <w:rFonts w:asciiTheme="minorBidi" w:hAnsiTheme="minorBidi" w:cstheme="minorBidi"/>
                <w:szCs w:val="22"/>
              </w:rPr>
              <w:t>ensure respect for the intangible cultural heritage of the communities, groups and</w:t>
            </w:r>
            <w:r>
              <w:rPr>
                <w:rFonts w:asciiTheme="minorBidi" w:hAnsiTheme="minorBidi" w:cstheme="minorBidi"/>
                <w:szCs w:val="22"/>
              </w:rPr>
              <w:t xml:space="preserve"> </w:t>
            </w:r>
            <w:r w:rsidRPr="00345548">
              <w:rPr>
                <w:rFonts w:asciiTheme="minorBidi" w:hAnsiTheme="minorBidi" w:cstheme="minorBidi"/>
                <w:szCs w:val="22"/>
              </w:rPr>
              <w:t>individuals concerned</w:t>
            </w:r>
            <w:r>
              <w:rPr>
                <w:rFonts w:asciiTheme="minorBidi" w:hAnsiTheme="minorBidi" w:cstheme="minorBidi"/>
                <w:szCs w:val="22"/>
              </w:rPr>
              <w:t>’ (Article 1(b)) implies respect for those people as well as their ICH. The principles of inclusiveness and non-discrimination are fundamental values of the United Nations, as of UNESCO, and are reiterated in the Operational Directives</w:t>
            </w:r>
            <w:r w:rsidR="00BE196A">
              <w:rPr>
                <w:rFonts w:asciiTheme="minorBidi" w:hAnsiTheme="minorBidi" w:cstheme="minorBidi"/>
                <w:szCs w:val="22"/>
              </w:rPr>
              <w:t xml:space="preserve"> and Ethical Principles</w:t>
            </w:r>
            <w:r>
              <w:rPr>
                <w:rFonts w:asciiTheme="minorBidi" w:hAnsiTheme="minorBidi" w:cstheme="minorBidi"/>
                <w:szCs w:val="22"/>
              </w:rPr>
              <w:t xml:space="preserve">. </w:t>
            </w:r>
            <w:r w:rsidR="00C75D4F">
              <w:rPr>
                <w:rFonts w:asciiTheme="minorBidi" w:hAnsiTheme="minorBidi" w:cstheme="minorBidi"/>
                <w:szCs w:val="22"/>
              </w:rPr>
              <w:t>Article 15, in referring to the ‘</w:t>
            </w:r>
            <w:r w:rsidR="00C75D4F" w:rsidRPr="00C75D4F">
              <w:rPr>
                <w:rFonts w:asciiTheme="minorBidi" w:hAnsiTheme="minorBidi" w:cstheme="minorBidi"/>
                <w:szCs w:val="22"/>
              </w:rPr>
              <w:t>widest possible participation of communities, groups and,</w:t>
            </w:r>
            <w:r w:rsidR="00C75D4F">
              <w:rPr>
                <w:rFonts w:asciiTheme="minorBidi" w:hAnsiTheme="minorBidi" w:cstheme="minorBidi"/>
                <w:szCs w:val="22"/>
              </w:rPr>
              <w:t xml:space="preserve"> </w:t>
            </w:r>
            <w:r w:rsidR="00C75D4F" w:rsidRPr="00C75D4F">
              <w:rPr>
                <w:rFonts w:asciiTheme="minorBidi" w:hAnsiTheme="minorBidi" w:cstheme="minorBidi"/>
                <w:szCs w:val="22"/>
              </w:rPr>
              <w:t>where appropriate, individuals</w:t>
            </w:r>
            <w:r w:rsidR="00C75D4F">
              <w:rPr>
                <w:rFonts w:asciiTheme="minorBidi" w:hAnsiTheme="minorBidi" w:cstheme="minorBidi"/>
                <w:szCs w:val="22"/>
              </w:rPr>
              <w:t xml:space="preserve">’ in ICH safeguarding and management, also embodies the value of inclusiveness. </w:t>
            </w:r>
          </w:p>
        </w:tc>
      </w:tr>
      <w:tr w:rsidR="00704766" w:rsidRPr="00F866CD" w14:paraId="3FD17B62" w14:textId="77777777" w:rsidTr="00D7501D">
        <w:trPr>
          <w:cantSplit/>
        </w:trPr>
        <w:tc>
          <w:tcPr>
            <w:tcW w:w="786" w:type="pct"/>
            <w:shd w:val="clear" w:color="auto" w:fill="auto"/>
          </w:tcPr>
          <w:p w14:paraId="2C119DFD"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1038416E" w14:textId="77777777" w:rsidR="00704766"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p w14:paraId="6F73DCA9"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Sectors and strata of society</w:t>
            </w:r>
          </w:p>
          <w:p w14:paraId="5DAFEEF2"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Indigenous peoples</w:t>
            </w:r>
          </w:p>
          <w:p w14:paraId="15739ACF"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Groups with different ethnic identities</w:t>
            </w:r>
          </w:p>
          <w:p w14:paraId="569C18B8"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Migrants, immigrants and refugees</w:t>
            </w:r>
          </w:p>
          <w:p w14:paraId="32750E9F"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People of different genders</w:t>
            </w:r>
          </w:p>
          <w:p w14:paraId="49B6C30C"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Persons with disabilities</w:t>
            </w:r>
          </w:p>
          <w:p w14:paraId="148181B8"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Vulnerable groups</w:t>
            </w:r>
          </w:p>
          <w:p w14:paraId="316743A4"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3F22948A" w14:textId="77777777" w:rsidR="007C0997" w:rsidRDefault="007C099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p w14:paraId="3AE6B599" w14:textId="16D52C24" w:rsidR="00384433" w:rsidRPr="00F866CD" w:rsidRDefault="0038443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Inscribed (whether or not inscribed)</w:t>
            </w:r>
          </w:p>
        </w:tc>
      </w:tr>
    </w:tbl>
    <w:p w14:paraId="62773F68"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13C86CB3"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866CD" w14:paraId="426D1745" w14:textId="77777777" w:rsidTr="00D7501D">
        <w:tc>
          <w:tcPr>
            <w:tcW w:w="730" w:type="pct"/>
            <w:shd w:val="clear" w:color="auto" w:fill="auto"/>
          </w:tcPr>
          <w:p w14:paraId="0AFEC26F"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6A75C0AA" w14:textId="6AD94428" w:rsidR="002C28BA" w:rsidRPr="00621208" w:rsidRDefault="00C75D4F" w:rsidP="00DA57B6">
            <w:pPr>
              <w:keepLines/>
              <w:spacing w:before="120"/>
              <w:jc w:val="both"/>
              <w:rPr>
                <w:rFonts w:ascii="Arial" w:hAnsi="Arial" w:cs="Arial"/>
                <w:bCs/>
                <w:szCs w:val="22"/>
              </w:rPr>
            </w:pPr>
            <w:r>
              <w:rPr>
                <w:rFonts w:ascii="Arial" w:hAnsi="Arial" w:cs="Arial"/>
                <w:bCs/>
                <w:szCs w:val="22"/>
              </w:rPr>
              <w:t xml:space="preserve">Monitoring can help a State to determine the extent to which its safeguarding plans and programmes are </w:t>
            </w:r>
            <w:r w:rsidR="0050208F">
              <w:rPr>
                <w:rFonts w:ascii="Arial" w:hAnsi="Arial" w:cs="Arial"/>
                <w:bCs/>
                <w:szCs w:val="22"/>
              </w:rPr>
              <w:t>as fully inclusive as possible, and whether there may exist unintended barriers or obstacles impeding the widest possible participation of communities, groups or individuals. Moreover, monitoring can help the State ascertain that its safeguarding activities are indeed contributing to self-respect and mutual respect, in line with the Convention</w:t>
            </w:r>
            <w:r w:rsidR="00B07105">
              <w:rPr>
                <w:rFonts w:ascii="Arial" w:hAnsi="Arial" w:cs="Arial"/>
                <w:bCs/>
                <w:szCs w:val="22"/>
              </w:rPr>
              <w:t>.</w:t>
            </w:r>
            <w:r w:rsidR="00DA57B6">
              <w:rPr>
                <w:rFonts w:ascii="Arial" w:hAnsi="Arial" w:cs="Arial"/>
                <w:bCs/>
                <w:szCs w:val="22"/>
              </w:rPr>
              <w:t xml:space="preserve"> I</w:t>
            </w:r>
            <w:r w:rsidR="00B07105">
              <w:rPr>
                <w:rFonts w:ascii="Arial" w:hAnsi="Arial" w:cs="Arial"/>
                <w:bCs/>
                <w:szCs w:val="22"/>
              </w:rPr>
              <w:t xml:space="preserve">t can </w:t>
            </w:r>
            <w:r w:rsidR="00DA57B6">
              <w:rPr>
                <w:rFonts w:ascii="Arial" w:hAnsi="Arial" w:cs="Arial"/>
                <w:bCs/>
                <w:szCs w:val="22"/>
              </w:rPr>
              <w:t xml:space="preserve">also </w:t>
            </w:r>
            <w:r w:rsidR="00B07105">
              <w:rPr>
                <w:rFonts w:ascii="Arial" w:hAnsi="Arial" w:cs="Arial"/>
                <w:bCs/>
                <w:szCs w:val="22"/>
              </w:rPr>
              <w:t xml:space="preserve">help </w:t>
            </w:r>
            <w:r w:rsidR="00DA57B6">
              <w:rPr>
                <w:rFonts w:ascii="Arial" w:hAnsi="Arial" w:cs="Arial"/>
                <w:bCs/>
                <w:szCs w:val="22"/>
              </w:rPr>
              <w:t xml:space="preserve">the State </w:t>
            </w:r>
            <w:r w:rsidR="00B07105">
              <w:rPr>
                <w:rFonts w:ascii="Arial" w:hAnsi="Arial" w:cs="Arial"/>
                <w:bCs/>
                <w:szCs w:val="22"/>
              </w:rPr>
              <w:t>to</w:t>
            </w:r>
            <w:r w:rsidR="0050208F">
              <w:rPr>
                <w:rFonts w:ascii="Arial" w:hAnsi="Arial" w:cs="Arial"/>
                <w:bCs/>
                <w:szCs w:val="22"/>
              </w:rPr>
              <w:t xml:space="preserve"> </w:t>
            </w:r>
            <w:r w:rsidR="00B07105">
              <w:rPr>
                <w:rFonts w:ascii="Arial" w:hAnsi="Arial" w:cs="Arial"/>
                <w:bCs/>
                <w:szCs w:val="22"/>
              </w:rPr>
              <w:t>identify cases where safeguarding plans and programmes may have an unintended and opposite effect</w:t>
            </w:r>
            <w:r w:rsidR="0050208F">
              <w:rPr>
                <w:rFonts w:ascii="Arial" w:hAnsi="Arial" w:cs="Arial"/>
                <w:bCs/>
                <w:szCs w:val="22"/>
              </w:rPr>
              <w:t xml:space="preserve">. At the global level, monitoring of this indicator can help States to determine together if there are any systematic </w:t>
            </w:r>
            <w:r w:rsidR="00DA57B6">
              <w:rPr>
                <w:rFonts w:ascii="Arial" w:hAnsi="Arial" w:cs="Arial"/>
                <w:bCs/>
                <w:szCs w:val="22"/>
              </w:rPr>
              <w:t xml:space="preserve">or </w:t>
            </w:r>
            <w:r w:rsidR="0050208F">
              <w:rPr>
                <w:rFonts w:ascii="Arial" w:hAnsi="Arial" w:cs="Arial"/>
                <w:bCs/>
                <w:szCs w:val="22"/>
              </w:rPr>
              <w:t>unintended gaps in the Convention’s outreach and participation, and to be confident that it strengthens self-respect and mutual respect rather than in any way diminishing them.</w:t>
            </w:r>
          </w:p>
        </w:tc>
      </w:tr>
      <w:tr w:rsidR="0054175C" w:rsidRPr="00F866CD" w14:paraId="59D917D8" w14:textId="77777777" w:rsidTr="00D7501D">
        <w:tc>
          <w:tcPr>
            <w:tcW w:w="730" w:type="pct"/>
            <w:shd w:val="clear" w:color="auto" w:fill="auto"/>
          </w:tcPr>
          <w:p w14:paraId="6E227FEA"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3C9229A5" w14:textId="4B04C77D" w:rsidR="0054175C" w:rsidRPr="00F866CD" w:rsidRDefault="00043214" w:rsidP="0054175C">
            <w:pPr>
              <w:spacing w:before="120"/>
              <w:jc w:val="both"/>
              <w:rPr>
                <w:rFonts w:ascii="Arial" w:hAnsi="Arial" w:cs="Arial"/>
                <w:szCs w:val="22"/>
              </w:rPr>
            </w:pPr>
            <w:r>
              <w:rPr>
                <w:rFonts w:ascii="Arial" w:hAnsi="Arial" w:cs="Arial"/>
                <w:szCs w:val="22"/>
              </w:rPr>
              <w:t xml:space="preserve">As with Indicator 15, those responsible for monitoring and reporting </w:t>
            </w:r>
            <w:r w:rsidR="00DA57B6">
              <w:rPr>
                <w:rFonts w:ascii="Arial" w:hAnsi="Arial" w:cs="Arial"/>
                <w:szCs w:val="22"/>
              </w:rPr>
              <w:t xml:space="preserve">may </w:t>
            </w:r>
            <w:r>
              <w:rPr>
                <w:rFonts w:ascii="Arial" w:hAnsi="Arial" w:cs="Arial"/>
                <w:szCs w:val="22"/>
              </w:rPr>
              <w:t xml:space="preserve">need to </w:t>
            </w:r>
            <w:r w:rsidR="00DA57B6">
              <w:rPr>
                <w:rFonts w:ascii="Arial" w:hAnsi="Arial" w:cs="Arial"/>
                <w:szCs w:val="22"/>
              </w:rPr>
              <w:t xml:space="preserve">look into a broad range of data sources to identify concrete examples </w:t>
            </w:r>
            <w:r>
              <w:rPr>
                <w:rFonts w:ascii="Arial" w:hAnsi="Arial" w:cs="Arial"/>
                <w:szCs w:val="22"/>
              </w:rPr>
              <w:t xml:space="preserve">of how inclusiveness is ensured within </w:t>
            </w:r>
            <w:r w:rsidR="00DA57B6">
              <w:rPr>
                <w:rFonts w:ascii="Arial" w:hAnsi="Arial" w:cs="Arial"/>
                <w:szCs w:val="22"/>
              </w:rPr>
              <w:t>ICH safeguarding plans and programmes</w:t>
            </w:r>
            <w:r>
              <w:rPr>
                <w:rFonts w:ascii="Arial" w:hAnsi="Arial" w:cs="Arial"/>
                <w:szCs w:val="22"/>
              </w:rPr>
              <w:t xml:space="preserve">. </w:t>
            </w:r>
            <w:r w:rsidR="00DA57B6">
              <w:rPr>
                <w:rFonts w:ascii="Arial" w:hAnsi="Arial" w:cs="Arial"/>
                <w:szCs w:val="22"/>
              </w:rPr>
              <w:t xml:space="preserve">Periodic surveys among various actors in the field of safeguarding ICH, or reviews of media coverage and academic research, could also be important means of gathering data. </w:t>
            </w:r>
            <w:r>
              <w:rPr>
                <w:rFonts w:ascii="Arial" w:hAnsi="Arial" w:cs="Arial"/>
                <w:szCs w:val="22"/>
              </w:rPr>
              <w:t>A consultative body or coordination mechanism</w:t>
            </w:r>
            <w:r w:rsidR="00DA57B6">
              <w:rPr>
                <w:rFonts w:ascii="Arial" w:hAnsi="Arial" w:cs="Arial"/>
                <w:szCs w:val="22"/>
              </w:rPr>
              <w:t>, if any,</w:t>
            </w:r>
            <w:r>
              <w:rPr>
                <w:rFonts w:ascii="Arial" w:hAnsi="Arial" w:cs="Arial"/>
                <w:szCs w:val="22"/>
              </w:rPr>
              <w:t xml:space="preserve"> would also be an important source of information </w:t>
            </w:r>
            <w:r w:rsidR="00DA57B6">
              <w:rPr>
                <w:rFonts w:ascii="Arial" w:hAnsi="Arial" w:cs="Arial"/>
                <w:szCs w:val="22"/>
              </w:rPr>
              <w:t>for this indicator</w:t>
            </w:r>
            <w:r w:rsidR="00D86816">
              <w:rPr>
                <w:rFonts w:ascii="Arial" w:hAnsi="Arial" w:cs="Arial"/>
                <w:szCs w:val="22"/>
              </w:rPr>
              <w:t>.</w:t>
            </w:r>
          </w:p>
          <w:p w14:paraId="4E547FAC"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5A276D64" w14:textId="2FA08A84" w:rsidR="00043214" w:rsidRDefault="00043214" w:rsidP="00043214">
            <w:pPr>
              <w:pStyle w:val="ListParagraph"/>
              <w:numPr>
                <w:ilvl w:val="0"/>
                <w:numId w:val="73"/>
              </w:numPr>
              <w:spacing w:before="120"/>
              <w:jc w:val="both"/>
              <w:rPr>
                <w:rFonts w:ascii="Arial" w:hAnsi="Arial" w:cs="Arial"/>
                <w:lang w:val="en-GB"/>
              </w:rPr>
            </w:pPr>
            <w:r>
              <w:rPr>
                <w:rFonts w:ascii="Arial" w:hAnsi="Arial" w:cs="Arial"/>
                <w:lang w:val="en-GB"/>
              </w:rPr>
              <w:t>Reports on the implementation of safeguarding plans for ICH elements inscribed on either of the Convention’s lists, or on national lists</w:t>
            </w:r>
          </w:p>
          <w:p w14:paraId="293A42A8" w14:textId="0D9863E7" w:rsidR="00043214" w:rsidRPr="00043214" w:rsidRDefault="00043214" w:rsidP="00043214">
            <w:pPr>
              <w:pStyle w:val="ListParagraph"/>
              <w:numPr>
                <w:ilvl w:val="0"/>
                <w:numId w:val="73"/>
              </w:numPr>
              <w:spacing w:before="120"/>
              <w:jc w:val="both"/>
              <w:rPr>
                <w:rFonts w:ascii="Arial" w:hAnsi="Arial" w:cs="Arial"/>
                <w:lang w:val="en-GB"/>
              </w:rPr>
            </w:pPr>
            <w:r w:rsidRPr="00043214">
              <w:rPr>
                <w:rFonts w:ascii="Arial" w:hAnsi="Arial" w:cs="Arial"/>
                <w:lang w:val="en-GB"/>
              </w:rPr>
              <w:t xml:space="preserve">Reports of NGOs, community associations, and other actors on their </w:t>
            </w:r>
            <w:r>
              <w:rPr>
                <w:rFonts w:ascii="Arial" w:hAnsi="Arial" w:cs="Arial"/>
                <w:lang w:val="en-GB"/>
              </w:rPr>
              <w:t>safeguarding plans and programmes</w:t>
            </w:r>
          </w:p>
          <w:p w14:paraId="3B1BF70E" w14:textId="77777777" w:rsidR="00043214" w:rsidRPr="00043214" w:rsidRDefault="00043214" w:rsidP="00043214">
            <w:pPr>
              <w:pStyle w:val="ListParagraph"/>
              <w:numPr>
                <w:ilvl w:val="0"/>
                <w:numId w:val="73"/>
              </w:numPr>
              <w:spacing w:before="120"/>
              <w:jc w:val="both"/>
              <w:rPr>
                <w:rFonts w:ascii="Arial" w:hAnsi="Arial" w:cs="Arial"/>
                <w:lang w:val="en-GB"/>
              </w:rPr>
            </w:pPr>
            <w:r w:rsidRPr="00043214">
              <w:rPr>
                <w:rFonts w:ascii="Arial" w:hAnsi="Arial" w:cs="Arial"/>
                <w:lang w:val="en-GB"/>
              </w:rPr>
              <w:lastRenderedPageBreak/>
              <w:t>Newsletters, bulletins or websites of professional associations or networks of researchers</w:t>
            </w:r>
          </w:p>
          <w:p w14:paraId="1AB2D66F" w14:textId="42864403" w:rsidR="0054175C" w:rsidRPr="00F866CD" w:rsidRDefault="00043214" w:rsidP="00043214">
            <w:pPr>
              <w:pStyle w:val="ListParagraph"/>
              <w:numPr>
                <w:ilvl w:val="0"/>
                <w:numId w:val="73"/>
              </w:numPr>
              <w:spacing w:before="120"/>
              <w:jc w:val="both"/>
              <w:rPr>
                <w:rFonts w:ascii="Arial" w:hAnsi="Arial" w:cs="Arial"/>
                <w:lang w:val="en-GB"/>
              </w:rPr>
            </w:pPr>
            <w:r w:rsidRPr="00043214">
              <w:rPr>
                <w:rFonts w:ascii="Arial" w:hAnsi="Arial" w:cs="Arial"/>
                <w:lang w:val="en-GB"/>
              </w:rPr>
              <w:t xml:space="preserve">Media coverage of </w:t>
            </w:r>
            <w:r>
              <w:rPr>
                <w:rFonts w:ascii="Arial" w:hAnsi="Arial" w:cs="Arial"/>
                <w:lang w:val="en-GB"/>
              </w:rPr>
              <w:t>safeguarding plans and programmes</w:t>
            </w:r>
          </w:p>
        </w:tc>
      </w:tr>
    </w:tbl>
    <w:p w14:paraId="4F9541DB"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448E" w14:textId="77777777" w:rsidR="005E3CEC" w:rsidRDefault="005E3CEC" w:rsidP="002938F2">
      <w:r>
        <w:separator/>
      </w:r>
    </w:p>
    <w:p w14:paraId="153DEBFB" w14:textId="77777777" w:rsidR="005E3CEC" w:rsidRDefault="005E3CEC"/>
  </w:endnote>
  <w:endnote w:type="continuationSeparator" w:id="0">
    <w:p w14:paraId="3010198C" w14:textId="77777777" w:rsidR="005E3CEC" w:rsidRDefault="005E3CEC" w:rsidP="002938F2">
      <w:r>
        <w:continuationSeparator/>
      </w:r>
    </w:p>
    <w:p w14:paraId="74B0DBC2" w14:textId="77777777" w:rsidR="005E3CEC" w:rsidRDefault="005E3CEC"/>
  </w:endnote>
  <w:endnote w:type="continuationNotice" w:id="1">
    <w:p w14:paraId="4DA941C1" w14:textId="77777777" w:rsidR="005E3CEC" w:rsidRDefault="005E3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8A31" w14:textId="4ACCF4CB" w:rsidR="00C04344" w:rsidRPr="000A0709" w:rsidRDefault="000F25BA" w:rsidP="000A0709">
    <w:pPr>
      <w:pStyle w:val="Footer"/>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D86816">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4680B" w14:textId="77777777" w:rsidR="005E3CEC" w:rsidRDefault="005E3CEC" w:rsidP="002938F2">
      <w:r>
        <w:separator/>
      </w:r>
    </w:p>
  </w:footnote>
  <w:footnote w:type="continuationSeparator" w:id="0">
    <w:p w14:paraId="779A0897" w14:textId="77777777" w:rsidR="005E3CEC" w:rsidRDefault="005E3CEC" w:rsidP="002938F2">
      <w:r>
        <w:continuationSeparator/>
      </w:r>
    </w:p>
    <w:p w14:paraId="6B488F0D" w14:textId="77777777" w:rsidR="005E3CEC" w:rsidRDefault="005E3CEC"/>
  </w:footnote>
  <w:footnote w:type="continuationNotice" w:id="1">
    <w:p w14:paraId="222D33DA" w14:textId="77777777" w:rsidR="005E3CEC" w:rsidRDefault="005E3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5718" w14:textId="77777777" w:rsidR="00D7501D" w:rsidRDefault="00D7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9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3214"/>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D7416"/>
    <w:rsid w:val="002E113D"/>
    <w:rsid w:val="002F17E1"/>
    <w:rsid w:val="003043A9"/>
    <w:rsid w:val="0030454E"/>
    <w:rsid w:val="00320242"/>
    <w:rsid w:val="00322A3A"/>
    <w:rsid w:val="00324A32"/>
    <w:rsid w:val="00325D6E"/>
    <w:rsid w:val="00334977"/>
    <w:rsid w:val="00337194"/>
    <w:rsid w:val="00342EE8"/>
    <w:rsid w:val="00344D78"/>
    <w:rsid w:val="00345548"/>
    <w:rsid w:val="00346517"/>
    <w:rsid w:val="00351CCB"/>
    <w:rsid w:val="0035648A"/>
    <w:rsid w:val="00362B41"/>
    <w:rsid w:val="00363995"/>
    <w:rsid w:val="00364E5E"/>
    <w:rsid w:val="00370E9B"/>
    <w:rsid w:val="00377E4B"/>
    <w:rsid w:val="00383BA9"/>
    <w:rsid w:val="00384433"/>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208F"/>
    <w:rsid w:val="00504256"/>
    <w:rsid w:val="00511D17"/>
    <w:rsid w:val="005157E2"/>
    <w:rsid w:val="0051699F"/>
    <w:rsid w:val="00516DE3"/>
    <w:rsid w:val="005300BF"/>
    <w:rsid w:val="00532631"/>
    <w:rsid w:val="0054008B"/>
    <w:rsid w:val="005414A1"/>
    <w:rsid w:val="0054175C"/>
    <w:rsid w:val="005473CF"/>
    <w:rsid w:val="0055673D"/>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03F8"/>
    <w:rsid w:val="005D2DDA"/>
    <w:rsid w:val="005E3A3E"/>
    <w:rsid w:val="005E3CEC"/>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54AE"/>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6D0"/>
    <w:rsid w:val="00776A63"/>
    <w:rsid w:val="00790C65"/>
    <w:rsid w:val="007930B7"/>
    <w:rsid w:val="0079316B"/>
    <w:rsid w:val="007A0565"/>
    <w:rsid w:val="007A0EAA"/>
    <w:rsid w:val="007A1247"/>
    <w:rsid w:val="007A1E0A"/>
    <w:rsid w:val="007A6F91"/>
    <w:rsid w:val="007A7D45"/>
    <w:rsid w:val="007B4ADA"/>
    <w:rsid w:val="007C0997"/>
    <w:rsid w:val="007C105C"/>
    <w:rsid w:val="007C1B00"/>
    <w:rsid w:val="007D0F1D"/>
    <w:rsid w:val="007D2881"/>
    <w:rsid w:val="007D31CE"/>
    <w:rsid w:val="007D3AD8"/>
    <w:rsid w:val="007D5BB7"/>
    <w:rsid w:val="007D6A69"/>
    <w:rsid w:val="007E0621"/>
    <w:rsid w:val="007E1DCE"/>
    <w:rsid w:val="007E4E37"/>
    <w:rsid w:val="007F4B07"/>
    <w:rsid w:val="008029A6"/>
    <w:rsid w:val="008147BA"/>
    <w:rsid w:val="008269B0"/>
    <w:rsid w:val="0083067E"/>
    <w:rsid w:val="00832357"/>
    <w:rsid w:val="0083488D"/>
    <w:rsid w:val="00845B6C"/>
    <w:rsid w:val="008466C3"/>
    <w:rsid w:val="00846809"/>
    <w:rsid w:val="00851458"/>
    <w:rsid w:val="00854AB0"/>
    <w:rsid w:val="00861A47"/>
    <w:rsid w:val="008707FF"/>
    <w:rsid w:val="00871F5C"/>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079B3"/>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7105"/>
    <w:rsid w:val="00B11AE3"/>
    <w:rsid w:val="00B121A6"/>
    <w:rsid w:val="00B300B8"/>
    <w:rsid w:val="00B32A28"/>
    <w:rsid w:val="00B33904"/>
    <w:rsid w:val="00B3751E"/>
    <w:rsid w:val="00B427FE"/>
    <w:rsid w:val="00B51737"/>
    <w:rsid w:val="00B525D9"/>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196A"/>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75D4F"/>
    <w:rsid w:val="00C87194"/>
    <w:rsid w:val="00C90629"/>
    <w:rsid w:val="00C90C51"/>
    <w:rsid w:val="00CA3ED6"/>
    <w:rsid w:val="00CA7CF4"/>
    <w:rsid w:val="00CB0B50"/>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0810"/>
    <w:rsid w:val="00D020F3"/>
    <w:rsid w:val="00D04515"/>
    <w:rsid w:val="00D065AD"/>
    <w:rsid w:val="00D22831"/>
    <w:rsid w:val="00D404B7"/>
    <w:rsid w:val="00D44509"/>
    <w:rsid w:val="00D448CB"/>
    <w:rsid w:val="00D47226"/>
    <w:rsid w:val="00D47ED5"/>
    <w:rsid w:val="00D61779"/>
    <w:rsid w:val="00D73DB6"/>
    <w:rsid w:val="00D7501D"/>
    <w:rsid w:val="00D809E5"/>
    <w:rsid w:val="00D81948"/>
    <w:rsid w:val="00D86816"/>
    <w:rsid w:val="00D90819"/>
    <w:rsid w:val="00D93291"/>
    <w:rsid w:val="00D9501F"/>
    <w:rsid w:val="00DA57B6"/>
    <w:rsid w:val="00DB50D5"/>
    <w:rsid w:val="00DC5537"/>
    <w:rsid w:val="00DD11EE"/>
    <w:rsid w:val="00DD52A0"/>
    <w:rsid w:val="00DE5590"/>
    <w:rsid w:val="00DE6364"/>
    <w:rsid w:val="00DF1D9E"/>
    <w:rsid w:val="00DF3DA3"/>
    <w:rsid w:val="00DF5DA4"/>
    <w:rsid w:val="00E03AD1"/>
    <w:rsid w:val="00E06492"/>
    <w:rsid w:val="00E065CE"/>
    <w:rsid w:val="00E06A00"/>
    <w:rsid w:val="00E13E03"/>
    <w:rsid w:val="00E22B99"/>
    <w:rsid w:val="00E24A9D"/>
    <w:rsid w:val="00E258D9"/>
    <w:rsid w:val="00E35B8C"/>
    <w:rsid w:val="00E439CA"/>
    <w:rsid w:val="00E46DDB"/>
    <w:rsid w:val="00E473F3"/>
    <w:rsid w:val="00E5219B"/>
    <w:rsid w:val="00E54863"/>
    <w:rsid w:val="00E56905"/>
    <w:rsid w:val="00E64BE4"/>
    <w:rsid w:val="00E85565"/>
    <w:rsid w:val="00E87F91"/>
    <w:rsid w:val="00E94BC6"/>
    <w:rsid w:val="00EA0563"/>
    <w:rsid w:val="00EA198F"/>
    <w:rsid w:val="00EA2EA1"/>
    <w:rsid w:val="00EA3CB9"/>
    <w:rsid w:val="00EA59EB"/>
    <w:rsid w:val="00EA67F3"/>
    <w:rsid w:val="00EB48F8"/>
    <w:rsid w:val="00EB7F2E"/>
    <w:rsid w:val="00ED0C60"/>
    <w:rsid w:val="00ED3D26"/>
    <w:rsid w:val="00ED5218"/>
    <w:rsid w:val="00EE1D9D"/>
    <w:rsid w:val="00EF0BCB"/>
    <w:rsid w:val="00EF0E74"/>
    <w:rsid w:val="00EF2549"/>
    <w:rsid w:val="00F00E8A"/>
    <w:rsid w:val="00F13E5C"/>
    <w:rsid w:val="00F16242"/>
    <w:rsid w:val="00F17FCB"/>
    <w:rsid w:val="00F226CC"/>
    <w:rsid w:val="00F22C5F"/>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73A8A"/>
  <w15:docId w15:val="{CAA8702A-AEC6-47D1-89F1-4D7AE62F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paragraph" w:customStyle="1" w:styleId="i">
    <w:name w:val="(i)"/>
    <w:basedOn w:val="Normal"/>
    <w:link w:val="iChar"/>
    <w:autoRedefine/>
    <w:qFormat/>
    <w:rsid w:val="007C0997"/>
    <w:pPr>
      <w:numPr>
        <w:numId w:val="75"/>
      </w:numPr>
      <w:autoSpaceDE w:val="0"/>
      <w:autoSpaceDN w:val="0"/>
      <w:adjustRightInd w:val="0"/>
      <w:spacing w:before="120"/>
      <w:ind w:right="284"/>
      <w:jc w:val="both"/>
    </w:pPr>
    <w:rPr>
      <w:rFonts w:ascii="Arial" w:eastAsia="SimSun" w:hAnsi="Arial" w:cs="Arial"/>
      <w:w w:val="90"/>
      <w:szCs w:val="22"/>
      <w:lang w:val="en-US"/>
    </w:rPr>
  </w:style>
  <w:style w:type="character" w:customStyle="1" w:styleId="iChar">
    <w:name w:val="(i) Char"/>
    <w:link w:val="i"/>
    <w:locked/>
    <w:rsid w:val="007C0997"/>
    <w:rPr>
      <w:rFonts w:ascii="Arial" w:hAnsi="Arial" w:cs="Arial"/>
      <w:w w:val="90"/>
      <w:sz w:val="22"/>
      <w:szCs w:val="22"/>
      <w:lang w:eastAsia="fr-FR" w:bidi="ar-SA"/>
    </w:rPr>
  </w:style>
  <w:style w:type="character" w:customStyle="1" w:styleId="UnresolvedMention20">
    <w:name w:val="Unresolved Mention2"/>
    <w:basedOn w:val="DefaultParagraphFont"/>
    <w:uiPriority w:val="99"/>
    <w:semiHidden/>
    <w:unhideWhenUsed/>
    <w:rsid w:val="00D7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1733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8648-2E44-4F08-926F-1C4DBAE1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2019-07-24T00:17:00Z</dcterms:created>
  <dcterms:modified xsi:type="dcterms:W3CDTF">2019-12-06T17:07:00Z</dcterms:modified>
</cp:coreProperties>
</file>