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EBA0" w14:textId="77777777" w:rsidR="00D66F11" w:rsidRPr="00220160" w:rsidRDefault="00D66F11" w:rsidP="00FB3A27">
      <w:pPr>
        <w:pageBreakBefore/>
        <w:bidi/>
        <w:jc w:val="center"/>
        <w:rPr>
          <w:b/>
          <w:bCs/>
          <w:sz w:val="28"/>
          <w:szCs w:val="28"/>
        </w:rPr>
      </w:pPr>
      <w:r w:rsidRPr="00220160">
        <w:rPr>
          <w:b/>
          <w:bCs/>
          <w:sz w:val="28"/>
          <w:szCs w:val="28"/>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220160" w14:paraId="7BB6FFEA" w14:textId="77777777" w:rsidTr="000C55B2">
        <w:trPr>
          <w:cantSplit/>
        </w:trPr>
        <w:tc>
          <w:tcPr>
            <w:tcW w:w="786" w:type="pct"/>
            <w:shd w:val="clear" w:color="auto" w:fill="auto"/>
          </w:tcPr>
          <w:p w14:paraId="341893AF" w14:textId="07D03382" w:rsidR="005473CF" w:rsidRPr="008A1EEB" w:rsidRDefault="000C55B2" w:rsidP="00FB3A27">
            <w:pPr>
              <w:bidi/>
              <w:spacing w:before="120"/>
              <w:jc w:val="both"/>
              <w:rPr>
                <w:b/>
                <w:sz w:val="24"/>
              </w:rPr>
            </w:pPr>
            <w:r w:rsidRPr="008A1EEB">
              <w:rPr>
                <w:b/>
                <w:bCs/>
                <w:sz w:val="24"/>
                <w:rtl/>
                <w:lang w:bidi="ar-EG"/>
              </w:rPr>
              <w:t>المؤشر</w:t>
            </w:r>
          </w:p>
        </w:tc>
        <w:tc>
          <w:tcPr>
            <w:tcW w:w="4214" w:type="pct"/>
            <w:gridSpan w:val="2"/>
            <w:shd w:val="clear" w:color="auto" w:fill="auto"/>
          </w:tcPr>
          <w:p w14:paraId="2DE66B81" w14:textId="24C5447E" w:rsidR="005473CF" w:rsidRPr="008A1EEB" w:rsidRDefault="00145F1C" w:rsidP="00FB3A27">
            <w:pPr>
              <w:pStyle w:val="ListParagraph"/>
              <w:keepLines/>
              <w:numPr>
                <w:ilvl w:val="0"/>
                <w:numId w:val="76"/>
              </w:numPr>
              <w:bidi/>
              <w:spacing w:before="120"/>
              <w:jc w:val="both"/>
              <w:rPr>
                <w:bCs/>
                <w:sz w:val="24"/>
                <w:szCs w:val="24"/>
              </w:rPr>
            </w:pPr>
            <w:r w:rsidRPr="008A1EEB">
              <w:rPr>
                <w:bCs/>
                <w:sz w:val="24"/>
                <w:szCs w:val="24"/>
                <w:rtl/>
              </w:rPr>
              <w:t>مدى مشاركة الجماعات والمجموعات والأفراد على نطاق واسع في التوعية بأهمية التراث الثقافي غير المادي وصونه</w:t>
            </w:r>
          </w:p>
        </w:tc>
      </w:tr>
      <w:tr w:rsidR="005B0FE5" w:rsidRPr="00220160" w14:paraId="1FFD3A8D" w14:textId="77777777" w:rsidTr="000C55B2">
        <w:trPr>
          <w:cantSplit/>
        </w:trPr>
        <w:tc>
          <w:tcPr>
            <w:tcW w:w="786" w:type="pct"/>
            <w:vMerge w:val="restart"/>
            <w:shd w:val="clear" w:color="auto" w:fill="auto"/>
          </w:tcPr>
          <w:p w14:paraId="36849BDC" w14:textId="457825A5" w:rsidR="005B0FE5" w:rsidRPr="008A1EEB" w:rsidRDefault="000C55B2" w:rsidP="00FB3A27">
            <w:pPr>
              <w:bidi/>
              <w:spacing w:before="120"/>
              <w:jc w:val="both"/>
              <w:rPr>
                <w:b/>
                <w:sz w:val="24"/>
              </w:rPr>
            </w:pPr>
            <w:r w:rsidRPr="008A1EEB">
              <w:rPr>
                <w:b/>
                <w:bCs/>
                <w:sz w:val="24"/>
                <w:rtl/>
              </w:rPr>
              <w:t>عوامل التقييم الشامل</w:t>
            </w:r>
          </w:p>
        </w:tc>
        <w:tc>
          <w:tcPr>
            <w:tcW w:w="4214" w:type="pct"/>
            <w:gridSpan w:val="2"/>
            <w:shd w:val="clear" w:color="auto" w:fill="auto"/>
          </w:tcPr>
          <w:p w14:paraId="185C1779" w14:textId="3917BB71" w:rsidR="005B0FE5" w:rsidRPr="008A1EEB" w:rsidRDefault="000C55B2" w:rsidP="00FB3A27">
            <w:pPr>
              <w:keepLines/>
              <w:bidi/>
              <w:spacing w:before="120"/>
              <w:jc w:val="both"/>
              <w:rPr>
                <w:b/>
                <w:sz w:val="24"/>
              </w:rPr>
            </w:pPr>
            <w:r w:rsidRPr="008A1EEB">
              <w:rPr>
                <w:sz w:val="24"/>
                <w:rtl/>
              </w:rPr>
              <w:t xml:space="preserve">يتم تقييم هذا المؤشر على أساس خمسة عوامل على الصعيد القطري ترصدها كل دولة طرف </w:t>
            </w:r>
            <w:r w:rsidR="00145F86" w:rsidRPr="008A1EEB">
              <w:rPr>
                <w:rFonts w:hint="cs"/>
                <w:sz w:val="24"/>
                <w:rtl/>
              </w:rPr>
              <w:t>و</w:t>
            </w:r>
            <w:r w:rsidR="00BA5AF8" w:rsidRPr="008A1EEB">
              <w:rPr>
                <w:rFonts w:hint="cs"/>
                <w:sz w:val="24"/>
                <w:rtl/>
                <w:lang w:bidi="ar-EG"/>
              </w:rPr>
              <w:t>ت</w:t>
            </w:r>
            <w:r w:rsidR="009122B5">
              <w:rPr>
                <w:rFonts w:hint="cs"/>
                <w:sz w:val="24"/>
                <w:rtl/>
                <w:lang w:bidi="ar-EG"/>
              </w:rPr>
              <w:t xml:space="preserve">عد </w:t>
            </w:r>
            <w:proofErr w:type="gramStart"/>
            <w:r w:rsidR="009122B5">
              <w:rPr>
                <w:rFonts w:hint="cs"/>
                <w:sz w:val="24"/>
                <w:rtl/>
                <w:lang w:bidi="ar-EG"/>
              </w:rPr>
              <w:t xml:space="preserve">التقرير </w:t>
            </w:r>
            <w:r w:rsidR="00BA5AF8" w:rsidRPr="008A1EEB">
              <w:rPr>
                <w:rFonts w:hint="cs"/>
                <w:sz w:val="24"/>
                <w:rtl/>
                <w:lang w:bidi="ar-EG"/>
              </w:rPr>
              <w:t xml:space="preserve"> عنها</w:t>
            </w:r>
            <w:proofErr w:type="gramEnd"/>
            <w:r w:rsidRPr="008A1EEB">
              <w:rPr>
                <w:sz w:val="24"/>
                <w:rtl/>
              </w:rPr>
              <w:t>:</w:t>
            </w:r>
          </w:p>
        </w:tc>
      </w:tr>
      <w:tr w:rsidR="00E007AE" w:rsidRPr="00220160" w14:paraId="74A158F9" w14:textId="77777777" w:rsidTr="000C55B2">
        <w:trPr>
          <w:cantSplit/>
        </w:trPr>
        <w:tc>
          <w:tcPr>
            <w:tcW w:w="786" w:type="pct"/>
            <w:vMerge/>
            <w:shd w:val="clear" w:color="auto" w:fill="auto"/>
          </w:tcPr>
          <w:p w14:paraId="50BBF289" w14:textId="77777777" w:rsidR="00E007AE" w:rsidRPr="008A1EEB" w:rsidRDefault="00E007AE" w:rsidP="00FB3A27">
            <w:pPr>
              <w:bidi/>
              <w:spacing w:before="120"/>
              <w:jc w:val="both"/>
              <w:rPr>
                <w:b/>
                <w:sz w:val="24"/>
              </w:rPr>
            </w:pPr>
          </w:p>
        </w:tc>
        <w:tc>
          <w:tcPr>
            <w:tcW w:w="3418" w:type="pct"/>
            <w:shd w:val="clear" w:color="auto" w:fill="auto"/>
            <w:vAlign w:val="center"/>
          </w:tcPr>
          <w:p w14:paraId="7626B3D2" w14:textId="4EFF2BAB" w:rsidR="00E007AE" w:rsidRPr="008A1EEB" w:rsidRDefault="002A0454" w:rsidP="00FB3A27">
            <w:pPr>
              <w:keepLines/>
              <w:bidi/>
              <w:spacing w:before="120"/>
              <w:jc w:val="both"/>
              <w:rPr>
                <w:sz w:val="24"/>
              </w:rPr>
            </w:pPr>
            <w:r w:rsidRPr="008A1EEB">
              <w:rPr>
                <w:sz w:val="24"/>
                <w:rtl/>
              </w:rPr>
              <w:t>17-1 عكس إجراءات التوعية للمشاركة الشاملة والأوسع للجماعات والمجموعات والأفراد المعنيين.</w:t>
            </w:r>
          </w:p>
        </w:tc>
        <w:tc>
          <w:tcPr>
            <w:tcW w:w="796" w:type="pct"/>
            <w:shd w:val="clear" w:color="auto" w:fill="auto"/>
            <w:vAlign w:val="center"/>
          </w:tcPr>
          <w:p w14:paraId="45CD6B7C" w14:textId="6D6B8BCB" w:rsidR="00E007AE" w:rsidRPr="008A1EEB" w:rsidRDefault="00B421C6" w:rsidP="00FB3A27">
            <w:pPr>
              <w:keepLines/>
              <w:bidi/>
              <w:spacing w:before="120"/>
              <w:jc w:val="both"/>
              <w:rPr>
                <w:sz w:val="24"/>
                <w:rtl/>
                <w:lang w:bidi="ar-EG"/>
              </w:rPr>
            </w:pPr>
            <w:r w:rsidRPr="008A1EEB">
              <w:rPr>
                <w:rFonts w:hint="cs"/>
                <w:sz w:val="24"/>
                <w:rtl/>
              </w:rPr>
              <w:t xml:space="preserve">التوجيه </w:t>
            </w:r>
            <w:r w:rsidR="001F3820" w:rsidRPr="008A1EEB">
              <w:rPr>
                <w:rFonts w:hint="cs"/>
                <w:sz w:val="24"/>
                <w:rtl/>
              </w:rPr>
              <w:t>التنفيذي</w:t>
            </w:r>
            <w:r w:rsidRPr="008A1EEB">
              <w:rPr>
                <w:rFonts w:hint="cs"/>
                <w:sz w:val="24"/>
                <w:rtl/>
              </w:rPr>
              <w:t xml:space="preserve"> </w:t>
            </w:r>
            <w:r w:rsidR="00E007AE" w:rsidRPr="008A1EEB">
              <w:rPr>
                <w:sz w:val="24"/>
              </w:rPr>
              <w:t xml:space="preserve"> </w:t>
            </w:r>
            <w:r w:rsidR="00145F86" w:rsidRPr="008A1EEB">
              <w:rPr>
                <w:rFonts w:hint="cs"/>
                <w:sz w:val="24"/>
                <w:rtl/>
                <w:lang w:bidi="ar-EG"/>
              </w:rPr>
              <w:t xml:space="preserve"> 101</w:t>
            </w:r>
          </w:p>
        </w:tc>
      </w:tr>
      <w:tr w:rsidR="00E007AE" w:rsidRPr="00220160" w14:paraId="65C77049" w14:textId="77777777" w:rsidTr="000C55B2">
        <w:trPr>
          <w:cantSplit/>
        </w:trPr>
        <w:tc>
          <w:tcPr>
            <w:tcW w:w="786" w:type="pct"/>
            <w:vMerge/>
            <w:shd w:val="clear" w:color="auto" w:fill="auto"/>
          </w:tcPr>
          <w:p w14:paraId="6CDF3BFE" w14:textId="77777777" w:rsidR="00E007AE" w:rsidRPr="008A1EEB" w:rsidRDefault="00E007AE" w:rsidP="00FB3A27">
            <w:pPr>
              <w:bidi/>
              <w:spacing w:before="120"/>
              <w:jc w:val="both"/>
              <w:rPr>
                <w:b/>
                <w:sz w:val="24"/>
              </w:rPr>
            </w:pPr>
          </w:p>
        </w:tc>
        <w:tc>
          <w:tcPr>
            <w:tcW w:w="3418" w:type="pct"/>
            <w:shd w:val="clear" w:color="auto" w:fill="auto"/>
            <w:vAlign w:val="center"/>
          </w:tcPr>
          <w:p w14:paraId="4B0D8312" w14:textId="2CD7FDC4" w:rsidR="00E007AE" w:rsidRPr="008A1EEB" w:rsidRDefault="002A0454" w:rsidP="00FB3A27">
            <w:pPr>
              <w:keepLines/>
              <w:bidi/>
              <w:spacing w:before="120"/>
              <w:jc w:val="both"/>
              <w:rPr>
                <w:sz w:val="24"/>
              </w:rPr>
            </w:pPr>
            <w:r w:rsidRPr="008A1EEB">
              <w:rPr>
                <w:sz w:val="24"/>
                <w:rtl/>
              </w:rPr>
              <w:t>17-2 ضمان الحصول على الموافقة الحرة والمسبقة والمستمرة والمستنيرة للجماعات والمجموعات والأفراد المعنيين قصد القيام بأنشطة التوعية بشأن عناصر محدّدة من تراثهم الثقافي غير المادي.</w:t>
            </w:r>
          </w:p>
        </w:tc>
        <w:tc>
          <w:tcPr>
            <w:tcW w:w="796" w:type="pct"/>
            <w:shd w:val="clear" w:color="auto" w:fill="auto"/>
            <w:vAlign w:val="center"/>
          </w:tcPr>
          <w:p w14:paraId="606A36DC" w14:textId="09CC8F56" w:rsidR="00E007AE" w:rsidRPr="008A1EEB" w:rsidRDefault="00B421C6" w:rsidP="00FB3A27">
            <w:pPr>
              <w:bidi/>
              <w:spacing w:before="60" w:after="60"/>
              <w:jc w:val="both"/>
              <w:rPr>
                <w:sz w:val="24"/>
              </w:rPr>
            </w:pPr>
            <w:r w:rsidRPr="008A1EEB">
              <w:rPr>
                <w:rFonts w:hint="cs"/>
                <w:sz w:val="24"/>
                <w:rtl/>
              </w:rPr>
              <w:t xml:space="preserve">التوجيه </w:t>
            </w:r>
            <w:r w:rsidR="001F3820" w:rsidRPr="008A1EEB">
              <w:rPr>
                <w:rFonts w:hint="cs"/>
                <w:sz w:val="24"/>
                <w:rtl/>
              </w:rPr>
              <w:t xml:space="preserve">التنفيذي </w:t>
            </w:r>
            <w:r w:rsidR="00145F86" w:rsidRPr="008A1EEB">
              <w:rPr>
                <w:rFonts w:hint="cs"/>
                <w:sz w:val="24"/>
                <w:rtl/>
              </w:rPr>
              <w:t>101</w:t>
            </w:r>
          </w:p>
        </w:tc>
      </w:tr>
      <w:tr w:rsidR="00E007AE" w:rsidRPr="00220160" w14:paraId="01677508" w14:textId="77777777" w:rsidTr="000C55B2">
        <w:trPr>
          <w:cantSplit/>
        </w:trPr>
        <w:tc>
          <w:tcPr>
            <w:tcW w:w="786" w:type="pct"/>
            <w:vMerge/>
            <w:shd w:val="clear" w:color="auto" w:fill="auto"/>
          </w:tcPr>
          <w:p w14:paraId="2F2B7C9C" w14:textId="77777777" w:rsidR="00E007AE" w:rsidRPr="008A1EEB" w:rsidRDefault="00E007AE" w:rsidP="00FB3A27">
            <w:pPr>
              <w:bidi/>
              <w:spacing w:before="120"/>
              <w:jc w:val="both"/>
              <w:rPr>
                <w:b/>
                <w:sz w:val="24"/>
              </w:rPr>
            </w:pPr>
          </w:p>
        </w:tc>
        <w:tc>
          <w:tcPr>
            <w:tcW w:w="3418" w:type="pct"/>
            <w:shd w:val="clear" w:color="auto" w:fill="auto"/>
            <w:vAlign w:val="center"/>
          </w:tcPr>
          <w:p w14:paraId="32582937" w14:textId="3C27D405" w:rsidR="00E007AE" w:rsidRPr="008A1EEB" w:rsidRDefault="002A0454" w:rsidP="00FB3A27">
            <w:pPr>
              <w:keepLines/>
              <w:bidi/>
              <w:spacing w:before="120"/>
              <w:jc w:val="both"/>
              <w:rPr>
                <w:sz w:val="24"/>
              </w:rPr>
            </w:pPr>
            <w:r w:rsidRPr="008A1EEB">
              <w:rPr>
                <w:sz w:val="24"/>
                <w:rtl/>
              </w:rPr>
              <w:t>17-3 حماية حقوق الجماعات والمجموعات والأفراد ومصالحهم المعنوية والمادية على النحو الواجب عند التوعية بشأن تراثهم الثقافي غير المادي.</w:t>
            </w:r>
          </w:p>
        </w:tc>
        <w:tc>
          <w:tcPr>
            <w:tcW w:w="796" w:type="pct"/>
            <w:shd w:val="clear" w:color="auto" w:fill="auto"/>
            <w:vAlign w:val="center"/>
          </w:tcPr>
          <w:p w14:paraId="75648A71" w14:textId="6CB16F42" w:rsidR="00B421C6" w:rsidRPr="008A1EEB" w:rsidRDefault="00B421C6" w:rsidP="00FB3A27">
            <w:pPr>
              <w:bidi/>
              <w:spacing w:before="60" w:after="60"/>
              <w:jc w:val="both"/>
              <w:rPr>
                <w:sz w:val="24"/>
              </w:rPr>
            </w:pPr>
            <w:r w:rsidRPr="008A1EEB">
              <w:rPr>
                <w:sz w:val="24"/>
                <w:rtl/>
              </w:rPr>
              <w:t xml:space="preserve">التوجيه </w:t>
            </w:r>
            <w:r w:rsidR="001F3820" w:rsidRPr="008A1EEB">
              <w:rPr>
                <w:rFonts w:hint="cs"/>
                <w:sz w:val="24"/>
                <w:rtl/>
              </w:rPr>
              <w:t>التنفيذي</w:t>
            </w:r>
            <w:r w:rsidR="001F3820" w:rsidRPr="008A1EEB">
              <w:rPr>
                <w:sz w:val="24"/>
                <w:rtl/>
              </w:rPr>
              <w:t xml:space="preserve"> </w:t>
            </w:r>
            <w:r w:rsidRPr="008A1EEB">
              <w:rPr>
                <w:sz w:val="24"/>
                <w:rtl/>
              </w:rPr>
              <w:t>101 (ب)،</w:t>
            </w:r>
            <w:r w:rsidR="00D26CA8" w:rsidRPr="008A1EEB">
              <w:rPr>
                <w:rFonts w:hint="cs"/>
                <w:sz w:val="24"/>
                <w:rtl/>
              </w:rPr>
              <w:t xml:space="preserve"> و</w:t>
            </w:r>
            <w:r w:rsidRPr="008A1EEB">
              <w:rPr>
                <w:sz w:val="24"/>
                <w:rtl/>
              </w:rPr>
              <w:t xml:space="preserve">التوجيه </w:t>
            </w:r>
            <w:r w:rsidR="001F3820" w:rsidRPr="008A1EEB">
              <w:rPr>
                <w:rFonts w:hint="cs"/>
                <w:sz w:val="24"/>
                <w:rtl/>
              </w:rPr>
              <w:t>التنفيذي</w:t>
            </w:r>
            <w:r w:rsidR="001F3820" w:rsidRPr="008A1EEB">
              <w:rPr>
                <w:sz w:val="24"/>
                <w:rtl/>
              </w:rPr>
              <w:t xml:space="preserve"> </w:t>
            </w:r>
            <w:r w:rsidRPr="008A1EEB">
              <w:rPr>
                <w:sz w:val="24"/>
                <w:rtl/>
              </w:rPr>
              <w:t>101 (د)،</w:t>
            </w:r>
          </w:p>
          <w:p w14:paraId="3F519E3E" w14:textId="5CD5F100" w:rsidR="00B421C6" w:rsidRPr="008A1EEB" w:rsidRDefault="00D26CA8" w:rsidP="00FB3A27">
            <w:pPr>
              <w:bidi/>
              <w:spacing w:before="60" w:after="60"/>
              <w:jc w:val="both"/>
              <w:rPr>
                <w:sz w:val="24"/>
              </w:rPr>
            </w:pPr>
            <w:r w:rsidRPr="008A1EEB">
              <w:rPr>
                <w:rFonts w:hint="cs"/>
                <w:sz w:val="24"/>
                <w:rtl/>
              </w:rPr>
              <w:t>و</w:t>
            </w:r>
            <w:r w:rsidR="00B421C6" w:rsidRPr="008A1EEB">
              <w:rPr>
                <w:sz w:val="24"/>
                <w:rtl/>
              </w:rPr>
              <w:t xml:space="preserve">التوجيه </w:t>
            </w:r>
            <w:r w:rsidR="001F3820" w:rsidRPr="008A1EEB">
              <w:rPr>
                <w:rFonts w:hint="cs"/>
                <w:sz w:val="24"/>
                <w:rtl/>
              </w:rPr>
              <w:t>التنفيذي</w:t>
            </w:r>
            <w:r w:rsidR="001F3820" w:rsidRPr="008A1EEB">
              <w:rPr>
                <w:sz w:val="24"/>
                <w:rtl/>
              </w:rPr>
              <w:t xml:space="preserve"> </w:t>
            </w:r>
            <w:r w:rsidR="00B421C6" w:rsidRPr="008A1EEB">
              <w:rPr>
                <w:sz w:val="24"/>
                <w:rtl/>
              </w:rPr>
              <w:t>104،</w:t>
            </w:r>
            <w:r w:rsidRPr="008A1EEB">
              <w:rPr>
                <w:rFonts w:hint="cs"/>
                <w:sz w:val="24"/>
                <w:rtl/>
              </w:rPr>
              <w:t xml:space="preserve"> و</w:t>
            </w:r>
            <w:r w:rsidR="00B421C6" w:rsidRPr="008A1EEB">
              <w:rPr>
                <w:sz w:val="24"/>
                <w:rtl/>
              </w:rPr>
              <w:t xml:space="preserve">التوجيه </w:t>
            </w:r>
            <w:r w:rsidR="001F3820" w:rsidRPr="008A1EEB">
              <w:rPr>
                <w:rFonts w:hint="cs"/>
                <w:sz w:val="24"/>
                <w:rtl/>
              </w:rPr>
              <w:t>التنفيذي</w:t>
            </w:r>
            <w:r w:rsidR="001F3820" w:rsidRPr="008A1EEB">
              <w:rPr>
                <w:sz w:val="24"/>
                <w:rtl/>
              </w:rPr>
              <w:t xml:space="preserve"> </w:t>
            </w:r>
            <w:r w:rsidR="00B421C6" w:rsidRPr="008A1EEB">
              <w:rPr>
                <w:sz w:val="24"/>
                <w:rtl/>
              </w:rPr>
              <w:t>171</w:t>
            </w:r>
          </w:p>
          <w:p w14:paraId="4663E57B" w14:textId="012B0749" w:rsidR="00E007AE" w:rsidRPr="008A1EEB" w:rsidRDefault="001F3820" w:rsidP="00FB3A27">
            <w:pPr>
              <w:keepLines/>
              <w:bidi/>
              <w:spacing w:before="120"/>
              <w:jc w:val="both"/>
              <w:rPr>
                <w:sz w:val="24"/>
              </w:rPr>
            </w:pPr>
            <w:r w:rsidRPr="008A1EEB">
              <w:rPr>
                <w:rFonts w:hint="cs"/>
                <w:sz w:val="24"/>
                <w:rtl/>
              </w:rPr>
              <w:t>المبد</w:t>
            </w:r>
            <w:r w:rsidR="00D26CA8" w:rsidRPr="008A1EEB">
              <w:rPr>
                <w:rFonts w:hint="cs"/>
                <w:sz w:val="24"/>
                <w:rtl/>
              </w:rPr>
              <w:t>أ</w:t>
            </w:r>
            <w:r w:rsidRPr="008A1EEB">
              <w:rPr>
                <w:rFonts w:hint="cs"/>
                <w:sz w:val="24"/>
                <w:rtl/>
              </w:rPr>
              <w:t xml:space="preserve"> الأخلاقي</w:t>
            </w:r>
            <w:r w:rsidR="00B421C6" w:rsidRPr="008A1EEB">
              <w:rPr>
                <w:sz w:val="24"/>
                <w:rtl/>
              </w:rPr>
              <w:t xml:space="preserve"> 7</w:t>
            </w:r>
          </w:p>
        </w:tc>
      </w:tr>
      <w:tr w:rsidR="00E007AE" w:rsidRPr="00220160" w14:paraId="13244CBB" w14:textId="77777777" w:rsidTr="000C55B2">
        <w:trPr>
          <w:cantSplit/>
        </w:trPr>
        <w:tc>
          <w:tcPr>
            <w:tcW w:w="786" w:type="pct"/>
            <w:vMerge/>
            <w:shd w:val="clear" w:color="auto" w:fill="auto"/>
          </w:tcPr>
          <w:p w14:paraId="7901631C" w14:textId="77777777" w:rsidR="00E007AE" w:rsidRPr="008A1EEB" w:rsidRDefault="00E007AE" w:rsidP="00FB3A27">
            <w:pPr>
              <w:bidi/>
              <w:spacing w:before="120"/>
              <w:jc w:val="both"/>
              <w:rPr>
                <w:b/>
                <w:sz w:val="24"/>
              </w:rPr>
            </w:pPr>
          </w:p>
        </w:tc>
        <w:tc>
          <w:tcPr>
            <w:tcW w:w="3418" w:type="pct"/>
            <w:shd w:val="clear" w:color="auto" w:fill="auto"/>
            <w:vAlign w:val="center"/>
          </w:tcPr>
          <w:p w14:paraId="454413A5" w14:textId="3E672AA0" w:rsidR="00E007AE" w:rsidRPr="008A1EEB" w:rsidRDefault="002A0454" w:rsidP="00FB3A27">
            <w:pPr>
              <w:keepLines/>
              <w:bidi/>
              <w:spacing w:before="120"/>
              <w:jc w:val="both"/>
              <w:rPr>
                <w:sz w:val="24"/>
              </w:rPr>
            </w:pPr>
            <w:r w:rsidRPr="008A1EEB">
              <w:rPr>
                <w:sz w:val="24"/>
                <w:rtl/>
              </w:rPr>
              <w:t>17-4 إشراك الشباب بشكل فاعل في أنشطة التوعية، بما في ذلك تجميع المعلومات حول التراث الثقافي غير المادي لجماعاتهم أو مجموعاتهم ونشرها.</w:t>
            </w:r>
          </w:p>
        </w:tc>
        <w:tc>
          <w:tcPr>
            <w:tcW w:w="796" w:type="pct"/>
            <w:shd w:val="clear" w:color="auto" w:fill="auto"/>
            <w:vAlign w:val="center"/>
          </w:tcPr>
          <w:p w14:paraId="46918202" w14:textId="77777777" w:rsidR="00DD35E7" w:rsidRPr="008A1EEB" w:rsidRDefault="00DD35E7" w:rsidP="00FB3A27">
            <w:pPr>
              <w:bidi/>
              <w:spacing w:before="60" w:after="60"/>
              <w:jc w:val="both"/>
              <w:rPr>
                <w:sz w:val="24"/>
              </w:rPr>
            </w:pPr>
            <w:r w:rsidRPr="008A1EEB">
              <w:rPr>
                <w:sz w:val="24"/>
                <w:rtl/>
              </w:rPr>
              <w:t>المادة 14 (أ) (1)</w:t>
            </w:r>
          </w:p>
          <w:p w14:paraId="5F7E80E9" w14:textId="3D3C69C6" w:rsidR="00E007AE" w:rsidRPr="008A1EEB" w:rsidRDefault="00DD35E7" w:rsidP="00FB3A27">
            <w:pPr>
              <w:keepLines/>
              <w:bidi/>
              <w:spacing w:before="120"/>
              <w:jc w:val="both"/>
              <w:rPr>
                <w:sz w:val="24"/>
              </w:rPr>
            </w:pPr>
            <w:r w:rsidRPr="008A1EEB">
              <w:rPr>
                <w:sz w:val="24"/>
                <w:rtl/>
              </w:rPr>
              <w:t xml:space="preserve">التوجيه </w:t>
            </w:r>
            <w:r w:rsidR="001F3820" w:rsidRPr="008A1EEB">
              <w:rPr>
                <w:rFonts w:hint="cs"/>
                <w:sz w:val="24"/>
                <w:rtl/>
              </w:rPr>
              <w:t>التنفيذي</w:t>
            </w:r>
            <w:r w:rsidR="001F3820" w:rsidRPr="008A1EEB">
              <w:rPr>
                <w:sz w:val="24"/>
                <w:rtl/>
              </w:rPr>
              <w:t xml:space="preserve"> </w:t>
            </w:r>
            <w:r w:rsidRPr="008A1EEB">
              <w:rPr>
                <w:sz w:val="24"/>
                <w:rtl/>
              </w:rPr>
              <w:t>107 (و)</w:t>
            </w:r>
          </w:p>
        </w:tc>
      </w:tr>
      <w:tr w:rsidR="00E007AE" w:rsidRPr="00220160" w14:paraId="1F1D8665" w14:textId="77777777" w:rsidTr="000C55B2">
        <w:trPr>
          <w:cantSplit/>
        </w:trPr>
        <w:tc>
          <w:tcPr>
            <w:tcW w:w="786" w:type="pct"/>
            <w:vMerge/>
            <w:shd w:val="clear" w:color="auto" w:fill="auto"/>
          </w:tcPr>
          <w:p w14:paraId="72A04C7D" w14:textId="77777777" w:rsidR="00E007AE" w:rsidRPr="008A1EEB" w:rsidRDefault="00E007AE" w:rsidP="00FB3A27">
            <w:pPr>
              <w:bidi/>
              <w:spacing w:before="120"/>
              <w:jc w:val="both"/>
              <w:rPr>
                <w:b/>
                <w:sz w:val="24"/>
              </w:rPr>
            </w:pPr>
          </w:p>
        </w:tc>
        <w:tc>
          <w:tcPr>
            <w:tcW w:w="3418" w:type="pct"/>
            <w:shd w:val="clear" w:color="auto" w:fill="auto"/>
            <w:vAlign w:val="center"/>
          </w:tcPr>
          <w:p w14:paraId="0AA35E36" w14:textId="18BDCB94" w:rsidR="00E007AE" w:rsidRPr="008A1EEB" w:rsidRDefault="002A0454" w:rsidP="00FB3A27">
            <w:pPr>
              <w:keepLines/>
              <w:bidi/>
              <w:spacing w:before="120"/>
              <w:jc w:val="both"/>
              <w:rPr>
                <w:sz w:val="24"/>
              </w:rPr>
            </w:pPr>
            <w:r w:rsidRPr="008A1EEB">
              <w:rPr>
                <w:sz w:val="24"/>
                <w:rtl/>
              </w:rPr>
              <w:t>17-5 استخدام الجماعات والمجموعات والأفراد لتكنولوجيات المعلومات والاتصالات وجميع أشكال وسائل الإعلام، ولا سيما وسائل الإعلام الجديدة، للتوعية بأهمية التراث الثقافي غير المادي وصونه.</w:t>
            </w:r>
          </w:p>
        </w:tc>
        <w:tc>
          <w:tcPr>
            <w:tcW w:w="796" w:type="pct"/>
            <w:shd w:val="clear" w:color="auto" w:fill="auto"/>
            <w:vAlign w:val="center"/>
          </w:tcPr>
          <w:p w14:paraId="3861E867" w14:textId="77777777" w:rsidR="00E007AE" w:rsidRPr="008A1EEB" w:rsidRDefault="00E007AE" w:rsidP="00FB3A27">
            <w:pPr>
              <w:bidi/>
              <w:spacing w:before="60" w:after="60"/>
              <w:jc w:val="both"/>
              <w:rPr>
                <w:sz w:val="24"/>
              </w:rPr>
            </w:pPr>
          </w:p>
        </w:tc>
      </w:tr>
      <w:tr w:rsidR="005473CF" w:rsidRPr="00220160" w14:paraId="250F7714" w14:textId="77777777" w:rsidTr="000C55B2">
        <w:trPr>
          <w:cantSplit/>
        </w:trPr>
        <w:tc>
          <w:tcPr>
            <w:tcW w:w="786" w:type="pct"/>
            <w:shd w:val="clear" w:color="auto" w:fill="auto"/>
          </w:tcPr>
          <w:p w14:paraId="4AB99566" w14:textId="34AB5B8A" w:rsidR="005473CF" w:rsidRPr="008A1EEB" w:rsidRDefault="00A14ADF" w:rsidP="00FB3A27">
            <w:pPr>
              <w:bidi/>
              <w:spacing w:before="120"/>
              <w:jc w:val="both"/>
              <w:rPr>
                <w:b/>
                <w:sz w:val="24"/>
              </w:rPr>
            </w:pPr>
            <w:r w:rsidRPr="008A1EEB">
              <w:rPr>
                <w:b/>
                <w:bCs/>
                <w:sz w:val="24"/>
                <w:rtl/>
              </w:rPr>
              <w:t>العلاقة مع أهداف التنمية المستدامة والمؤشرات الأخرى</w:t>
            </w:r>
          </w:p>
        </w:tc>
        <w:tc>
          <w:tcPr>
            <w:tcW w:w="4214" w:type="pct"/>
            <w:gridSpan w:val="2"/>
            <w:shd w:val="clear" w:color="auto" w:fill="auto"/>
          </w:tcPr>
          <w:p w14:paraId="4CA5598C" w14:textId="79ED1B63" w:rsidR="005473CF" w:rsidRPr="008A1EEB" w:rsidRDefault="00F21E99" w:rsidP="00FB3A27">
            <w:pPr>
              <w:keepLines/>
              <w:bidi/>
              <w:spacing w:before="120"/>
              <w:jc w:val="both"/>
              <w:rPr>
                <w:sz w:val="24"/>
              </w:rPr>
            </w:pPr>
            <w:r w:rsidRPr="008A1EEB">
              <w:rPr>
                <w:b/>
                <w:bCs/>
                <w:sz w:val="24"/>
                <w:rtl/>
              </w:rPr>
              <w:t xml:space="preserve">أهداف التنمية المستدامة: </w:t>
            </w:r>
            <w:r w:rsidRPr="008A1EEB">
              <w:rPr>
                <w:sz w:val="24"/>
                <w:rtl/>
              </w:rPr>
              <w:t>يدعم هذا المؤشر الغاية 11-4 من أهداف التنمية المستدامة، "تعزيز الجهود الرامية إلى حماية وصون التراث الثقافي والطبيعي العالمي" ويساهم في الغاية 16-7 من أهداف التنمية المستدامة، "ضمان اتخاذ القرارات على نحو مستجيب للاحتياجات وشامل للجميع وتشاركي وتمثيلي على جميع المستويات". ونظرًا لأن النساء يشكلن جزءًا مهمًا من الجماعات والمجموعات والأفراد، فإنه يدعم الغاية 5</w:t>
            </w:r>
            <w:r w:rsidR="000448C2" w:rsidRPr="008A1EEB">
              <w:rPr>
                <w:rFonts w:hint="cs"/>
                <w:sz w:val="24"/>
                <w:rtl/>
              </w:rPr>
              <w:t>-</w:t>
            </w:r>
            <w:r w:rsidRPr="008A1EEB">
              <w:rPr>
                <w:sz w:val="24"/>
                <w:rtl/>
              </w:rPr>
              <w:t>ب من أهداف التنمية المستدامة، المتعلقة باستخدام تكنولوجيا المعلومات والاتصالات لتعزيز تمكين المرأة.</w:t>
            </w:r>
          </w:p>
          <w:p w14:paraId="7E69347C" w14:textId="572DA57A" w:rsidR="005473CF" w:rsidRPr="008A1EEB" w:rsidRDefault="007E2BB6" w:rsidP="00FB3A27">
            <w:pPr>
              <w:keepLines/>
              <w:bidi/>
              <w:spacing w:before="120"/>
              <w:jc w:val="both"/>
              <w:rPr>
                <w:bCs/>
                <w:sz w:val="24"/>
              </w:rPr>
            </w:pPr>
            <w:r w:rsidRPr="008A1EEB">
              <w:rPr>
                <w:bCs/>
                <w:sz w:val="24"/>
                <w:rtl/>
              </w:rPr>
              <w:t>العلاقة بالمؤشرات الأخرى:</w:t>
            </w:r>
            <w:r w:rsidRPr="008A1EEB">
              <w:rPr>
                <w:b/>
                <w:sz w:val="24"/>
                <w:rtl/>
              </w:rPr>
              <w:t xml:space="preserve"> كواحد من أربعة مؤشرات متعلقة ب</w:t>
            </w:r>
            <w:r w:rsidR="00F65A24" w:rsidRPr="008A1EEB">
              <w:rPr>
                <w:b/>
                <w:sz w:val="24"/>
                <w:rtl/>
              </w:rPr>
              <w:t>التوعية</w:t>
            </w:r>
            <w:r w:rsidRPr="008A1EEB">
              <w:rPr>
                <w:b/>
                <w:sz w:val="24"/>
                <w:rtl/>
              </w:rPr>
              <w:t xml:space="preserve">، يكمل المؤشر الحالي المؤشرات 18-20. وينصب التركيز هنا على المشاركة الواسعة للجماعات والمجموعات والأفراد في هذه الأنشطة التوعوية وحماية حقوقهم ومصالحهم. ويركز المؤشر 18 على دور وسائل الإعلام؛ بينما يبحث المؤشر 19 في محتوى تدابير </w:t>
            </w:r>
            <w:r w:rsidR="00145F86" w:rsidRPr="008A1EEB">
              <w:rPr>
                <w:rFonts w:hint="cs"/>
                <w:b/>
                <w:sz w:val="24"/>
                <w:rtl/>
              </w:rPr>
              <w:t>التوعية</w:t>
            </w:r>
            <w:r w:rsidRPr="008A1EEB">
              <w:rPr>
                <w:b/>
                <w:sz w:val="24"/>
                <w:rtl/>
              </w:rPr>
              <w:t xml:space="preserve"> وغرضها. وينصب تركيز المؤشر 20 على الطريقة التي يتم بها تنفيذ هذه التدابير، لا سيما توافقها مع المبادئ الأخلاقية ذات الصلة.</w:t>
            </w:r>
          </w:p>
        </w:tc>
      </w:tr>
      <w:tr w:rsidR="00896177" w:rsidRPr="00220160" w14:paraId="12DC57C1" w14:textId="77777777" w:rsidTr="000C55B2">
        <w:trPr>
          <w:cantSplit/>
        </w:trPr>
        <w:tc>
          <w:tcPr>
            <w:tcW w:w="786" w:type="pct"/>
            <w:shd w:val="clear" w:color="auto" w:fill="auto"/>
          </w:tcPr>
          <w:p w14:paraId="5D5801D2" w14:textId="5EB458EA" w:rsidR="00896177" w:rsidRPr="008A1EEB" w:rsidRDefault="00A14ADF" w:rsidP="00FB3A27">
            <w:pPr>
              <w:bidi/>
              <w:spacing w:before="120"/>
              <w:jc w:val="both"/>
              <w:rPr>
                <w:b/>
                <w:sz w:val="24"/>
              </w:rPr>
            </w:pPr>
            <w:r w:rsidRPr="008A1EEB">
              <w:rPr>
                <w:b/>
                <w:bCs/>
                <w:sz w:val="24"/>
                <w:rtl/>
              </w:rPr>
              <w:lastRenderedPageBreak/>
              <w:t xml:space="preserve">الأسس المنطقية </w:t>
            </w:r>
            <w:r w:rsidR="00DC02CE" w:rsidRPr="008A1EEB">
              <w:rPr>
                <w:rFonts w:hint="cs"/>
                <w:b/>
                <w:bCs/>
                <w:sz w:val="24"/>
                <w:rtl/>
              </w:rPr>
              <w:t>للإجراءات</w:t>
            </w:r>
          </w:p>
        </w:tc>
        <w:tc>
          <w:tcPr>
            <w:tcW w:w="4214" w:type="pct"/>
            <w:gridSpan w:val="2"/>
            <w:shd w:val="clear" w:color="auto" w:fill="auto"/>
          </w:tcPr>
          <w:p w14:paraId="144AC10A" w14:textId="3EA05D36" w:rsidR="00704766" w:rsidRPr="008A1EEB" w:rsidRDefault="007B18FA" w:rsidP="00FB3A27">
            <w:pPr>
              <w:keepLines/>
              <w:bidi/>
              <w:spacing w:before="120"/>
              <w:jc w:val="both"/>
              <w:rPr>
                <w:sz w:val="24"/>
              </w:rPr>
            </w:pPr>
            <w:r w:rsidRPr="008A1EEB">
              <w:rPr>
                <w:sz w:val="24"/>
                <w:rtl/>
              </w:rPr>
              <w:t xml:space="preserve">تعد أحد </w:t>
            </w:r>
            <w:r w:rsidR="00145F86" w:rsidRPr="008A1EEB">
              <w:rPr>
                <w:rFonts w:hint="cs"/>
                <w:sz w:val="24"/>
                <w:rtl/>
              </w:rPr>
              <w:t>الأهداف</w:t>
            </w:r>
            <w:r w:rsidRPr="008A1EEB">
              <w:rPr>
                <w:sz w:val="24"/>
                <w:rtl/>
              </w:rPr>
              <w:t xml:space="preserve"> الأربعة للاتفاقية "التوعية على الصعيد المحلي والوطني والدولي بأهمية التراث الثقافي غير المادي وأهمية التقدير المتبادل لهذا التراث" (المادة 1 (ج)). وعلاوة على ذلك، </w:t>
            </w:r>
            <w:r w:rsidR="00345F6B" w:rsidRPr="008A1EEB">
              <w:rPr>
                <w:rFonts w:hint="cs"/>
                <w:sz w:val="24"/>
                <w:rtl/>
              </w:rPr>
              <w:t>يتم ت</w:t>
            </w:r>
            <w:r w:rsidRPr="008A1EEB">
              <w:rPr>
                <w:sz w:val="24"/>
                <w:rtl/>
              </w:rPr>
              <w:t xml:space="preserve">شجع الدول على "ضمان الاعتراف بالتراث الثقافي غير المادي واحترامه والنهوض به في المجتمع، لا سيما عن طريق القيام بما يلي: (1) برامج تثقيفية للتوعية ونشر المعلومات موجهة للجمهور، وخاصة للشباب" (المادة 14(أ)). كما تدعو الاتفاقية إلى أوسع مشاركة ممكنة في جميع أنشطة الصون من "الجماعات، والمجموعات، وأحيانًا الأفراد، الذين يبدعون هذا التراث ويحافظون عليه وينقلونه" (المادة 15). وتتوفر المزيد من التفاصيل حول كيفية تحقيق ذلك فيما يتعلق بالتوعية في الفصل الرابع من التوجيهات </w:t>
            </w:r>
            <w:r w:rsidR="004653C8" w:rsidRPr="008A1EEB">
              <w:rPr>
                <w:rFonts w:hint="cs"/>
                <w:sz w:val="24"/>
                <w:rtl/>
              </w:rPr>
              <w:t>التنفيذية</w:t>
            </w:r>
            <w:r w:rsidRPr="008A1EEB">
              <w:rPr>
                <w:sz w:val="24"/>
                <w:rtl/>
              </w:rPr>
              <w:t>، ولا سيما التوجيه</w:t>
            </w:r>
            <w:r w:rsidR="007F44C8" w:rsidRPr="008A1EEB">
              <w:rPr>
                <w:rFonts w:hint="cs"/>
                <w:sz w:val="24"/>
                <w:rtl/>
              </w:rPr>
              <w:t>ات</w:t>
            </w:r>
            <w:r w:rsidRPr="008A1EEB">
              <w:rPr>
                <w:sz w:val="24"/>
                <w:rtl/>
              </w:rPr>
              <w:t xml:space="preserve"> </w:t>
            </w:r>
            <w:r w:rsidR="007F44C8" w:rsidRPr="008A1EEB">
              <w:rPr>
                <w:rFonts w:hint="cs"/>
                <w:sz w:val="24"/>
                <w:rtl/>
              </w:rPr>
              <w:t>التنفيذية</w:t>
            </w:r>
            <w:r w:rsidRPr="008A1EEB">
              <w:rPr>
                <w:sz w:val="24"/>
                <w:rtl/>
              </w:rPr>
              <w:t xml:space="preserve"> 100-117. ويشير هذا المؤشر إلى كيفية تنفيذ أنشطة التوعية بشمولية، وبمشاركة واسعة النطاق، وبما يتماشى مع المبادئ الأخلاقية ذات الصلة.</w:t>
            </w:r>
          </w:p>
        </w:tc>
      </w:tr>
      <w:tr w:rsidR="00704766" w:rsidRPr="00220160" w14:paraId="7B7A3C25" w14:textId="77777777" w:rsidTr="000C55B2">
        <w:trPr>
          <w:cantSplit/>
        </w:trPr>
        <w:tc>
          <w:tcPr>
            <w:tcW w:w="786" w:type="pct"/>
            <w:shd w:val="clear" w:color="auto" w:fill="auto"/>
          </w:tcPr>
          <w:p w14:paraId="0002C933" w14:textId="38CA4C92" w:rsidR="00704766" w:rsidRPr="008A1EEB" w:rsidRDefault="00A14ADF" w:rsidP="00FB3A27">
            <w:pPr>
              <w:bidi/>
              <w:spacing w:before="120" w:after="60"/>
              <w:jc w:val="both"/>
              <w:rPr>
                <w:b/>
                <w:sz w:val="24"/>
              </w:rPr>
            </w:pPr>
            <w:r w:rsidRPr="008A1EEB">
              <w:rPr>
                <w:b/>
                <w:bCs/>
                <w:sz w:val="24"/>
                <w:rtl/>
              </w:rPr>
              <w:t>المصطلحات الرئيسية</w:t>
            </w:r>
          </w:p>
        </w:tc>
        <w:tc>
          <w:tcPr>
            <w:tcW w:w="4214" w:type="pct"/>
            <w:gridSpan w:val="2"/>
            <w:shd w:val="clear" w:color="auto" w:fill="auto"/>
          </w:tcPr>
          <w:p w14:paraId="761EB9AC" w14:textId="1D1BE900" w:rsidR="0053433E" w:rsidRPr="008A1EEB" w:rsidRDefault="00145F86" w:rsidP="00FB3A27">
            <w:pPr>
              <w:pStyle w:val="ListParagraph"/>
              <w:numPr>
                <w:ilvl w:val="0"/>
                <w:numId w:val="71"/>
              </w:numPr>
              <w:bidi/>
              <w:spacing w:before="120"/>
              <w:jc w:val="both"/>
              <w:rPr>
                <w:rFonts w:ascii="Times New Roman" w:hAnsi="Times New Roman"/>
                <w:sz w:val="24"/>
                <w:szCs w:val="24"/>
                <w:lang w:val="en-GB"/>
              </w:rPr>
            </w:pPr>
            <w:r w:rsidRPr="008A1EEB">
              <w:rPr>
                <w:rFonts w:ascii="Times New Roman" w:hAnsi="Times New Roman"/>
                <w:sz w:val="24"/>
                <w:szCs w:val="24"/>
                <w:rtl/>
                <w:lang w:val="en-GB"/>
              </w:rPr>
              <w:t>جماعات أو مجموعات أو</w:t>
            </w:r>
            <w:r w:rsidRPr="008A1EEB">
              <w:rPr>
                <w:rFonts w:ascii="Times New Roman" w:hAnsi="Times New Roman" w:hint="cs"/>
                <w:sz w:val="24"/>
                <w:szCs w:val="24"/>
                <w:rtl/>
                <w:lang w:val="en-GB"/>
              </w:rPr>
              <w:t xml:space="preserve"> أحيانًا أفراد</w:t>
            </w:r>
          </w:p>
          <w:p w14:paraId="13C5EA3B" w14:textId="4076275F" w:rsidR="0053433E" w:rsidRPr="008A1EEB" w:rsidRDefault="0006120B" w:rsidP="00FB3A27">
            <w:pPr>
              <w:pStyle w:val="ListParagraph"/>
              <w:numPr>
                <w:ilvl w:val="0"/>
                <w:numId w:val="71"/>
              </w:numPr>
              <w:bidi/>
              <w:spacing w:before="120"/>
              <w:jc w:val="both"/>
              <w:rPr>
                <w:rFonts w:ascii="Times New Roman" w:hAnsi="Times New Roman"/>
                <w:sz w:val="24"/>
                <w:szCs w:val="24"/>
                <w:lang w:val="en-GB"/>
              </w:rPr>
            </w:pPr>
            <w:r w:rsidRPr="008A1EEB">
              <w:rPr>
                <w:rFonts w:ascii="Times New Roman" w:hAnsi="Times New Roman" w:hint="cs"/>
                <w:sz w:val="24"/>
                <w:szCs w:val="24"/>
                <w:rtl/>
                <w:lang w:val="en-GB"/>
              </w:rPr>
              <w:t>ال</w:t>
            </w:r>
            <w:r w:rsidR="0053433E" w:rsidRPr="008A1EEB">
              <w:rPr>
                <w:rFonts w:ascii="Times New Roman" w:hAnsi="Times New Roman"/>
                <w:sz w:val="24"/>
                <w:szCs w:val="24"/>
                <w:rtl/>
                <w:lang w:val="en-GB"/>
              </w:rPr>
              <w:t xml:space="preserve">مشاركة أو </w:t>
            </w:r>
            <w:r w:rsidRPr="008A1EEB">
              <w:rPr>
                <w:rFonts w:ascii="Times New Roman" w:hAnsi="Times New Roman" w:hint="cs"/>
                <w:sz w:val="24"/>
                <w:szCs w:val="24"/>
                <w:rtl/>
                <w:lang w:val="en-GB"/>
              </w:rPr>
              <w:t>ال</w:t>
            </w:r>
            <w:r w:rsidR="00145F86" w:rsidRPr="008A1EEB">
              <w:rPr>
                <w:rFonts w:ascii="Times New Roman" w:hAnsi="Times New Roman" w:hint="cs"/>
                <w:sz w:val="24"/>
                <w:szCs w:val="24"/>
                <w:rtl/>
                <w:lang w:val="en-GB"/>
              </w:rPr>
              <w:t>إشراك</w:t>
            </w:r>
          </w:p>
          <w:p w14:paraId="2AB79EBE" w14:textId="0FD14660" w:rsidR="0053433E" w:rsidRPr="008A1EEB" w:rsidRDefault="00145F86" w:rsidP="00FB3A27">
            <w:pPr>
              <w:pStyle w:val="ListParagraph"/>
              <w:numPr>
                <w:ilvl w:val="0"/>
                <w:numId w:val="71"/>
              </w:numPr>
              <w:bidi/>
              <w:spacing w:before="120"/>
              <w:jc w:val="both"/>
              <w:rPr>
                <w:rFonts w:ascii="Times New Roman" w:hAnsi="Times New Roman"/>
                <w:sz w:val="24"/>
                <w:szCs w:val="24"/>
                <w:lang w:val="en-GB"/>
              </w:rPr>
            </w:pPr>
            <w:r w:rsidRPr="008A1EEB">
              <w:rPr>
                <w:rFonts w:ascii="Times New Roman" w:hAnsi="Times New Roman"/>
                <w:sz w:val="24"/>
                <w:szCs w:val="24"/>
                <w:rtl/>
                <w:lang w:val="en-GB"/>
              </w:rPr>
              <w:t>شام</w:t>
            </w:r>
            <w:r w:rsidRPr="008A1EEB">
              <w:rPr>
                <w:rFonts w:ascii="Times New Roman" w:hAnsi="Times New Roman" w:hint="cs"/>
                <w:sz w:val="24"/>
                <w:szCs w:val="24"/>
                <w:rtl/>
                <w:lang w:val="en-GB"/>
              </w:rPr>
              <w:t>ل</w:t>
            </w:r>
            <w:r w:rsidRPr="008A1EEB">
              <w:rPr>
                <w:rFonts w:ascii="Times New Roman" w:hAnsi="Times New Roman"/>
                <w:sz w:val="24"/>
                <w:szCs w:val="24"/>
                <w:rtl/>
                <w:lang w:val="en-GB"/>
              </w:rPr>
              <w:t>/ شم</w:t>
            </w:r>
            <w:r w:rsidRPr="008A1EEB">
              <w:rPr>
                <w:rFonts w:ascii="Times New Roman" w:hAnsi="Times New Roman" w:hint="cs"/>
                <w:sz w:val="24"/>
                <w:szCs w:val="24"/>
                <w:rtl/>
                <w:lang w:val="en-GB"/>
              </w:rPr>
              <w:t>ولي</w:t>
            </w:r>
            <w:r w:rsidR="0006120B" w:rsidRPr="008A1EEB">
              <w:rPr>
                <w:rFonts w:ascii="Times New Roman" w:hAnsi="Times New Roman" w:hint="cs"/>
                <w:sz w:val="24"/>
                <w:szCs w:val="24"/>
                <w:rtl/>
                <w:lang w:val="en-GB"/>
              </w:rPr>
              <w:t>ة</w:t>
            </w:r>
          </w:p>
          <w:p w14:paraId="6151B989" w14:textId="606591FA" w:rsidR="0053433E" w:rsidRPr="008A1EEB" w:rsidRDefault="0006120B" w:rsidP="00FB3A27">
            <w:pPr>
              <w:pStyle w:val="ListParagraph"/>
              <w:numPr>
                <w:ilvl w:val="0"/>
                <w:numId w:val="71"/>
              </w:numPr>
              <w:bidi/>
              <w:spacing w:before="120"/>
              <w:jc w:val="both"/>
              <w:rPr>
                <w:rFonts w:ascii="Times New Roman" w:hAnsi="Times New Roman"/>
                <w:sz w:val="24"/>
                <w:szCs w:val="24"/>
                <w:lang w:val="en-GB"/>
              </w:rPr>
            </w:pPr>
            <w:r w:rsidRPr="008A1EEB">
              <w:rPr>
                <w:rFonts w:ascii="Times New Roman" w:hAnsi="Times New Roman" w:hint="cs"/>
                <w:sz w:val="24"/>
                <w:szCs w:val="24"/>
                <w:rtl/>
                <w:lang w:val="en-GB"/>
              </w:rPr>
              <w:t>ال</w:t>
            </w:r>
            <w:r w:rsidR="00145F86" w:rsidRPr="008A1EEB">
              <w:rPr>
                <w:rFonts w:ascii="Times New Roman" w:hAnsi="Times New Roman"/>
                <w:sz w:val="24"/>
                <w:szCs w:val="24"/>
                <w:rtl/>
                <w:lang w:val="en-GB"/>
              </w:rPr>
              <w:t xml:space="preserve">موافقة </w:t>
            </w:r>
            <w:r w:rsidRPr="008A1EEB">
              <w:rPr>
                <w:rFonts w:ascii="Times New Roman" w:hAnsi="Times New Roman" w:hint="cs"/>
                <w:sz w:val="24"/>
                <w:szCs w:val="24"/>
                <w:rtl/>
                <w:lang w:val="en-GB"/>
              </w:rPr>
              <w:t>ال</w:t>
            </w:r>
            <w:r w:rsidR="0053433E" w:rsidRPr="008A1EEB">
              <w:rPr>
                <w:rFonts w:ascii="Times New Roman" w:hAnsi="Times New Roman"/>
                <w:sz w:val="24"/>
                <w:szCs w:val="24"/>
                <w:rtl/>
                <w:lang w:val="en-GB"/>
              </w:rPr>
              <w:t xml:space="preserve">حرة </w:t>
            </w:r>
            <w:r w:rsidR="00145F86" w:rsidRPr="008A1EEB">
              <w:rPr>
                <w:rFonts w:ascii="Times New Roman" w:hAnsi="Times New Roman"/>
                <w:sz w:val="24"/>
                <w:szCs w:val="24"/>
                <w:rtl/>
                <w:lang w:val="en-GB"/>
              </w:rPr>
              <w:t>و</w:t>
            </w:r>
            <w:r w:rsidRPr="008A1EEB">
              <w:rPr>
                <w:rFonts w:ascii="Times New Roman" w:hAnsi="Times New Roman" w:hint="cs"/>
                <w:sz w:val="24"/>
                <w:szCs w:val="24"/>
                <w:rtl/>
                <w:lang w:val="en-GB"/>
              </w:rPr>
              <w:t>ال</w:t>
            </w:r>
            <w:r w:rsidR="00145F86" w:rsidRPr="008A1EEB">
              <w:rPr>
                <w:rFonts w:ascii="Times New Roman" w:hAnsi="Times New Roman"/>
                <w:sz w:val="24"/>
                <w:szCs w:val="24"/>
                <w:rtl/>
                <w:lang w:val="en-GB"/>
              </w:rPr>
              <w:t>مسبقة و</w:t>
            </w:r>
            <w:r w:rsidRPr="008A1EEB">
              <w:rPr>
                <w:rFonts w:ascii="Times New Roman" w:hAnsi="Times New Roman" w:hint="cs"/>
                <w:sz w:val="24"/>
                <w:szCs w:val="24"/>
                <w:rtl/>
                <w:lang w:val="en-GB"/>
              </w:rPr>
              <w:t>ال</w:t>
            </w:r>
            <w:r w:rsidR="00145F86" w:rsidRPr="008A1EEB">
              <w:rPr>
                <w:rFonts w:ascii="Times New Roman" w:hAnsi="Times New Roman"/>
                <w:sz w:val="24"/>
                <w:szCs w:val="24"/>
                <w:rtl/>
                <w:lang w:val="en-GB"/>
              </w:rPr>
              <w:t>مستمرة و</w:t>
            </w:r>
            <w:r w:rsidRPr="008A1EEB">
              <w:rPr>
                <w:rFonts w:ascii="Times New Roman" w:hAnsi="Times New Roman" w:hint="cs"/>
                <w:sz w:val="24"/>
                <w:szCs w:val="24"/>
                <w:rtl/>
                <w:lang w:val="en-GB"/>
              </w:rPr>
              <w:t>ال</w:t>
            </w:r>
            <w:r w:rsidR="0053433E" w:rsidRPr="008A1EEB">
              <w:rPr>
                <w:rFonts w:ascii="Times New Roman" w:hAnsi="Times New Roman"/>
                <w:sz w:val="24"/>
                <w:szCs w:val="24"/>
                <w:rtl/>
                <w:lang w:val="en-GB"/>
              </w:rPr>
              <w:t>مستنيرة</w:t>
            </w:r>
          </w:p>
          <w:p w14:paraId="1747A6CC" w14:textId="051E3DAD" w:rsidR="0053433E" w:rsidRPr="008A1EEB" w:rsidRDefault="0053433E" w:rsidP="00FB3A27">
            <w:pPr>
              <w:pStyle w:val="ListParagraph"/>
              <w:numPr>
                <w:ilvl w:val="0"/>
                <w:numId w:val="71"/>
              </w:numPr>
              <w:bidi/>
              <w:spacing w:before="120"/>
              <w:jc w:val="both"/>
              <w:rPr>
                <w:rFonts w:ascii="Times New Roman" w:hAnsi="Times New Roman"/>
                <w:sz w:val="24"/>
                <w:szCs w:val="24"/>
                <w:lang w:val="en-GB"/>
              </w:rPr>
            </w:pPr>
            <w:r w:rsidRPr="008A1EEB">
              <w:rPr>
                <w:rFonts w:ascii="Times New Roman" w:hAnsi="Times New Roman"/>
                <w:sz w:val="24"/>
                <w:szCs w:val="24"/>
                <w:rtl/>
                <w:lang w:val="en-GB"/>
              </w:rPr>
              <w:t>عناصر التراث الثقافي غير المادي</w:t>
            </w:r>
          </w:p>
          <w:p w14:paraId="32D69469" w14:textId="1EB9ACE4" w:rsidR="0053433E" w:rsidRPr="008A1EEB" w:rsidRDefault="00E654DC" w:rsidP="00FB3A27">
            <w:pPr>
              <w:pStyle w:val="ListParagraph"/>
              <w:numPr>
                <w:ilvl w:val="0"/>
                <w:numId w:val="71"/>
              </w:numPr>
              <w:bidi/>
              <w:spacing w:before="120"/>
              <w:jc w:val="both"/>
              <w:rPr>
                <w:rFonts w:ascii="Times New Roman" w:hAnsi="Times New Roman"/>
                <w:sz w:val="24"/>
                <w:szCs w:val="24"/>
                <w:lang w:val="en-GB"/>
              </w:rPr>
            </w:pPr>
            <w:r w:rsidRPr="008A1EEB">
              <w:rPr>
                <w:rFonts w:ascii="Times New Roman" w:hAnsi="Times New Roman" w:hint="cs"/>
                <w:sz w:val="24"/>
                <w:szCs w:val="24"/>
                <w:rtl/>
                <w:lang w:val="en-GB"/>
              </w:rPr>
              <w:t>ال</w:t>
            </w:r>
            <w:r w:rsidR="00145F86" w:rsidRPr="008A1EEB">
              <w:rPr>
                <w:rFonts w:ascii="Times New Roman" w:hAnsi="Times New Roman"/>
                <w:sz w:val="24"/>
                <w:szCs w:val="24"/>
                <w:rtl/>
                <w:lang w:val="en-GB"/>
              </w:rPr>
              <w:t xml:space="preserve">مصالح </w:t>
            </w:r>
            <w:r w:rsidRPr="008A1EEB">
              <w:rPr>
                <w:rFonts w:ascii="Times New Roman" w:hAnsi="Times New Roman" w:hint="cs"/>
                <w:sz w:val="24"/>
                <w:szCs w:val="24"/>
                <w:rtl/>
                <w:lang w:val="en-GB"/>
              </w:rPr>
              <w:t>ال</w:t>
            </w:r>
            <w:r w:rsidR="00145F86" w:rsidRPr="008A1EEB">
              <w:rPr>
                <w:rFonts w:ascii="Times New Roman" w:hAnsi="Times New Roman"/>
                <w:sz w:val="24"/>
                <w:szCs w:val="24"/>
                <w:rtl/>
                <w:lang w:val="en-GB"/>
              </w:rPr>
              <w:t>معنوية و</w:t>
            </w:r>
            <w:r w:rsidRPr="008A1EEB">
              <w:rPr>
                <w:rFonts w:ascii="Times New Roman" w:hAnsi="Times New Roman" w:hint="cs"/>
                <w:sz w:val="24"/>
                <w:szCs w:val="24"/>
                <w:rtl/>
                <w:lang w:val="en-GB"/>
              </w:rPr>
              <w:t>ال</w:t>
            </w:r>
            <w:r w:rsidR="0053433E" w:rsidRPr="008A1EEB">
              <w:rPr>
                <w:rFonts w:ascii="Times New Roman" w:hAnsi="Times New Roman"/>
                <w:sz w:val="24"/>
                <w:szCs w:val="24"/>
                <w:rtl/>
                <w:lang w:val="en-GB"/>
              </w:rPr>
              <w:t>مادية</w:t>
            </w:r>
          </w:p>
          <w:p w14:paraId="6D0851BD" w14:textId="7867E20B" w:rsidR="0053433E" w:rsidRPr="008A1EEB" w:rsidRDefault="00E654DC" w:rsidP="00FB3A27">
            <w:pPr>
              <w:pStyle w:val="ListParagraph"/>
              <w:numPr>
                <w:ilvl w:val="0"/>
                <w:numId w:val="71"/>
              </w:numPr>
              <w:bidi/>
              <w:spacing w:before="120"/>
              <w:jc w:val="both"/>
              <w:rPr>
                <w:rFonts w:ascii="Times New Roman" w:hAnsi="Times New Roman"/>
                <w:sz w:val="24"/>
                <w:szCs w:val="24"/>
                <w:lang w:val="en-GB"/>
              </w:rPr>
            </w:pPr>
            <w:r w:rsidRPr="008A1EEB">
              <w:rPr>
                <w:rFonts w:ascii="Times New Roman" w:hAnsi="Times New Roman" w:hint="cs"/>
                <w:sz w:val="24"/>
                <w:szCs w:val="24"/>
                <w:rtl/>
                <w:lang w:val="en-GB"/>
              </w:rPr>
              <w:t>ال</w:t>
            </w:r>
            <w:r w:rsidR="0053433E" w:rsidRPr="008A1EEB">
              <w:rPr>
                <w:rFonts w:ascii="Times New Roman" w:hAnsi="Times New Roman"/>
                <w:sz w:val="24"/>
                <w:szCs w:val="24"/>
                <w:rtl/>
                <w:lang w:val="en-GB"/>
              </w:rPr>
              <w:t>نشر</w:t>
            </w:r>
          </w:p>
          <w:p w14:paraId="09A0DE3B" w14:textId="1195D70B" w:rsidR="001C5B4B" w:rsidRPr="008A1EEB" w:rsidRDefault="0053433E" w:rsidP="00FB3A27">
            <w:pPr>
              <w:pStyle w:val="ListParagraph"/>
              <w:numPr>
                <w:ilvl w:val="0"/>
                <w:numId w:val="71"/>
              </w:numPr>
              <w:bidi/>
              <w:spacing w:before="120" w:after="120"/>
              <w:jc w:val="both"/>
              <w:rPr>
                <w:rFonts w:ascii="Times New Roman" w:hAnsi="Times New Roman"/>
                <w:sz w:val="24"/>
                <w:szCs w:val="24"/>
                <w:lang w:val="en-GB"/>
              </w:rPr>
            </w:pPr>
            <w:r w:rsidRPr="008A1EEB">
              <w:rPr>
                <w:rFonts w:ascii="Times New Roman" w:hAnsi="Times New Roman"/>
                <w:sz w:val="24"/>
                <w:szCs w:val="24"/>
                <w:rtl/>
                <w:lang w:val="en-GB"/>
              </w:rPr>
              <w:t>تكنولوجيا المعلومات والاتصالات (</w:t>
            </w:r>
            <w:r w:rsidRPr="008A1EEB">
              <w:rPr>
                <w:rFonts w:ascii="Times New Roman" w:hAnsi="Times New Roman"/>
                <w:sz w:val="24"/>
                <w:szCs w:val="24"/>
                <w:lang w:val="en-GB"/>
              </w:rPr>
              <w:t>ICT</w:t>
            </w:r>
            <w:r w:rsidR="00615E5E" w:rsidRPr="008A1EEB">
              <w:rPr>
                <w:rFonts w:ascii="Times New Roman" w:hAnsi="Times New Roman"/>
                <w:sz w:val="24"/>
                <w:szCs w:val="24"/>
              </w:rPr>
              <w:t>s</w:t>
            </w:r>
            <w:r w:rsidRPr="008A1EEB">
              <w:rPr>
                <w:rFonts w:ascii="Times New Roman" w:hAnsi="Times New Roman"/>
                <w:sz w:val="24"/>
                <w:szCs w:val="24"/>
                <w:rtl/>
                <w:lang w:val="en-GB"/>
              </w:rPr>
              <w:t>)</w:t>
            </w:r>
          </w:p>
        </w:tc>
      </w:tr>
    </w:tbl>
    <w:p w14:paraId="1B6258EC" w14:textId="77777777" w:rsidR="0054175C" w:rsidRPr="00220160" w:rsidRDefault="0054175C" w:rsidP="00FB3A27">
      <w:pPr>
        <w:bidi/>
        <w:jc w:val="center"/>
        <w:rPr>
          <w:b/>
          <w:sz w:val="24"/>
        </w:rPr>
        <w:sectPr w:rsidR="0054175C" w:rsidRPr="00220160" w:rsidSect="000F25BA">
          <w:footerReference w:type="default" r:id="rId8"/>
          <w:pgSz w:w="11906" w:h="16838" w:code="9"/>
          <w:pgMar w:top="1418" w:right="1134" w:bottom="1134" w:left="1134" w:header="397" w:footer="284" w:gutter="0"/>
          <w:cols w:space="708"/>
          <w:docGrid w:linePitch="360"/>
        </w:sectPr>
      </w:pPr>
    </w:p>
    <w:p w14:paraId="5F360CAC" w14:textId="400AE45C" w:rsidR="00A14ADF" w:rsidRPr="00CE2BF7" w:rsidRDefault="00A14ADF" w:rsidP="00FB3A27">
      <w:pPr>
        <w:bidi/>
        <w:jc w:val="center"/>
        <w:rPr>
          <w:bCs/>
          <w:sz w:val="28"/>
          <w:szCs w:val="28"/>
        </w:rPr>
      </w:pPr>
      <w:r w:rsidRPr="00CE2BF7">
        <w:rPr>
          <w:bCs/>
          <w:sz w:val="28"/>
          <w:szCs w:val="28"/>
          <w:rtl/>
        </w:rPr>
        <w:t xml:space="preserve">التوجيهات المحددة بشأن الرصد </w:t>
      </w:r>
      <w:proofErr w:type="gramStart"/>
      <w:r w:rsidR="00374F31" w:rsidRPr="00CE2BF7">
        <w:rPr>
          <w:rFonts w:hint="cs"/>
          <w:bCs/>
          <w:sz w:val="28"/>
          <w:szCs w:val="28"/>
          <w:rtl/>
        </w:rPr>
        <w:t>وال</w:t>
      </w:r>
      <w:r w:rsidR="009122B5">
        <w:rPr>
          <w:rFonts w:hint="cs"/>
          <w:bCs/>
          <w:sz w:val="28"/>
          <w:szCs w:val="28"/>
          <w:rtl/>
        </w:rPr>
        <w:t xml:space="preserve">تقرير </w:t>
      </w:r>
      <w:r w:rsidRPr="00CE2BF7">
        <w:rPr>
          <w:bCs/>
          <w:sz w:val="28"/>
          <w:szCs w:val="28"/>
          <w:rtl/>
        </w:rPr>
        <w:t xml:space="preserve"> الدوري</w:t>
      </w:r>
      <w:proofErr w:type="gramEnd"/>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220160" w14:paraId="3CAF8CAE" w14:textId="77777777" w:rsidTr="00A14ADF">
        <w:tc>
          <w:tcPr>
            <w:tcW w:w="730" w:type="pct"/>
            <w:shd w:val="clear" w:color="auto" w:fill="auto"/>
          </w:tcPr>
          <w:p w14:paraId="60883690" w14:textId="26830E19" w:rsidR="002C28BA" w:rsidRPr="00220160" w:rsidRDefault="00A14ADF" w:rsidP="00FB3A27">
            <w:pPr>
              <w:bidi/>
              <w:spacing w:before="120"/>
              <w:rPr>
                <w:b/>
                <w:sz w:val="24"/>
              </w:rPr>
            </w:pPr>
            <w:r w:rsidRPr="00220160">
              <w:rPr>
                <w:b/>
                <w:bCs/>
                <w:sz w:val="24"/>
                <w:rtl/>
              </w:rPr>
              <w:t>فوائد الرصد</w:t>
            </w:r>
          </w:p>
        </w:tc>
        <w:tc>
          <w:tcPr>
            <w:tcW w:w="4270" w:type="pct"/>
            <w:shd w:val="clear" w:color="auto" w:fill="auto"/>
          </w:tcPr>
          <w:p w14:paraId="64A22D45" w14:textId="5AD2F8B3" w:rsidR="002C28BA" w:rsidRPr="00220160" w:rsidRDefault="00615E5E" w:rsidP="00FB3A27">
            <w:pPr>
              <w:keepLines/>
              <w:bidi/>
              <w:spacing w:before="120"/>
              <w:jc w:val="both"/>
              <w:rPr>
                <w:b/>
                <w:sz w:val="24"/>
              </w:rPr>
            </w:pPr>
            <w:r>
              <w:rPr>
                <w:rFonts w:hint="cs"/>
                <w:b/>
                <w:sz w:val="24"/>
                <w:rtl/>
              </w:rPr>
              <w:t>يمكن أن</w:t>
            </w:r>
            <w:r w:rsidR="0081520C" w:rsidRPr="00220160">
              <w:rPr>
                <w:b/>
                <w:sz w:val="24"/>
                <w:rtl/>
              </w:rPr>
              <w:t xml:space="preserve"> يساعد رصد هذا المؤشر الدولة في تحديد مدى التوعية بأهمية التراث الثقافي غير المادي بطريقة تستجيب للاتفاقية والتوجيهات </w:t>
            </w:r>
            <w:r>
              <w:rPr>
                <w:rFonts w:hint="cs"/>
                <w:b/>
                <w:sz w:val="24"/>
                <w:rtl/>
              </w:rPr>
              <w:t>التنفيذية</w:t>
            </w:r>
            <w:r w:rsidR="0081520C" w:rsidRPr="00220160">
              <w:rPr>
                <w:b/>
                <w:sz w:val="24"/>
                <w:rtl/>
              </w:rPr>
              <w:t xml:space="preserve">. </w:t>
            </w:r>
            <w:r>
              <w:rPr>
                <w:rFonts w:hint="cs"/>
                <w:b/>
                <w:sz w:val="24"/>
                <w:rtl/>
              </w:rPr>
              <w:t>ويمكن أن</w:t>
            </w:r>
            <w:r w:rsidR="0081520C" w:rsidRPr="00220160">
              <w:rPr>
                <w:b/>
                <w:sz w:val="24"/>
                <w:rtl/>
              </w:rPr>
              <w:t xml:space="preserve"> يقيم الرصد ما إذا كانت هذه الأنشطة تتمتع بأكبر مشاركة ممكنة من الجماعات والمجموعات والأفراد، وما إذا كانت هذه المشاركة شاملة وطوعية. كما </w:t>
            </w:r>
            <w:r>
              <w:rPr>
                <w:rFonts w:hint="cs"/>
                <w:b/>
                <w:sz w:val="24"/>
                <w:rtl/>
              </w:rPr>
              <w:t>يمكن أن</w:t>
            </w:r>
            <w:r w:rsidR="0081520C" w:rsidRPr="00220160">
              <w:rPr>
                <w:b/>
                <w:sz w:val="24"/>
                <w:rtl/>
              </w:rPr>
              <w:t xml:space="preserve"> يساعد في ضمان </w:t>
            </w:r>
            <w:r w:rsidR="00CA67D2" w:rsidRPr="00220160">
              <w:rPr>
                <w:rFonts w:hint="cs"/>
                <w:b/>
                <w:sz w:val="24"/>
                <w:rtl/>
              </w:rPr>
              <w:t>إشراك</w:t>
            </w:r>
            <w:r w:rsidR="0081520C" w:rsidRPr="00220160">
              <w:rPr>
                <w:b/>
                <w:sz w:val="24"/>
                <w:rtl/>
              </w:rPr>
              <w:t xml:space="preserve"> الشباب و</w:t>
            </w:r>
            <w:r>
              <w:rPr>
                <w:rFonts w:hint="cs"/>
                <w:b/>
                <w:sz w:val="24"/>
                <w:rtl/>
              </w:rPr>
              <w:t>ال</w:t>
            </w:r>
            <w:r w:rsidR="0081520C" w:rsidRPr="00220160">
              <w:rPr>
                <w:b/>
                <w:sz w:val="24"/>
                <w:rtl/>
              </w:rPr>
              <w:t xml:space="preserve">حماية </w:t>
            </w:r>
            <w:r>
              <w:rPr>
                <w:rFonts w:hint="cs"/>
                <w:b/>
                <w:sz w:val="24"/>
                <w:rtl/>
              </w:rPr>
              <w:t>الكاملة ل</w:t>
            </w:r>
            <w:r w:rsidR="0081520C" w:rsidRPr="00220160">
              <w:rPr>
                <w:b/>
                <w:sz w:val="24"/>
                <w:rtl/>
              </w:rPr>
              <w:t xml:space="preserve">لحقوق والمصالح </w:t>
            </w:r>
            <w:proofErr w:type="gramStart"/>
            <w:r w:rsidR="0081520C" w:rsidRPr="00220160">
              <w:rPr>
                <w:b/>
                <w:sz w:val="24"/>
                <w:rtl/>
              </w:rPr>
              <w:t>المعنوية</w:t>
            </w:r>
            <w:proofErr w:type="gramEnd"/>
            <w:r w:rsidR="0081520C" w:rsidRPr="00220160">
              <w:rPr>
                <w:b/>
                <w:sz w:val="24"/>
                <w:rtl/>
              </w:rPr>
              <w:t xml:space="preserve"> والمادية للجماعات والمجموعات والأفراد. وعلى الصعيد العالمي، </w:t>
            </w:r>
            <w:r w:rsidR="000F75DF">
              <w:rPr>
                <w:rFonts w:hint="cs"/>
                <w:b/>
                <w:sz w:val="24"/>
                <w:rtl/>
              </w:rPr>
              <w:t>يمكن أن</w:t>
            </w:r>
            <w:r w:rsidR="0081520C" w:rsidRPr="00220160">
              <w:rPr>
                <w:b/>
                <w:sz w:val="24"/>
                <w:rtl/>
              </w:rPr>
              <w:t xml:space="preserve"> يلفت الرصد الانتباه إلى الإجراءات والنُهج المبتكرة في هذا المجال.</w:t>
            </w:r>
          </w:p>
        </w:tc>
      </w:tr>
      <w:tr w:rsidR="0054175C" w:rsidRPr="00220160" w14:paraId="1C5A6407" w14:textId="77777777" w:rsidTr="00A14ADF">
        <w:tc>
          <w:tcPr>
            <w:tcW w:w="730" w:type="pct"/>
            <w:shd w:val="clear" w:color="auto" w:fill="auto"/>
          </w:tcPr>
          <w:p w14:paraId="35B4B62B" w14:textId="26AE744B" w:rsidR="0054175C" w:rsidRPr="00220160" w:rsidRDefault="00A14ADF" w:rsidP="00FB3A27">
            <w:pPr>
              <w:bidi/>
              <w:spacing w:before="120"/>
              <w:rPr>
                <w:b/>
                <w:sz w:val="24"/>
              </w:rPr>
            </w:pPr>
            <w:r w:rsidRPr="00220160">
              <w:rPr>
                <w:b/>
                <w:bCs/>
                <w:sz w:val="24"/>
                <w:rtl/>
              </w:rPr>
              <w:t>مصادر البيانات وجمعها</w:t>
            </w:r>
          </w:p>
        </w:tc>
        <w:tc>
          <w:tcPr>
            <w:tcW w:w="4270" w:type="pct"/>
            <w:shd w:val="clear" w:color="auto" w:fill="auto"/>
          </w:tcPr>
          <w:p w14:paraId="08299CC7" w14:textId="6D3190A0" w:rsidR="004257BA" w:rsidRPr="00220160" w:rsidRDefault="004257BA" w:rsidP="00FB3A27">
            <w:pPr>
              <w:keepNext/>
              <w:bidi/>
              <w:spacing w:before="120" w:after="60"/>
              <w:jc w:val="both"/>
              <w:rPr>
                <w:sz w:val="24"/>
                <w:rtl/>
              </w:rPr>
            </w:pPr>
            <w:r w:rsidRPr="00220160">
              <w:rPr>
                <w:sz w:val="24"/>
                <w:rtl/>
              </w:rPr>
              <w:t xml:space="preserve">في كثير من الحالات، قد تكون الجهات الحكومية المسؤولة مصدر بيانات مهم في مجالات المعلومات والاتصالات ووسائل الإعلام. وإذا كان للدولة هيئة استشارية أو آلية تنسيق، فقد تضم ممثلين </w:t>
            </w:r>
            <w:r w:rsidR="00D84B93">
              <w:rPr>
                <w:rFonts w:hint="cs"/>
                <w:sz w:val="24"/>
                <w:rtl/>
              </w:rPr>
              <w:t>م</w:t>
            </w:r>
            <w:r w:rsidRPr="00220160">
              <w:rPr>
                <w:sz w:val="24"/>
                <w:rtl/>
              </w:rPr>
              <w:t xml:space="preserve">ن وسائل الإعلام أو غيرهم من المشاركين بنشاط في التوعية، ويمكنهم تقديم معلومات </w:t>
            </w:r>
            <w:r w:rsidR="00145F86" w:rsidRPr="00220160">
              <w:rPr>
                <w:rFonts w:hint="cs"/>
                <w:sz w:val="24"/>
                <w:rtl/>
              </w:rPr>
              <w:t>إضافية</w:t>
            </w:r>
            <w:r w:rsidRPr="00220160">
              <w:rPr>
                <w:sz w:val="24"/>
                <w:rtl/>
              </w:rPr>
              <w:t>. وقد يشير عاملي التقييم</w:t>
            </w:r>
            <w:r w:rsidR="00CA67D2" w:rsidRPr="00220160">
              <w:rPr>
                <w:rFonts w:hint="cs"/>
                <w:sz w:val="24"/>
                <w:rtl/>
              </w:rPr>
              <w:t xml:space="preserve"> الشامل</w:t>
            </w:r>
            <w:r w:rsidRPr="00220160">
              <w:rPr>
                <w:sz w:val="24"/>
                <w:rtl/>
              </w:rPr>
              <w:t xml:space="preserve"> 17</w:t>
            </w:r>
            <w:r w:rsidR="00145F86" w:rsidRPr="00220160">
              <w:rPr>
                <w:rFonts w:hint="cs"/>
                <w:sz w:val="24"/>
                <w:rtl/>
              </w:rPr>
              <w:t>-</w:t>
            </w:r>
            <w:r w:rsidRPr="00220160">
              <w:rPr>
                <w:sz w:val="24"/>
                <w:rtl/>
              </w:rPr>
              <w:t>2 و17</w:t>
            </w:r>
            <w:r w:rsidR="00145F86" w:rsidRPr="00220160">
              <w:rPr>
                <w:rFonts w:hint="cs"/>
                <w:sz w:val="24"/>
                <w:rtl/>
              </w:rPr>
              <w:t>-</w:t>
            </w:r>
            <w:r w:rsidRPr="00220160">
              <w:rPr>
                <w:sz w:val="24"/>
                <w:rtl/>
              </w:rPr>
              <w:t>3 إلى</w:t>
            </w:r>
            <w:r w:rsidR="0006120B">
              <w:rPr>
                <w:rFonts w:hint="cs"/>
                <w:sz w:val="24"/>
                <w:rtl/>
              </w:rPr>
              <w:t xml:space="preserve"> </w:t>
            </w:r>
            <w:r w:rsidR="00DC02CE">
              <w:rPr>
                <w:rFonts w:hint="cs"/>
                <w:sz w:val="24"/>
                <w:rtl/>
              </w:rPr>
              <w:t>القواعد</w:t>
            </w:r>
            <w:r w:rsidRPr="00220160">
              <w:rPr>
                <w:sz w:val="24"/>
                <w:rtl/>
              </w:rPr>
              <w:t xml:space="preserve"> أو المبادئ التوجيهية المنشورة التي تحدد المبادئ التي ينبغي أن </w:t>
            </w:r>
            <w:r w:rsidR="002B64DB">
              <w:rPr>
                <w:rFonts w:hint="cs"/>
                <w:sz w:val="24"/>
                <w:rtl/>
              </w:rPr>
              <w:t xml:space="preserve">ترشد </w:t>
            </w:r>
            <w:r w:rsidRPr="00220160">
              <w:rPr>
                <w:sz w:val="24"/>
                <w:rtl/>
              </w:rPr>
              <w:t xml:space="preserve">الأنشطة التوعوية. ونظرًا للطبيعة العامة لمعظم </w:t>
            </w:r>
            <w:r w:rsidR="002B64DB">
              <w:rPr>
                <w:rFonts w:hint="cs"/>
                <w:sz w:val="24"/>
                <w:rtl/>
              </w:rPr>
              <w:t xml:space="preserve">أوجه </w:t>
            </w:r>
            <w:r w:rsidRPr="00220160">
              <w:rPr>
                <w:sz w:val="24"/>
                <w:rtl/>
              </w:rPr>
              <w:t>التوعية، فمن المرجح أن تكون المعلومات متاحة بسهولة.</w:t>
            </w:r>
          </w:p>
          <w:p w14:paraId="28FC75D5" w14:textId="3F7023E8" w:rsidR="00A14ADF" w:rsidRPr="00220160" w:rsidRDefault="00A14ADF" w:rsidP="00FB3A27">
            <w:pPr>
              <w:keepNext/>
              <w:bidi/>
              <w:spacing w:before="120" w:after="60"/>
              <w:jc w:val="both"/>
              <w:rPr>
                <w:bCs/>
                <w:sz w:val="24"/>
              </w:rPr>
            </w:pPr>
            <w:r w:rsidRPr="00220160">
              <w:rPr>
                <w:bCs/>
                <w:sz w:val="24"/>
                <w:rtl/>
              </w:rPr>
              <w:t>مصادر البيانات المحتملة</w:t>
            </w:r>
          </w:p>
          <w:p w14:paraId="5EB00C70" w14:textId="011AB155" w:rsidR="00E57FE5" w:rsidRPr="00220160" w:rsidRDefault="00CA67D2" w:rsidP="00FB3A27">
            <w:pPr>
              <w:pStyle w:val="ListParagraph"/>
              <w:numPr>
                <w:ilvl w:val="0"/>
                <w:numId w:val="73"/>
              </w:numPr>
              <w:bidi/>
              <w:spacing w:before="120"/>
              <w:jc w:val="both"/>
              <w:rPr>
                <w:rFonts w:ascii="Times New Roman" w:hAnsi="Times New Roman"/>
                <w:sz w:val="24"/>
                <w:szCs w:val="24"/>
                <w:lang w:val="en-GB"/>
              </w:rPr>
            </w:pPr>
            <w:r w:rsidRPr="00220160">
              <w:rPr>
                <w:rFonts w:ascii="Times New Roman" w:hAnsi="Times New Roman" w:hint="cs"/>
                <w:sz w:val="24"/>
                <w:szCs w:val="24"/>
                <w:rtl/>
                <w:lang w:val="en-GB"/>
              </w:rPr>
              <w:t>مطبوعات</w:t>
            </w:r>
            <w:r w:rsidRPr="00220160">
              <w:rPr>
                <w:rFonts w:ascii="Times New Roman" w:hAnsi="Times New Roman"/>
                <w:sz w:val="24"/>
                <w:szCs w:val="24"/>
                <w:rtl/>
                <w:lang w:val="en-GB"/>
              </w:rPr>
              <w:t>، و</w:t>
            </w:r>
            <w:r w:rsidR="00E57FE5" w:rsidRPr="00220160">
              <w:rPr>
                <w:rFonts w:ascii="Times New Roman" w:hAnsi="Times New Roman"/>
                <w:sz w:val="24"/>
                <w:szCs w:val="24"/>
                <w:rtl/>
                <w:lang w:val="en-GB"/>
              </w:rPr>
              <w:t>تقارير ومجموعات مواد توعوية</w:t>
            </w:r>
          </w:p>
          <w:p w14:paraId="22DA0E90" w14:textId="213D683E" w:rsidR="00E57FE5" w:rsidRPr="00220160" w:rsidRDefault="00CA67D2" w:rsidP="00FB3A27">
            <w:pPr>
              <w:pStyle w:val="ListParagraph"/>
              <w:numPr>
                <w:ilvl w:val="0"/>
                <w:numId w:val="73"/>
              </w:numPr>
              <w:bidi/>
              <w:spacing w:before="120"/>
              <w:jc w:val="both"/>
              <w:rPr>
                <w:rFonts w:ascii="Times New Roman" w:hAnsi="Times New Roman"/>
                <w:sz w:val="24"/>
                <w:szCs w:val="24"/>
                <w:lang w:val="en-GB"/>
              </w:rPr>
            </w:pPr>
            <w:r w:rsidRPr="0006120B">
              <w:rPr>
                <w:rFonts w:ascii="Times New Roman" w:hAnsi="Times New Roman"/>
                <w:sz w:val="24"/>
                <w:szCs w:val="24"/>
                <w:rtl/>
                <w:lang w:val="en-GB"/>
              </w:rPr>
              <w:t>مدونات قواعد السلوك أو</w:t>
            </w:r>
            <w:r w:rsidRPr="00220160">
              <w:rPr>
                <w:rFonts w:ascii="Times New Roman" w:hAnsi="Times New Roman"/>
                <w:sz w:val="24"/>
                <w:szCs w:val="24"/>
                <w:rtl/>
                <w:lang w:val="en-GB"/>
              </w:rPr>
              <w:t xml:space="preserve"> مبادئ </w:t>
            </w:r>
            <w:r w:rsidR="00E57FE5" w:rsidRPr="00220160">
              <w:rPr>
                <w:rFonts w:ascii="Times New Roman" w:hAnsi="Times New Roman"/>
                <w:sz w:val="24"/>
                <w:szCs w:val="24"/>
                <w:rtl/>
                <w:lang w:val="en-GB"/>
              </w:rPr>
              <w:t xml:space="preserve">توجيهية لوسائل الإعلام وغيرها من المشاركين في </w:t>
            </w:r>
            <w:r w:rsidR="00F65A24" w:rsidRPr="00220160">
              <w:rPr>
                <w:rFonts w:ascii="Times New Roman" w:hAnsi="Times New Roman"/>
                <w:sz w:val="24"/>
                <w:szCs w:val="24"/>
                <w:rtl/>
                <w:lang w:val="en-GB"/>
              </w:rPr>
              <w:t>التوعية</w:t>
            </w:r>
          </w:p>
          <w:p w14:paraId="226D770B" w14:textId="3EF16ED6" w:rsidR="00E57FE5" w:rsidRPr="00220160" w:rsidRDefault="00CA67D2" w:rsidP="00FB3A27">
            <w:pPr>
              <w:pStyle w:val="ListParagraph"/>
              <w:numPr>
                <w:ilvl w:val="0"/>
                <w:numId w:val="73"/>
              </w:numPr>
              <w:bidi/>
              <w:spacing w:before="120"/>
              <w:jc w:val="both"/>
              <w:rPr>
                <w:rFonts w:ascii="Times New Roman" w:hAnsi="Times New Roman"/>
                <w:sz w:val="24"/>
                <w:szCs w:val="24"/>
                <w:lang w:val="en-GB"/>
              </w:rPr>
            </w:pPr>
            <w:r w:rsidRPr="00220160">
              <w:rPr>
                <w:rFonts w:ascii="Times New Roman" w:hAnsi="Times New Roman"/>
                <w:sz w:val="24"/>
                <w:szCs w:val="24"/>
                <w:rtl/>
                <w:lang w:val="en-GB"/>
              </w:rPr>
              <w:t xml:space="preserve">صكوك تشريعية </w:t>
            </w:r>
            <w:proofErr w:type="spellStart"/>
            <w:r w:rsidRPr="00220160">
              <w:rPr>
                <w:rFonts w:ascii="Times New Roman" w:hAnsi="Times New Roman"/>
                <w:sz w:val="24"/>
                <w:szCs w:val="24"/>
                <w:rtl/>
                <w:lang w:val="en-GB"/>
              </w:rPr>
              <w:t>وسياساتية</w:t>
            </w:r>
            <w:proofErr w:type="spellEnd"/>
            <w:r w:rsidRPr="00220160">
              <w:rPr>
                <w:rFonts w:ascii="Times New Roman" w:hAnsi="Times New Roman"/>
                <w:sz w:val="24"/>
                <w:szCs w:val="24"/>
                <w:rtl/>
                <w:lang w:val="en-GB"/>
              </w:rPr>
              <w:t xml:space="preserve"> </w:t>
            </w:r>
            <w:r w:rsidR="00E57FE5" w:rsidRPr="00220160">
              <w:rPr>
                <w:rFonts w:ascii="Times New Roman" w:hAnsi="Times New Roman"/>
                <w:sz w:val="24"/>
                <w:szCs w:val="24"/>
                <w:rtl/>
                <w:lang w:val="en-GB"/>
              </w:rPr>
              <w:t>متعلقة بالملكية الفكرية</w:t>
            </w:r>
          </w:p>
          <w:p w14:paraId="5C7C9478" w14:textId="73DD063D" w:rsidR="00E57FE5" w:rsidRPr="00220160" w:rsidRDefault="00CA67D2" w:rsidP="00FB3A27">
            <w:pPr>
              <w:pStyle w:val="ListParagraph"/>
              <w:numPr>
                <w:ilvl w:val="0"/>
                <w:numId w:val="73"/>
              </w:numPr>
              <w:bidi/>
              <w:spacing w:before="120"/>
              <w:jc w:val="both"/>
              <w:rPr>
                <w:rFonts w:ascii="Times New Roman" w:hAnsi="Times New Roman"/>
                <w:sz w:val="24"/>
                <w:szCs w:val="24"/>
                <w:lang w:val="en-GB"/>
              </w:rPr>
            </w:pPr>
            <w:r w:rsidRPr="00220160">
              <w:rPr>
                <w:rFonts w:ascii="Times New Roman" w:hAnsi="Times New Roman"/>
                <w:sz w:val="24"/>
                <w:szCs w:val="24"/>
                <w:rtl/>
                <w:lang w:val="en-GB"/>
              </w:rPr>
              <w:t xml:space="preserve">مواقع إلكترونية وتقارير خاصة بوزارة إعلام و/أو وزارة اتصالات و/أو وزارة </w:t>
            </w:r>
            <w:r w:rsidR="00E57FE5" w:rsidRPr="00220160">
              <w:rPr>
                <w:rFonts w:ascii="Times New Roman" w:hAnsi="Times New Roman"/>
                <w:sz w:val="24"/>
                <w:szCs w:val="24"/>
                <w:rtl/>
                <w:lang w:val="en-GB"/>
              </w:rPr>
              <w:t>شباب</w:t>
            </w:r>
          </w:p>
          <w:p w14:paraId="3258B7A1" w14:textId="071DF654" w:rsidR="00E57FE5" w:rsidRPr="00220160" w:rsidRDefault="00CA67D2" w:rsidP="00FB3A27">
            <w:pPr>
              <w:pStyle w:val="ListParagraph"/>
              <w:numPr>
                <w:ilvl w:val="0"/>
                <w:numId w:val="73"/>
              </w:numPr>
              <w:bidi/>
              <w:spacing w:before="120"/>
              <w:jc w:val="both"/>
              <w:rPr>
                <w:rFonts w:ascii="Times New Roman" w:hAnsi="Times New Roman"/>
                <w:sz w:val="24"/>
                <w:szCs w:val="24"/>
                <w:lang w:val="en-GB"/>
              </w:rPr>
            </w:pPr>
            <w:r w:rsidRPr="00220160">
              <w:rPr>
                <w:rFonts w:ascii="Times New Roman" w:hAnsi="Times New Roman"/>
                <w:sz w:val="24"/>
                <w:szCs w:val="24"/>
                <w:rtl/>
                <w:lang w:val="en-GB"/>
              </w:rPr>
              <w:t xml:space="preserve">مواقع إلكترونية، ومدونات إلكترونية، وسجلات </w:t>
            </w:r>
            <w:r w:rsidR="00E57FE5" w:rsidRPr="00220160">
              <w:rPr>
                <w:rFonts w:ascii="Times New Roman" w:hAnsi="Times New Roman"/>
                <w:sz w:val="24"/>
                <w:szCs w:val="24"/>
                <w:rtl/>
                <w:lang w:val="en-GB"/>
              </w:rPr>
              <w:t>فيديو، ومنشورات وسائل التواصل الاجتماعي</w:t>
            </w:r>
          </w:p>
          <w:p w14:paraId="03DEFB46" w14:textId="108974E2" w:rsidR="000C34E3" w:rsidRPr="00220160" w:rsidRDefault="00E57FE5" w:rsidP="00FB3A27">
            <w:pPr>
              <w:pStyle w:val="ListParagraph"/>
              <w:numPr>
                <w:ilvl w:val="0"/>
                <w:numId w:val="73"/>
              </w:numPr>
              <w:bidi/>
              <w:spacing w:before="120"/>
              <w:jc w:val="both"/>
              <w:rPr>
                <w:rFonts w:ascii="Times New Roman" w:hAnsi="Times New Roman"/>
                <w:sz w:val="24"/>
                <w:szCs w:val="24"/>
                <w:lang w:val="en-GB"/>
              </w:rPr>
            </w:pPr>
            <w:r w:rsidRPr="00220160">
              <w:rPr>
                <w:rFonts w:ascii="Times New Roman" w:hAnsi="Times New Roman"/>
                <w:sz w:val="24"/>
                <w:szCs w:val="24"/>
                <w:rtl/>
                <w:lang w:val="en-GB"/>
              </w:rPr>
              <w:t>مجموعات وجماعات وسائل التواصل الاجتماعي</w:t>
            </w:r>
          </w:p>
        </w:tc>
      </w:tr>
    </w:tbl>
    <w:p w14:paraId="40413866" w14:textId="77777777" w:rsidR="00320242" w:rsidRPr="008A1EEB" w:rsidRDefault="00320242" w:rsidP="00FB3A27">
      <w:pPr>
        <w:bidi/>
        <w:rPr>
          <w:sz w:val="2"/>
          <w:szCs w:val="2"/>
        </w:rPr>
      </w:pPr>
    </w:p>
    <w:sectPr w:rsidR="00320242" w:rsidRPr="008A1EEB"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24C84" w14:textId="77777777" w:rsidR="000E4562" w:rsidRDefault="000E4562" w:rsidP="002938F2">
      <w:r>
        <w:separator/>
      </w:r>
    </w:p>
    <w:p w14:paraId="21DE39D3" w14:textId="77777777" w:rsidR="000E4562" w:rsidRDefault="000E4562"/>
  </w:endnote>
  <w:endnote w:type="continuationSeparator" w:id="0">
    <w:p w14:paraId="3DD3040E" w14:textId="77777777" w:rsidR="000E4562" w:rsidRDefault="000E4562" w:rsidP="002938F2">
      <w:r>
        <w:continuationSeparator/>
      </w:r>
    </w:p>
    <w:p w14:paraId="634F6DD1" w14:textId="77777777" w:rsidR="000E4562" w:rsidRDefault="000E4562"/>
  </w:endnote>
  <w:endnote w:type="continuationNotice" w:id="1">
    <w:p w14:paraId="7B4A63E5" w14:textId="77777777" w:rsidR="000E4562" w:rsidRDefault="000E45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63A2" w14:textId="102497BB" w:rsidR="00C04344" w:rsidRPr="000A0709" w:rsidRDefault="003F6AEB" w:rsidP="00145F86">
    <w:pPr>
      <w:pStyle w:val="Footer"/>
      <w:bidi/>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DE7BB5">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EF89" w14:textId="77777777" w:rsidR="000E4562" w:rsidRDefault="000E4562" w:rsidP="002938F2">
      <w:r>
        <w:separator/>
      </w:r>
    </w:p>
  </w:footnote>
  <w:footnote w:type="continuationSeparator" w:id="0">
    <w:p w14:paraId="3D145EC5" w14:textId="77777777" w:rsidR="000E4562" w:rsidRDefault="000E4562" w:rsidP="002938F2">
      <w:r>
        <w:continuationSeparator/>
      </w:r>
    </w:p>
    <w:p w14:paraId="5184700D" w14:textId="77777777" w:rsidR="000E4562" w:rsidRDefault="000E4562"/>
  </w:footnote>
  <w:footnote w:type="continuationNotice" w:id="1">
    <w:p w14:paraId="799330B0" w14:textId="77777777" w:rsidR="000E4562" w:rsidRDefault="000E45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818"/>
    <w:multiLevelType w:val="multilevel"/>
    <w:tmpl w:val="30B0384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03C7423"/>
    <w:multiLevelType w:val="hybridMultilevel"/>
    <w:tmpl w:val="9B7A3C3A"/>
    <w:lvl w:ilvl="0" w:tplc="315C0D18">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8"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4"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7"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40"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4"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4"/>
  </w:num>
  <w:num w:numId="2">
    <w:abstractNumId w:val="27"/>
  </w:num>
  <w:num w:numId="3">
    <w:abstractNumId w:val="13"/>
  </w:num>
  <w:num w:numId="4">
    <w:abstractNumId w:val="56"/>
  </w:num>
  <w:num w:numId="5">
    <w:abstractNumId w:val="47"/>
  </w:num>
  <w:num w:numId="6">
    <w:abstractNumId w:val="5"/>
  </w:num>
  <w:num w:numId="7">
    <w:abstractNumId w:val="17"/>
  </w:num>
  <w:num w:numId="8">
    <w:abstractNumId w:val="26"/>
  </w:num>
  <w:num w:numId="9">
    <w:abstractNumId w:val="50"/>
  </w:num>
  <w:num w:numId="10">
    <w:abstractNumId w:val="26"/>
  </w:num>
  <w:num w:numId="11">
    <w:abstractNumId w:val="26"/>
  </w:num>
  <w:num w:numId="12">
    <w:abstractNumId w:val="26"/>
  </w:num>
  <w:num w:numId="13">
    <w:abstractNumId w:val="26"/>
  </w:num>
  <w:num w:numId="14">
    <w:abstractNumId w:val="26"/>
  </w:num>
  <w:num w:numId="15">
    <w:abstractNumId w:val="26"/>
  </w:num>
  <w:num w:numId="16">
    <w:abstractNumId w:val="24"/>
  </w:num>
  <w:num w:numId="17">
    <w:abstractNumId w:val="40"/>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54"/>
  </w:num>
  <w:num w:numId="27">
    <w:abstractNumId w:val="26"/>
  </w:num>
  <w:num w:numId="28">
    <w:abstractNumId w:val="26"/>
  </w:num>
  <w:num w:numId="29">
    <w:abstractNumId w:val="26"/>
  </w:num>
  <w:num w:numId="30">
    <w:abstractNumId w:val="26"/>
  </w:num>
  <w:num w:numId="31">
    <w:abstractNumId w:val="12"/>
  </w:num>
  <w:num w:numId="32">
    <w:abstractNumId w:val="10"/>
  </w:num>
  <w:num w:numId="33">
    <w:abstractNumId w:val="18"/>
  </w:num>
  <w:num w:numId="34">
    <w:abstractNumId w:val="48"/>
  </w:num>
  <w:num w:numId="35">
    <w:abstractNumId w:val="22"/>
  </w:num>
  <w:num w:numId="36">
    <w:abstractNumId w:val="42"/>
  </w:num>
  <w:num w:numId="37">
    <w:abstractNumId w:val="19"/>
  </w:num>
  <w:num w:numId="38">
    <w:abstractNumId w:val="11"/>
  </w:num>
  <w:num w:numId="39">
    <w:abstractNumId w:val="8"/>
  </w:num>
  <w:num w:numId="40">
    <w:abstractNumId w:val="21"/>
  </w:num>
  <w:num w:numId="41">
    <w:abstractNumId w:val="55"/>
  </w:num>
  <w:num w:numId="42">
    <w:abstractNumId w:val="52"/>
  </w:num>
  <w:num w:numId="43">
    <w:abstractNumId w:val="30"/>
  </w:num>
  <w:num w:numId="44">
    <w:abstractNumId w:val="14"/>
  </w:num>
  <w:num w:numId="45">
    <w:abstractNumId w:val="53"/>
  </w:num>
  <w:num w:numId="46">
    <w:abstractNumId w:val="7"/>
  </w:num>
  <w:num w:numId="47">
    <w:abstractNumId w:val="37"/>
  </w:num>
  <w:num w:numId="48">
    <w:abstractNumId w:val="57"/>
  </w:num>
  <w:num w:numId="49">
    <w:abstractNumId w:val="33"/>
  </w:num>
  <w:num w:numId="50">
    <w:abstractNumId w:val="31"/>
  </w:num>
  <w:num w:numId="51">
    <w:abstractNumId w:val="28"/>
  </w:num>
  <w:num w:numId="52">
    <w:abstractNumId w:val="39"/>
  </w:num>
  <w:num w:numId="53">
    <w:abstractNumId w:val="16"/>
  </w:num>
  <w:num w:numId="54">
    <w:abstractNumId w:val="2"/>
  </w:num>
  <w:num w:numId="55">
    <w:abstractNumId w:val="35"/>
  </w:num>
  <w:num w:numId="56">
    <w:abstractNumId w:val="41"/>
  </w:num>
  <w:num w:numId="57">
    <w:abstractNumId w:val="1"/>
  </w:num>
  <w:num w:numId="58">
    <w:abstractNumId w:val="4"/>
  </w:num>
  <w:num w:numId="59">
    <w:abstractNumId w:val="45"/>
  </w:num>
  <w:num w:numId="60">
    <w:abstractNumId w:val="3"/>
  </w:num>
  <w:num w:numId="61">
    <w:abstractNumId w:val="32"/>
  </w:num>
  <w:num w:numId="62">
    <w:abstractNumId w:val="23"/>
  </w:num>
  <w:num w:numId="63">
    <w:abstractNumId w:val="49"/>
  </w:num>
  <w:num w:numId="64">
    <w:abstractNumId w:val="20"/>
  </w:num>
  <w:num w:numId="65">
    <w:abstractNumId w:val="25"/>
  </w:num>
  <w:num w:numId="66">
    <w:abstractNumId w:val="46"/>
  </w:num>
  <w:num w:numId="67">
    <w:abstractNumId w:val="38"/>
  </w:num>
  <w:num w:numId="68">
    <w:abstractNumId w:val="15"/>
  </w:num>
  <w:num w:numId="69">
    <w:abstractNumId w:val="43"/>
  </w:num>
  <w:num w:numId="70">
    <w:abstractNumId w:val="34"/>
  </w:num>
  <w:num w:numId="71">
    <w:abstractNumId w:val="29"/>
  </w:num>
  <w:num w:numId="72">
    <w:abstractNumId w:val="51"/>
  </w:num>
  <w:num w:numId="73">
    <w:abstractNumId w:val="9"/>
  </w:num>
  <w:num w:numId="74">
    <w:abstractNumId w:val="36"/>
  </w:num>
  <w:num w:numId="75">
    <w:abstractNumId w:val="0"/>
  </w:num>
  <w:num w:numId="76">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AE"/>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2CCC"/>
    <w:rsid w:val="00034164"/>
    <w:rsid w:val="00036843"/>
    <w:rsid w:val="000448C2"/>
    <w:rsid w:val="00047E58"/>
    <w:rsid w:val="00054FDC"/>
    <w:rsid w:val="0005642B"/>
    <w:rsid w:val="0006120B"/>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B5258"/>
    <w:rsid w:val="000C03BF"/>
    <w:rsid w:val="000C15BD"/>
    <w:rsid w:val="000C34E3"/>
    <w:rsid w:val="000C55B2"/>
    <w:rsid w:val="000C65E4"/>
    <w:rsid w:val="000C7EE0"/>
    <w:rsid w:val="000D1EBC"/>
    <w:rsid w:val="000D260B"/>
    <w:rsid w:val="000D345F"/>
    <w:rsid w:val="000D7375"/>
    <w:rsid w:val="000E2EE7"/>
    <w:rsid w:val="000E4562"/>
    <w:rsid w:val="000F023C"/>
    <w:rsid w:val="000F12F7"/>
    <w:rsid w:val="000F25BA"/>
    <w:rsid w:val="000F2B3F"/>
    <w:rsid w:val="000F75DF"/>
    <w:rsid w:val="000F7E6F"/>
    <w:rsid w:val="00106B72"/>
    <w:rsid w:val="00106D19"/>
    <w:rsid w:val="0011334A"/>
    <w:rsid w:val="00115830"/>
    <w:rsid w:val="00116489"/>
    <w:rsid w:val="0011750D"/>
    <w:rsid w:val="00121B41"/>
    <w:rsid w:val="001301DF"/>
    <w:rsid w:val="001306EA"/>
    <w:rsid w:val="001412DE"/>
    <w:rsid w:val="00142D78"/>
    <w:rsid w:val="00144A4D"/>
    <w:rsid w:val="00145F1C"/>
    <w:rsid w:val="00145F86"/>
    <w:rsid w:val="00151351"/>
    <w:rsid w:val="00156788"/>
    <w:rsid w:val="00157385"/>
    <w:rsid w:val="001609A1"/>
    <w:rsid w:val="00162554"/>
    <w:rsid w:val="00163F68"/>
    <w:rsid w:val="00173B50"/>
    <w:rsid w:val="00173E0E"/>
    <w:rsid w:val="00174B39"/>
    <w:rsid w:val="00183F6C"/>
    <w:rsid w:val="00190F16"/>
    <w:rsid w:val="00194802"/>
    <w:rsid w:val="00194AEB"/>
    <w:rsid w:val="001A26A9"/>
    <w:rsid w:val="001A431C"/>
    <w:rsid w:val="001A5519"/>
    <w:rsid w:val="001A655D"/>
    <w:rsid w:val="001A7C3A"/>
    <w:rsid w:val="001B5C26"/>
    <w:rsid w:val="001B73B6"/>
    <w:rsid w:val="001C08BC"/>
    <w:rsid w:val="001C1A83"/>
    <w:rsid w:val="001C56BA"/>
    <w:rsid w:val="001C5B4B"/>
    <w:rsid w:val="001C6D7D"/>
    <w:rsid w:val="001D00B5"/>
    <w:rsid w:val="001D3B29"/>
    <w:rsid w:val="001D59C8"/>
    <w:rsid w:val="001D65F3"/>
    <w:rsid w:val="001E4EEB"/>
    <w:rsid w:val="001E6026"/>
    <w:rsid w:val="001F3696"/>
    <w:rsid w:val="001F37CA"/>
    <w:rsid w:val="001F3820"/>
    <w:rsid w:val="0020163D"/>
    <w:rsid w:val="00203AD7"/>
    <w:rsid w:val="002042CC"/>
    <w:rsid w:val="00204B37"/>
    <w:rsid w:val="002074D6"/>
    <w:rsid w:val="0021055F"/>
    <w:rsid w:val="00210CBC"/>
    <w:rsid w:val="002119C5"/>
    <w:rsid w:val="00212DD2"/>
    <w:rsid w:val="00220160"/>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760CB"/>
    <w:rsid w:val="00281AA4"/>
    <w:rsid w:val="00282A9D"/>
    <w:rsid w:val="00286C0C"/>
    <w:rsid w:val="00287687"/>
    <w:rsid w:val="00290D5F"/>
    <w:rsid w:val="002938F2"/>
    <w:rsid w:val="00293CCC"/>
    <w:rsid w:val="002A0454"/>
    <w:rsid w:val="002A195D"/>
    <w:rsid w:val="002A21FF"/>
    <w:rsid w:val="002B43D6"/>
    <w:rsid w:val="002B64DB"/>
    <w:rsid w:val="002B6B98"/>
    <w:rsid w:val="002C28BA"/>
    <w:rsid w:val="002C3B8F"/>
    <w:rsid w:val="002C444C"/>
    <w:rsid w:val="002C5021"/>
    <w:rsid w:val="002C5280"/>
    <w:rsid w:val="002C5C29"/>
    <w:rsid w:val="002C7F2D"/>
    <w:rsid w:val="002D396D"/>
    <w:rsid w:val="002D71D4"/>
    <w:rsid w:val="002E113D"/>
    <w:rsid w:val="002F17E1"/>
    <w:rsid w:val="002F7A36"/>
    <w:rsid w:val="003043A9"/>
    <w:rsid w:val="0030454E"/>
    <w:rsid w:val="00320242"/>
    <w:rsid w:val="00322A3A"/>
    <w:rsid w:val="00324A32"/>
    <w:rsid w:val="00325D6E"/>
    <w:rsid w:val="00327BF6"/>
    <w:rsid w:val="00334977"/>
    <w:rsid w:val="00337194"/>
    <w:rsid w:val="00342EE8"/>
    <w:rsid w:val="00344D78"/>
    <w:rsid w:val="00345F6B"/>
    <w:rsid w:val="00346517"/>
    <w:rsid w:val="00351CCB"/>
    <w:rsid w:val="00352033"/>
    <w:rsid w:val="0035648A"/>
    <w:rsid w:val="00362B41"/>
    <w:rsid w:val="00363995"/>
    <w:rsid w:val="00364E5E"/>
    <w:rsid w:val="00370E9B"/>
    <w:rsid w:val="00374F31"/>
    <w:rsid w:val="003763D8"/>
    <w:rsid w:val="00377E4B"/>
    <w:rsid w:val="00383BA9"/>
    <w:rsid w:val="003845B0"/>
    <w:rsid w:val="00385B34"/>
    <w:rsid w:val="00386C08"/>
    <w:rsid w:val="00387D88"/>
    <w:rsid w:val="0039307C"/>
    <w:rsid w:val="0039446E"/>
    <w:rsid w:val="003A260A"/>
    <w:rsid w:val="003A2BC4"/>
    <w:rsid w:val="003B31BE"/>
    <w:rsid w:val="003B504D"/>
    <w:rsid w:val="003B69BB"/>
    <w:rsid w:val="003C7065"/>
    <w:rsid w:val="003D2E0D"/>
    <w:rsid w:val="003D5113"/>
    <w:rsid w:val="003D5BFC"/>
    <w:rsid w:val="003D6E10"/>
    <w:rsid w:val="003E0C0F"/>
    <w:rsid w:val="003E0E28"/>
    <w:rsid w:val="003E19D5"/>
    <w:rsid w:val="003E76A8"/>
    <w:rsid w:val="003F5B90"/>
    <w:rsid w:val="003F6AEB"/>
    <w:rsid w:val="00404856"/>
    <w:rsid w:val="00404ED4"/>
    <w:rsid w:val="00405DE7"/>
    <w:rsid w:val="00406ED7"/>
    <w:rsid w:val="004108B6"/>
    <w:rsid w:val="0041110F"/>
    <w:rsid w:val="0041300C"/>
    <w:rsid w:val="00414B68"/>
    <w:rsid w:val="004257BA"/>
    <w:rsid w:val="00430ED2"/>
    <w:rsid w:val="00434773"/>
    <w:rsid w:val="004367F5"/>
    <w:rsid w:val="004458C9"/>
    <w:rsid w:val="00447C66"/>
    <w:rsid w:val="00461CDB"/>
    <w:rsid w:val="00462F38"/>
    <w:rsid w:val="004653C8"/>
    <w:rsid w:val="00465F44"/>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441"/>
    <w:rsid w:val="00532631"/>
    <w:rsid w:val="005326A2"/>
    <w:rsid w:val="0053433E"/>
    <w:rsid w:val="005414A1"/>
    <w:rsid w:val="0054175C"/>
    <w:rsid w:val="005473CF"/>
    <w:rsid w:val="00570355"/>
    <w:rsid w:val="00574530"/>
    <w:rsid w:val="00576188"/>
    <w:rsid w:val="00580B1C"/>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D32E2"/>
    <w:rsid w:val="005E3A3E"/>
    <w:rsid w:val="005E6A2B"/>
    <w:rsid w:val="005E7C7C"/>
    <w:rsid w:val="00601DD6"/>
    <w:rsid w:val="006032AE"/>
    <w:rsid w:val="00603F71"/>
    <w:rsid w:val="00605202"/>
    <w:rsid w:val="006058FD"/>
    <w:rsid w:val="00615E5E"/>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77BF5"/>
    <w:rsid w:val="00686D60"/>
    <w:rsid w:val="00691869"/>
    <w:rsid w:val="006A0D86"/>
    <w:rsid w:val="006A49AE"/>
    <w:rsid w:val="006A56C0"/>
    <w:rsid w:val="006C0911"/>
    <w:rsid w:val="006C737A"/>
    <w:rsid w:val="006D46FB"/>
    <w:rsid w:val="006E29C0"/>
    <w:rsid w:val="006E4CC7"/>
    <w:rsid w:val="006E752A"/>
    <w:rsid w:val="006E7CF0"/>
    <w:rsid w:val="006F3E83"/>
    <w:rsid w:val="006F4873"/>
    <w:rsid w:val="006F4B83"/>
    <w:rsid w:val="006F7F47"/>
    <w:rsid w:val="00701458"/>
    <w:rsid w:val="00701D7E"/>
    <w:rsid w:val="00704766"/>
    <w:rsid w:val="00706509"/>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857D6"/>
    <w:rsid w:val="00790C65"/>
    <w:rsid w:val="0079316B"/>
    <w:rsid w:val="007A0565"/>
    <w:rsid w:val="007A0EAA"/>
    <w:rsid w:val="007A1247"/>
    <w:rsid w:val="007A1E0A"/>
    <w:rsid w:val="007A69DE"/>
    <w:rsid w:val="007A6F91"/>
    <w:rsid w:val="007A7D45"/>
    <w:rsid w:val="007B18FA"/>
    <w:rsid w:val="007B4ADA"/>
    <w:rsid w:val="007C105C"/>
    <w:rsid w:val="007C1B00"/>
    <w:rsid w:val="007D0F1D"/>
    <w:rsid w:val="007D2881"/>
    <w:rsid w:val="007D31CE"/>
    <w:rsid w:val="007D3AD8"/>
    <w:rsid w:val="007D5BB7"/>
    <w:rsid w:val="007D6A69"/>
    <w:rsid w:val="007E0621"/>
    <w:rsid w:val="007E2BB6"/>
    <w:rsid w:val="007E4E37"/>
    <w:rsid w:val="007F44C8"/>
    <w:rsid w:val="007F4B07"/>
    <w:rsid w:val="008029A6"/>
    <w:rsid w:val="008147BA"/>
    <w:rsid w:val="0081520C"/>
    <w:rsid w:val="008269B0"/>
    <w:rsid w:val="0083067E"/>
    <w:rsid w:val="00832357"/>
    <w:rsid w:val="0083488D"/>
    <w:rsid w:val="00842F2E"/>
    <w:rsid w:val="008466C3"/>
    <w:rsid w:val="00846809"/>
    <w:rsid w:val="00851458"/>
    <w:rsid w:val="00861A47"/>
    <w:rsid w:val="008707FF"/>
    <w:rsid w:val="008724E5"/>
    <w:rsid w:val="00877AC5"/>
    <w:rsid w:val="00877F27"/>
    <w:rsid w:val="00880C7E"/>
    <w:rsid w:val="0088173A"/>
    <w:rsid w:val="00881EB9"/>
    <w:rsid w:val="008848E9"/>
    <w:rsid w:val="00884C09"/>
    <w:rsid w:val="00885596"/>
    <w:rsid w:val="00885B33"/>
    <w:rsid w:val="00886B71"/>
    <w:rsid w:val="0089499E"/>
    <w:rsid w:val="00896177"/>
    <w:rsid w:val="008A0BE3"/>
    <w:rsid w:val="008A1EEB"/>
    <w:rsid w:val="008A2566"/>
    <w:rsid w:val="008A6663"/>
    <w:rsid w:val="008B1960"/>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2B5"/>
    <w:rsid w:val="009127D8"/>
    <w:rsid w:val="00916F7B"/>
    <w:rsid w:val="00917A4D"/>
    <w:rsid w:val="00921F65"/>
    <w:rsid w:val="0092574C"/>
    <w:rsid w:val="009342E8"/>
    <w:rsid w:val="009357B4"/>
    <w:rsid w:val="0093622E"/>
    <w:rsid w:val="009442A9"/>
    <w:rsid w:val="00946D71"/>
    <w:rsid w:val="009577E1"/>
    <w:rsid w:val="009677FD"/>
    <w:rsid w:val="00971CA1"/>
    <w:rsid w:val="0097349C"/>
    <w:rsid w:val="009814C2"/>
    <w:rsid w:val="00982FFD"/>
    <w:rsid w:val="00985265"/>
    <w:rsid w:val="00985856"/>
    <w:rsid w:val="009A4969"/>
    <w:rsid w:val="009B1466"/>
    <w:rsid w:val="009B6973"/>
    <w:rsid w:val="009C0510"/>
    <w:rsid w:val="009C3663"/>
    <w:rsid w:val="009D098F"/>
    <w:rsid w:val="009D2CD3"/>
    <w:rsid w:val="009D4547"/>
    <w:rsid w:val="009D5A49"/>
    <w:rsid w:val="009D5E38"/>
    <w:rsid w:val="009D602F"/>
    <w:rsid w:val="009D68D0"/>
    <w:rsid w:val="009D6E5A"/>
    <w:rsid w:val="009E17AF"/>
    <w:rsid w:val="009F0D42"/>
    <w:rsid w:val="009F1B82"/>
    <w:rsid w:val="009F34A4"/>
    <w:rsid w:val="009F3988"/>
    <w:rsid w:val="00A003D0"/>
    <w:rsid w:val="00A073FD"/>
    <w:rsid w:val="00A1047E"/>
    <w:rsid w:val="00A14ADF"/>
    <w:rsid w:val="00A150C7"/>
    <w:rsid w:val="00A2307A"/>
    <w:rsid w:val="00A4552F"/>
    <w:rsid w:val="00A462C6"/>
    <w:rsid w:val="00A519A2"/>
    <w:rsid w:val="00A51BDC"/>
    <w:rsid w:val="00A52370"/>
    <w:rsid w:val="00A52654"/>
    <w:rsid w:val="00A535B7"/>
    <w:rsid w:val="00A5709F"/>
    <w:rsid w:val="00A616C4"/>
    <w:rsid w:val="00A61F20"/>
    <w:rsid w:val="00A64796"/>
    <w:rsid w:val="00A66CD4"/>
    <w:rsid w:val="00A70883"/>
    <w:rsid w:val="00A724F0"/>
    <w:rsid w:val="00A77AEB"/>
    <w:rsid w:val="00A81F0A"/>
    <w:rsid w:val="00A85C7A"/>
    <w:rsid w:val="00A86042"/>
    <w:rsid w:val="00AA36F9"/>
    <w:rsid w:val="00AA444A"/>
    <w:rsid w:val="00AB1528"/>
    <w:rsid w:val="00AD5FAA"/>
    <w:rsid w:val="00AD615A"/>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1C6"/>
    <w:rsid w:val="00B427FE"/>
    <w:rsid w:val="00B51737"/>
    <w:rsid w:val="00B6102A"/>
    <w:rsid w:val="00B6167A"/>
    <w:rsid w:val="00B62ED0"/>
    <w:rsid w:val="00B64196"/>
    <w:rsid w:val="00B66A7A"/>
    <w:rsid w:val="00B70266"/>
    <w:rsid w:val="00B74304"/>
    <w:rsid w:val="00B82A71"/>
    <w:rsid w:val="00B82F05"/>
    <w:rsid w:val="00B87142"/>
    <w:rsid w:val="00B8750E"/>
    <w:rsid w:val="00B92374"/>
    <w:rsid w:val="00B924C8"/>
    <w:rsid w:val="00B95E33"/>
    <w:rsid w:val="00B973B5"/>
    <w:rsid w:val="00B9799A"/>
    <w:rsid w:val="00B97FD1"/>
    <w:rsid w:val="00BA5AF8"/>
    <w:rsid w:val="00BA6367"/>
    <w:rsid w:val="00BB1062"/>
    <w:rsid w:val="00BB28EF"/>
    <w:rsid w:val="00BB5DEE"/>
    <w:rsid w:val="00BC002E"/>
    <w:rsid w:val="00BC393F"/>
    <w:rsid w:val="00BC75FC"/>
    <w:rsid w:val="00BD59BD"/>
    <w:rsid w:val="00BD7B15"/>
    <w:rsid w:val="00BE5B3F"/>
    <w:rsid w:val="00BF351F"/>
    <w:rsid w:val="00BF3F50"/>
    <w:rsid w:val="00BF6F37"/>
    <w:rsid w:val="00C02924"/>
    <w:rsid w:val="00C04344"/>
    <w:rsid w:val="00C17FE4"/>
    <w:rsid w:val="00C21897"/>
    <w:rsid w:val="00C252F1"/>
    <w:rsid w:val="00C276EE"/>
    <w:rsid w:val="00C37E17"/>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67D2"/>
    <w:rsid w:val="00CA7CF4"/>
    <w:rsid w:val="00CB0F37"/>
    <w:rsid w:val="00CB1135"/>
    <w:rsid w:val="00CB590B"/>
    <w:rsid w:val="00CC02C5"/>
    <w:rsid w:val="00CC2BC6"/>
    <w:rsid w:val="00CC3AAB"/>
    <w:rsid w:val="00CD324E"/>
    <w:rsid w:val="00CD4A28"/>
    <w:rsid w:val="00CD54BD"/>
    <w:rsid w:val="00CD6C36"/>
    <w:rsid w:val="00CE02F9"/>
    <w:rsid w:val="00CE2586"/>
    <w:rsid w:val="00CE2BF7"/>
    <w:rsid w:val="00CF05D7"/>
    <w:rsid w:val="00CF34A6"/>
    <w:rsid w:val="00CF3F93"/>
    <w:rsid w:val="00D020F3"/>
    <w:rsid w:val="00D04515"/>
    <w:rsid w:val="00D065AD"/>
    <w:rsid w:val="00D22831"/>
    <w:rsid w:val="00D26CA8"/>
    <w:rsid w:val="00D404B7"/>
    <w:rsid w:val="00D44509"/>
    <w:rsid w:val="00D448CB"/>
    <w:rsid w:val="00D47226"/>
    <w:rsid w:val="00D47ED5"/>
    <w:rsid w:val="00D61779"/>
    <w:rsid w:val="00D66F11"/>
    <w:rsid w:val="00D73DB6"/>
    <w:rsid w:val="00D809E5"/>
    <w:rsid w:val="00D81948"/>
    <w:rsid w:val="00D84B93"/>
    <w:rsid w:val="00D90819"/>
    <w:rsid w:val="00D93291"/>
    <w:rsid w:val="00D9501F"/>
    <w:rsid w:val="00DB50D5"/>
    <w:rsid w:val="00DC02CE"/>
    <w:rsid w:val="00DC157A"/>
    <w:rsid w:val="00DC3E92"/>
    <w:rsid w:val="00DC5537"/>
    <w:rsid w:val="00DD11EE"/>
    <w:rsid w:val="00DD35E7"/>
    <w:rsid w:val="00DD52A0"/>
    <w:rsid w:val="00DE5590"/>
    <w:rsid w:val="00DE6364"/>
    <w:rsid w:val="00DE7BB5"/>
    <w:rsid w:val="00DF0630"/>
    <w:rsid w:val="00DF1D9E"/>
    <w:rsid w:val="00DF3DA3"/>
    <w:rsid w:val="00DF5DA4"/>
    <w:rsid w:val="00E007AE"/>
    <w:rsid w:val="00E06492"/>
    <w:rsid w:val="00E065CE"/>
    <w:rsid w:val="00E06A00"/>
    <w:rsid w:val="00E13E03"/>
    <w:rsid w:val="00E22B99"/>
    <w:rsid w:val="00E24A9D"/>
    <w:rsid w:val="00E258D9"/>
    <w:rsid w:val="00E25D87"/>
    <w:rsid w:val="00E339A3"/>
    <w:rsid w:val="00E35B8C"/>
    <w:rsid w:val="00E4003A"/>
    <w:rsid w:val="00E439CA"/>
    <w:rsid w:val="00E46DDB"/>
    <w:rsid w:val="00E473F3"/>
    <w:rsid w:val="00E5219B"/>
    <w:rsid w:val="00E56905"/>
    <w:rsid w:val="00E57FE5"/>
    <w:rsid w:val="00E6303D"/>
    <w:rsid w:val="00E64BE4"/>
    <w:rsid w:val="00E654DC"/>
    <w:rsid w:val="00E73923"/>
    <w:rsid w:val="00E85565"/>
    <w:rsid w:val="00E8798A"/>
    <w:rsid w:val="00E87F91"/>
    <w:rsid w:val="00E94BC6"/>
    <w:rsid w:val="00EA0563"/>
    <w:rsid w:val="00EA198F"/>
    <w:rsid w:val="00EA2EA1"/>
    <w:rsid w:val="00EA3CB9"/>
    <w:rsid w:val="00EA59EB"/>
    <w:rsid w:val="00EA67F3"/>
    <w:rsid w:val="00EB48F8"/>
    <w:rsid w:val="00ED0C60"/>
    <w:rsid w:val="00ED31E3"/>
    <w:rsid w:val="00ED3D26"/>
    <w:rsid w:val="00ED5218"/>
    <w:rsid w:val="00EE1D9D"/>
    <w:rsid w:val="00EF0BCB"/>
    <w:rsid w:val="00EF0E74"/>
    <w:rsid w:val="00EF2549"/>
    <w:rsid w:val="00F00E8A"/>
    <w:rsid w:val="00F070B4"/>
    <w:rsid w:val="00F16242"/>
    <w:rsid w:val="00F17FCB"/>
    <w:rsid w:val="00F21E99"/>
    <w:rsid w:val="00F226CC"/>
    <w:rsid w:val="00F2691E"/>
    <w:rsid w:val="00F279DD"/>
    <w:rsid w:val="00F3242E"/>
    <w:rsid w:val="00F33650"/>
    <w:rsid w:val="00F348F9"/>
    <w:rsid w:val="00F37E4B"/>
    <w:rsid w:val="00F4144E"/>
    <w:rsid w:val="00F41B00"/>
    <w:rsid w:val="00F473CB"/>
    <w:rsid w:val="00F50245"/>
    <w:rsid w:val="00F63DDA"/>
    <w:rsid w:val="00F65A24"/>
    <w:rsid w:val="00F67029"/>
    <w:rsid w:val="00F70858"/>
    <w:rsid w:val="00F71BBC"/>
    <w:rsid w:val="00F7397F"/>
    <w:rsid w:val="00F75949"/>
    <w:rsid w:val="00F75CF4"/>
    <w:rsid w:val="00F866CD"/>
    <w:rsid w:val="00F941F0"/>
    <w:rsid w:val="00F96504"/>
    <w:rsid w:val="00F97FF5"/>
    <w:rsid w:val="00FA4FE2"/>
    <w:rsid w:val="00FA7CE6"/>
    <w:rsid w:val="00FB1313"/>
    <w:rsid w:val="00FB3A27"/>
    <w:rsid w:val="00FC2238"/>
    <w:rsid w:val="00FC2459"/>
    <w:rsid w:val="00FC268E"/>
    <w:rsid w:val="00FC2BFD"/>
    <w:rsid w:val="00FC309D"/>
    <w:rsid w:val="00FC47E0"/>
    <w:rsid w:val="00FD1C42"/>
    <w:rsid w:val="00FD1E96"/>
    <w:rsid w:val="00FD1FE7"/>
    <w:rsid w:val="00FD6442"/>
    <w:rsid w:val="00FE15F6"/>
    <w:rsid w:val="00FE1F8A"/>
    <w:rsid w:val="00FE4C42"/>
    <w:rsid w:val="00FF14AA"/>
    <w:rsid w:val="00FF26CC"/>
    <w:rsid w:val="00FF2B1D"/>
    <w:rsid w:val="00FF3524"/>
    <w:rsid w:val="00FF3F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B31E4"/>
  <w15:docId w15:val="{283FB243-131E-4A02-A460-9015088E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210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 w:id="21185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C098-B395-4882-8A64-A258DAEB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1</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Joseph, George</cp:lastModifiedBy>
  <cp:revision>2</cp:revision>
  <dcterms:created xsi:type="dcterms:W3CDTF">2022-04-06T09:53:00Z</dcterms:created>
  <dcterms:modified xsi:type="dcterms:W3CDTF">2022-04-06T09:53:00Z</dcterms:modified>
</cp:coreProperties>
</file>