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B8561" w14:textId="77777777" w:rsidR="0081159A" w:rsidRPr="00762F46" w:rsidRDefault="0081159A" w:rsidP="00014461">
      <w:pPr>
        <w:pageBreakBefore/>
        <w:bidi/>
        <w:jc w:val="center"/>
        <w:rPr>
          <w:b/>
          <w:bCs/>
          <w:sz w:val="24"/>
        </w:rPr>
      </w:pPr>
      <w:r w:rsidRPr="00762F46">
        <w:rPr>
          <w:b/>
          <w:bCs/>
          <w:sz w:val="24"/>
          <w:rtl/>
        </w:rPr>
        <w:t>اللمحة العامة والأسس المنطقية</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
        <w:gridCol w:w="6582"/>
        <w:gridCol w:w="1533"/>
      </w:tblGrid>
      <w:tr w:rsidR="005473CF" w:rsidRPr="00762F46" w14:paraId="74B556F2" w14:textId="77777777" w:rsidTr="0081159A">
        <w:trPr>
          <w:cantSplit/>
        </w:trPr>
        <w:tc>
          <w:tcPr>
            <w:tcW w:w="786" w:type="pct"/>
            <w:shd w:val="clear" w:color="auto" w:fill="auto"/>
          </w:tcPr>
          <w:p w14:paraId="71B08DA9" w14:textId="5378C608" w:rsidR="005473CF" w:rsidRPr="00E57472" w:rsidRDefault="0081159A" w:rsidP="00014461">
            <w:pPr>
              <w:bidi/>
              <w:spacing w:before="120"/>
              <w:jc w:val="both"/>
              <w:rPr>
                <w:b/>
                <w:sz w:val="24"/>
              </w:rPr>
            </w:pPr>
            <w:r w:rsidRPr="00E57472">
              <w:rPr>
                <w:b/>
                <w:bCs/>
                <w:sz w:val="24"/>
                <w:rtl/>
                <w:lang w:bidi="ar-EG"/>
              </w:rPr>
              <w:t>المؤشر</w:t>
            </w:r>
          </w:p>
        </w:tc>
        <w:tc>
          <w:tcPr>
            <w:tcW w:w="4214" w:type="pct"/>
            <w:gridSpan w:val="2"/>
            <w:shd w:val="clear" w:color="auto" w:fill="auto"/>
          </w:tcPr>
          <w:p w14:paraId="1D377CA4" w14:textId="3C363855" w:rsidR="005473CF" w:rsidRPr="00E57472" w:rsidRDefault="00762F46" w:rsidP="00014461">
            <w:pPr>
              <w:pStyle w:val="ListParagraph"/>
              <w:keepLines/>
              <w:numPr>
                <w:ilvl w:val="0"/>
                <w:numId w:val="76"/>
              </w:numPr>
              <w:bidi/>
              <w:spacing w:before="120"/>
              <w:jc w:val="both"/>
              <w:rPr>
                <w:bCs/>
                <w:sz w:val="24"/>
                <w:szCs w:val="24"/>
              </w:rPr>
            </w:pPr>
            <w:r w:rsidRPr="00E57472">
              <w:rPr>
                <w:bCs/>
                <w:sz w:val="24"/>
                <w:szCs w:val="24"/>
                <w:rtl/>
              </w:rPr>
              <w:t>مدى إشراك وسائل الإعلام في التوعية بأهمية التراث الثقافي غير المادي وصونه وفي تعزيز التفاهم والاحترام المتبادل</w:t>
            </w:r>
          </w:p>
        </w:tc>
      </w:tr>
      <w:tr w:rsidR="005B0FE5" w:rsidRPr="00762F46" w14:paraId="0EAAD53D" w14:textId="77777777" w:rsidTr="0081159A">
        <w:trPr>
          <w:cantSplit/>
        </w:trPr>
        <w:tc>
          <w:tcPr>
            <w:tcW w:w="786" w:type="pct"/>
            <w:vMerge w:val="restart"/>
            <w:shd w:val="clear" w:color="auto" w:fill="auto"/>
          </w:tcPr>
          <w:p w14:paraId="6BD58B08" w14:textId="03389750" w:rsidR="005B0FE5" w:rsidRPr="00E57472" w:rsidRDefault="0081159A" w:rsidP="00014461">
            <w:pPr>
              <w:bidi/>
              <w:spacing w:before="120"/>
              <w:jc w:val="both"/>
              <w:rPr>
                <w:b/>
                <w:sz w:val="24"/>
              </w:rPr>
            </w:pPr>
            <w:r w:rsidRPr="00E57472">
              <w:rPr>
                <w:b/>
                <w:bCs/>
                <w:sz w:val="24"/>
                <w:rtl/>
              </w:rPr>
              <w:t>عوامل التقييم الشامل</w:t>
            </w:r>
          </w:p>
        </w:tc>
        <w:tc>
          <w:tcPr>
            <w:tcW w:w="4214" w:type="pct"/>
            <w:gridSpan w:val="2"/>
            <w:shd w:val="clear" w:color="auto" w:fill="auto"/>
          </w:tcPr>
          <w:p w14:paraId="7A439B54" w14:textId="76F3DAA8" w:rsidR="005B0FE5" w:rsidRPr="00E57472" w:rsidRDefault="00BE7E69" w:rsidP="00014461">
            <w:pPr>
              <w:keepLines/>
              <w:bidi/>
              <w:spacing w:before="120"/>
              <w:jc w:val="both"/>
              <w:rPr>
                <w:b/>
                <w:sz w:val="24"/>
              </w:rPr>
            </w:pPr>
            <w:r w:rsidRPr="00E57472">
              <w:rPr>
                <w:sz w:val="24"/>
                <w:rtl/>
              </w:rPr>
              <w:t xml:space="preserve">يتم تقييم هذا المؤشر على أساس أربعة عوامل على الصعيد القطري ترصدها كل دولة طرف </w:t>
            </w:r>
            <w:r w:rsidR="008919C2" w:rsidRPr="00E57472">
              <w:rPr>
                <w:rFonts w:hint="cs"/>
                <w:sz w:val="24"/>
                <w:rtl/>
              </w:rPr>
              <w:t>و</w:t>
            </w:r>
            <w:r w:rsidR="00296758" w:rsidRPr="00E57472">
              <w:rPr>
                <w:rFonts w:hint="cs"/>
                <w:sz w:val="24"/>
                <w:rtl/>
              </w:rPr>
              <w:t>ت</w:t>
            </w:r>
            <w:r w:rsidR="00264D53">
              <w:rPr>
                <w:rFonts w:hint="cs"/>
                <w:sz w:val="24"/>
                <w:rtl/>
              </w:rPr>
              <w:t xml:space="preserve">عد </w:t>
            </w:r>
            <w:proofErr w:type="gramStart"/>
            <w:r w:rsidR="00264D53">
              <w:rPr>
                <w:rFonts w:hint="cs"/>
                <w:sz w:val="24"/>
                <w:rtl/>
              </w:rPr>
              <w:t xml:space="preserve">التقرير </w:t>
            </w:r>
            <w:r w:rsidR="00296758" w:rsidRPr="00E57472">
              <w:rPr>
                <w:rFonts w:hint="cs"/>
                <w:sz w:val="24"/>
                <w:rtl/>
              </w:rPr>
              <w:t xml:space="preserve"> عنها</w:t>
            </w:r>
            <w:proofErr w:type="gramEnd"/>
            <w:r w:rsidRPr="00E57472">
              <w:rPr>
                <w:sz w:val="24"/>
                <w:rtl/>
              </w:rPr>
              <w:t>:</w:t>
            </w:r>
          </w:p>
        </w:tc>
      </w:tr>
      <w:tr w:rsidR="00382757" w:rsidRPr="00762F46" w14:paraId="7467CC76" w14:textId="77777777" w:rsidTr="0081159A">
        <w:trPr>
          <w:cantSplit/>
        </w:trPr>
        <w:tc>
          <w:tcPr>
            <w:tcW w:w="786" w:type="pct"/>
            <w:vMerge/>
            <w:shd w:val="clear" w:color="auto" w:fill="auto"/>
          </w:tcPr>
          <w:p w14:paraId="4AC3320B" w14:textId="77777777" w:rsidR="00382757" w:rsidRPr="00E57472" w:rsidRDefault="00382757" w:rsidP="00014461">
            <w:pPr>
              <w:bidi/>
              <w:spacing w:before="120"/>
              <w:jc w:val="both"/>
              <w:rPr>
                <w:b/>
                <w:sz w:val="24"/>
              </w:rPr>
            </w:pPr>
          </w:p>
        </w:tc>
        <w:tc>
          <w:tcPr>
            <w:tcW w:w="3418" w:type="pct"/>
            <w:shd w:val="clear" w:color="auto" w:fill="auto"/>
            <w:vAlign w:val="center"/>
          </w:tcPr>
          <w:p w14:paraId="2246A56D" w14:textId="498451E3" w:rsidR="00382757" w:rsidRPr="00E57472" w:rsidRDefault="0099689D" w:rsidP="00014461">
            <w:pPr>
              <w:keepLines/>
              <w:bidi/>
              <w:spacing w:before="120"/>
              <w:jc w:val="both"/>
              <w:rPr>
                <w:sz w:val="24"/>
              </w:rPr>
            </w:pPr>
            <w:r w:rsidRPr="00E57472">
              <w:rPr>
                <w:rFonts w:hint="cs"/>
                <w:sz w:val="24"/>
                <w:rtl/>
              </w:rPr>
              <w:t>18</w:t>
            </w:r>
            <w:r w:rsidRPr="00E57472">
              <w:rPr>
                <w:sz w:val="24"/>
                <w:rtl/>
              </w:rPr>
              <w:t>-1 ترفع التغطية الإعلامية التوعية بأهميّة التراث الثقافي غير المادي وصونه وتعزز للاحترام المتبادل بين الجماعات والمجموعات والأفراد.</w:t>
            </w:r>
          </w:p>
        </w:tc>
        <w:tc>
          <w:tcPr>
            <w:tcW w:w="796" w:type="pct"/>
            <w:shd w:val="clear" w:color="auto" w:fill="auto"/>
            <w:vAlign w:val="center"/>
          </w:tcPr>
          <w:p w14:paraId="0B4515F3" w14:textId="26CBA493" w:rsidR="00382757" w:rsidRPr="00E57472" w:rsidRDefault="008919C2" w:rsidP="00014461">
            <w:pPr>
              <w:keepLines/>
              <w:bidi/>
              <w:spacing w:before="120"/>
              <w:jc w:val="both"/>
              <w:rPr>
                <w:sz w:val="24"/>
              </w:rPr>
            </w:pPr>
            <w:r w:rsidRPr="00E57472">
              <w:rPr>
                <w:sz w:val="24"/>
                <w:rtl/>
              </w:rPr>
              <w:t xml:space="preserve">التوجيه </w:t>
            </w:r>
            <w:r w:rsidR="00EB2373" w:rsidRPr="00E57472">
              <w:rPr>
                <w:rFonts w:hint="cs"/>
                <w:sz w:val="24"/>
                <w:rtl/>
              </w:rPr>
              <w:t>التنفيذي</w:t>
            </w:r>
            <w:r w:rsidRPr="00E57472">
              <w:rPr>
                <w:sz w:val="24"/>
                <w:rtl/>
              </w:rPr>
              <w:t xml:space="preserve"> 111</w:t>
            </w:r>
            <w:r w:rsidR="000076E4" w:rsidRPr="00E57472">
              <w:rPr>
                <w:rFonts w:hint="cs"/>
                <w:sz w:val="24"/>
                <w:rtl/>
              </w:rPr>
              <w:t>، و</w:t>
            </w:r>
            <w:r w:rsidR="0057597A" w:rsidRPr="00E57472">
              <w:rPr>
                <w:sz w:val="24"/>
                <w:rtl/>
              </w:rPr>
              <w:t>التوجيه</w:t>
            </w:r>
            <w:r w:rsidRPr="00E57472">
              <w:rPr>
                <w:sz w:val="24"/>
                <w:rtl/>
              </w:rPr>
              <w:t xml:space="preserve"> </w:t>
            </w:r>
            <w:r w:rsidR="00EB2373" w:rsidRPr="00E57472">
              <w:rPr>
                <w:rFonts w:hint="cs"/>
                <w:sz w:val="24"/>
                <w:rtl/>
              </w:rPr>
              <w:t>التنفيذي</w:t>
            </w:r>
            <w:r w:rsidR="00EB2373" w:rsidRPr="00E57472">
              <w:rPr>
                <w:sz w:val="24"/>
                <w:rtl/>
              </w:rPr>
              <w:t xml:space="preserve"> </w:t>
            </w:r>
            <w:r w:rsidRPr="00E57472">
              <w:rPr>
                <w:sz w:val="24"/>
                <w:rtl/>
              </w:rPr>
              <w:t>112</w:t>
            </w:r>
            <w:r w:rsidR="000076E4" w:rsidRPr="00E57472">
              <w:rPr>
                <w:rFonts w:hint="cs"/>
                <w:sz w:val="24"/>
                <w:rtl/>
              </w:rPr>
              <w:t>، و</w:t>
            </w:r>
            <w:r w:rsidR="0057597A" w:rsidRPr="00E57472">
              <w:rPr>
                <w:sz w:val="24"/>
                <w:rtl/>
              </w:rPr>
              <w:t xml:space="preserve">التوجيه </w:t>
            </w:r>
            <w:r w:rsidR="00EB2373" w:rsidRPr="00E57472">
              <w:rPr>
                <w:rFonts w:hint="cs"/>
                <w:sz w:val="24"/>
                <w:rtl/>
              </w:rPr>
              <w:t>التنفيذي</w:t>
            </w:r>
            <w:r w:rsidR="00EB2373" w:rsidRPr="00E57472">
              <w:rPr>
                <w:sz w:val="24"/>
                <w:rtl/>
              </w:rPr>
              <w:t xml:space="preserve"> </w:t>
            </w:r>
            <w:r w:rsidR="0057597A" w:rsidRPr="00E57472">
              <w:rPr>
                <w:sz w:val="24"/>
                <w:rtl/>
              </w:rPr>
              <w:t>113</w:t>
            </w:r>
          </w:p>
        </w:tc>
      </w:tr>
      <w:tr w:rsidR="00382757" w:rsidRPr="00762F46" w14:paraId="62A70FAE" w14:textId="77777777" w:rsidTr="0081159A">
        <w:trPr>
          <w:cantSplit/>
        </w:trPr>
        <w:tc>
          <w:tcPr>
            <w:tcW w:w="786" w:type="pct"/>
            <w:vMerge/>
            <w:shd w:val="clear" w:color="auto" w:fill="auto"/>
          </w:tcPr>
          <w:p w14:paraId="4D1BCC1E" w14:textId="77777777" w:rsidR="00382757" w:rsidRPr="00E57472" w:rsidRDefault="00382757" w:rsidP="00014461">
            <w:pPr>
              <w:bidi/>
              <w:spacing w:before="120"/>
              <w:jc w:val="both"/>
              <w:rPr>
                <w:b/>
                <w:sz w:val="24"/>
              </w:rPr>
            </w:pPr>
          </w:p>
        </w:tc>
        <w:tc>
          <w:tcPr>
            <w:tcW w:w="3418" w:type="pct"/>
            <w:shd w:val="clear" w:color="auto" w:fill="auto"/>
            <w:vAlign w:val="center"/>
          </w:tcPr>
          <w:p w14:paraId="3E72817A" w14:textId="47AEC003" w:rsidR="00382757" w:rsidRPr="00E57472" w:rsidRDefault="0099689D" w:rsidP="00014461">
            <w:pPr>
              <w:keepLines/>
              <w:bidi/>
              <w:spacing w:before="120"/>
              <w:jc w:val="both"/>
              <w:rPr>
                <w:sz w:val="24"/>
              </w:rPr>
            </w:pPr>
            <w:r w:rsidRPr="00E57472">
              <w:rPr>
                <w:sz w:val="24"/>
                <w:rtl/>
              </w:rPr>
              <w:t>18-2 وضع أنشطة أو برامج تعاون محدّدة بشأن التراث الثقافي غير المادي بين مختلف الأطراف المعنية في التراث الثقافي غير المادي والمنظّمات الإعلامية، بما في ذلك أنشطة بناء القدرات، وتنفيذها.</w:t>
            </w:r>
          </w:p>
        </w:tc>
        <w:tc>
          <w:tcPr>
            <w:tcW w:w="796" w:type="pct"/>
            <w:shd w:val="clear" w:color="auto" w:fill="auto"/>
            <w:vAlign w:val="center"/>
          </w:tcPr>
          <w:p w14:paraId="49DDF259" w14:textId="77777777" w:rsidR="00382757" w:rsidRPr="00E57472" w:rsidRDefault="00382757" w:rsidP="00014461">
            <w:pPr>
              <w:bidi/>
              <w:spacing w:before="60" w:after="60"/>
              <w:jc w:val="both"/>
              <w:rPr>
                <w:sz w:val="24"/>
                <w:lang w:val="en-US"/>
              </w:rPr>
            </w:pPr>
          </w:p>
        </w:tc>
      </w:tr>
      <w:tr w:rsidR="00382757" w:rsidRPr="00762F46" w14:paraId="41D298F6" w14:textId="77777777" w:rsidTr="0081159A">
        <w:trPr>
          <w:cantSplit/>
        </w:trPr>
        <w:tc>
          <w:tcPr>
            <w:tcW w:w="786" w:type="pct"/>
            <w:vMerge/>
            <w:shd w:val="clear" w:color="auto" w:fill="auto"/>
          </w:tcPr>
          <w:p w14:paraId="3E116DC3" w14:textId="77777777" w:rsidR="00382757" w:rsidRPr="00E57472" w:rsidRDefault="00382757" w:rsidP="00014461">
            <w:pPr>
              <w:bidi/>
              <w:spacing w:before="120"/>
              <w:jc w:val="both"/>
              <w:rPr>
                <w:b/>
                <w:sz w:val="24"/>
              </w:rPr>
            </w:pPr>
          </w:p>
        </w:tc>
        <w:tc>
          <w:tcPr>
            <w:tcW w:w="3418" w:type="pct"/>
            <w:shd w:val="clear" w:color="auto" w:fill="auto"/>
            <w:vAlign w:val="center"/>
          </w:tcPr>
          <w:p w14:paraId="3DACACBA" w14:textId="4BC73476" w:rsidR="00382757" w:rsidRPr="00E57472" w:rsidRDefault="002D0A12" w:rsidP="00014461">
            <w:pPr>
              <w:keepLines/>
              <w:bidi/>
              <w:spacing w:before="120"/>
              <w:jc w:val="both"/>
              <w:rPr>
                <w:sz w:val="24"/>
              </w:rPr>
            </w:pPr>
            <w:r w:rsidRPr="00E57472">
              <w:rPr>
                <w:sz w:val="24"/>
                <w:rtl/>
              </w:rPr>
              <w:t>18-3 ضرورة أن تكون برامج وسائل الإعلام بخصوص التراث الثقافي غير المادي شاملة وأن تستخدم لغات الجماعات والمجموعات المعنية، و/أو أن تتوجّه إلى مجموعات مستهدفة مختلفة.</w:t>
            </w:r>
          </w:p>
        </w:tc>
        <w:tc>
          <w:tcPr>
            <w:tcW w:w="796" w:type="pct"/>
            <w:shd w:val="clear" w:color="auto" w:fill="auto"/>
            <w:vAlign w:val="center"/>
          </w:tcPr>
          <w:p w14:paraId="246B4213" w14:textId="21FC64F7" w:rsidR="00382757" w:rsidRPr="00E57472" w:rsidRDefault="008919C2" w:rsidP="00014461">
            <w:pPr>
              <w:keepLines/>
              <w:bidi/>
              <w:spacing w:before="120"/>
              <w:jc w:val="both"/>
              <w:rPr>
                <w:sz w:val="24"/>
              </w:rPr>
            </w:pPr>
            <w:r w:rsidRPr="00E57472">
              <w:rPr>
                <w:sz w:val="24"/>
                <w:rtl/>
              </w:rPr>
              <w:t xml:space="preserve">التوجيه </w:t>
            </w:r>
            <w:r w:rsidR="00EB2373" w:rsidRPr="00E57472">
              <w:rPr>
                <w:rFonts w:hint="cs"/>
                <w:sz w:val="24"/>
                <w:rtl/>
              </w:rPr>
              <w:t>التنفيذي</w:t>
            </w:r>
            <w:r w:rsidR="00EB2373" w:rsidRPr="00E57472">
              <w:rPr>
                <w:sz w:val="24"/>
                <w:rtl/>
              </w:rPr>
              <w:t xml:space="preserve"> </w:t>
            </w:r>
            <w:r w:rsidRPr="00E57472">
              <w:rPr>
                <w:sz w:val="24"/>
                <w:rtl/>
              </w:rPr>
              <w:t>112</w:t>
            </w:r>
            <w:r w:rsidR="000076E4" w:rsidRPr="00E57472">
              <w:rPr>
                <w:rFonts w:hint="cs"/>
                <w:sz w:val="24"/>
                <w:rtl/>
              </w:rPr>
              <w:t>، و</w:t>
            </w:r>
            <w:r w:rsidR="0057597A" w:rsidRPr="00E57472">
              <w:rPr>
                <w:sz w:val="24"/>
                <w:rtl/>
              </w:rPr>
              <w:t xml:space="preserve">التوجيه </w:t>
            </w:r>
            <w:r w:rsidR="00EB2373" w:rsidRPr="00E57472">
              <w:rPr>
                <w:rFonts w:hint="cs"/>
                <w:sz w:val="24"/>
                <w:rtl/>
              </w:rPr>
              <w:t>التنفيذي</w:t>
            </w:r>
            <w:r w:rsidR="00EB2373" w:rsidRPr="00E57472">
              <w:rPr>
                <w:sz w:val="24"/>
                <w:rtl/>
              </w:rPr>
              <w:t xml:space="preserve"> </w:t>
            </w:r>
            <w:r w:rsidR="0057597A" w:rsidRPr="00E57472">
              <w:rPr>
                <w:sz w:val="24"/>
                <w:rtl/>
              </w:rPr>
              <w:t>113</w:t>
            </w:r>
          </w:p>
        </w:tc>
      </w:tr>
      <w:tr w:rsidR="00382757" w:rsidRPr="00762F46" w14:paraId="11B5AE67" w14:textId="77777777" w:rsidTr="0081159A">
        <w:trPr>
          <w:cantSplit/>
        </w:trPr>
        <w:tc>
          <w:tcPr>
            <w:tcW w:w="786" w:type="pct"/>
            <w:vMerge/>
            <w:shd w:val="clear" w:color="auto" w:fill="auto"/>
          </w:tcPr>
          <w:p w14:paraId="4742E8D6" w14:textId="77777777" w:rsidR="00382757" w:rsidRPr="00E57472" w:rsidRDefault="00382757" w:rsidP="00014461">
            <w:pPr>
              <w:bidi/>
              <w:spacing w:before="120"/>
              <w:jc w:val="both"/>
              <w:rPr>
                <w:b/>
                <w:sz w:val="24"/>
              </w:rPr>
            </w:pPr>
          </w:p>
        </w:tc>
        <w:tc>
          <w:tcPr>
            <w:tcW w:w="3418" w:type="pct"/>
            <w:shd w:val="clear" w:color="auto" w:fill="auto"/>
            <w:vAlign w:val="center"/>
          </w:tcPr>
          <w:p w14:paraId="6CEB40EB" w14:textId="2A76B292" w:rsidR="00382757" w:rsidRPr="00E57472" w:rsidRDefault="002D0A12" w:rsidP="00014461">
            <w:pPr>
              <w:keepLines/>
              <w:bidi/>
              <w:spacing w:before="120"/>
              <w:jc w:val="both"/>
              <w:rPr>
                <w:sz w:val="24"/>
              </w:rPr>
            </w:pPr>
            <w:r w:rsidRPr="00E57472">
              <w:rPr>
                <w:sz w:val="24"/>
                <w:rtl/>
              </w:rPr>
              <w:t>18-4 تناسب التغطية الإعلامية للتراث الثقافي غير المادي وصونه مع مفاهيم الاتفاقية ومصطلحاتها.</w:t>
            </w:r>
          </w:p>
        </w:tc>
        <w:tc>
          <w:tcPr>
            <w:tcW w:w="796" w:type="pct"/>
            <w:shd w:val="clear" w:color="auto" w:fill="auto"/>
            <w:vAlign w:val="center"/>
          </w:tcPr>
          <w:p w14:paraId="182655C9" w14:textId="77777777" w:rsidR="00382757" w:rsidRPr="00E57472" w:rsidRDefault="00382757" w:rsidP="00014461">
            <w:pPr>
              <w:keepLines/>
              <w:bidi/>
              <w:spacing w:before="120"/>
              <w:jc w:val="both"/>
              <w:rPr>
                <w:sz w:val="24"/>
              </w:rPr>
            </w:pPr>
          </w:p>
        </w:tc>
      </w:tr>
      <w:tr w:rsidR="005473CF" w:rsidRPr="00762F46" w14:paraId="058AD45F" w14:textId="77777777" w:rsidTr="0081159A">
        <w:trPr>
          <w:cantSplit/>
        </w:trPr>
        <w:tc>
          <w:tcPr>
            <w:tcW w:w="786" w:type="pct"/>
            <w:shd w:val="clear" w:color="auto" w:fill="auto"/>
          </w:tcPr>
          <w:p w14:paraId="01F0699B" w14:textId="4AE1BFD3" w:rsidR="005473CF" w:rsidRPr="00E57472" w:rsidRDefault="0081159A" w:rsidP="00014461">
            <w:pPr>
              <w:bidi/>
              <w:spacing w:before="120"/>
              <w:jc w:val="both"/>
              <w:rPr>
                <w:b/>
                <w:sz w:val="24"/>
              </w:rPr>
            </w:pPr>
            <w:r w:rsidRPr="00E57472">
              <w:rPr>
                <w:b/>
                <w:bCs/>
                <w:sz w:val="24"/>
                <w:rtl/>
              </w:rPr>
              <w:t>العلاقة مع أهداف التنمية المستدامة والمؤشرات الأخرى</w:t>
            </w:r>
          </w:p>
        </w:tc>
        <w:tc>
          <w:tcPr>
            <w:tcW w:w="4214" w:type="pct"/>
            <w:gridSpan w:val="2"/>
            <w:shd w:val="clear" w:color="auto" w:fill="auto"/>
          </w:tcPr>
          <w:p w14:paraId="7F101E05" w14:textId="30221E29" w:rsidR="005473CF" w:rsidRPr="00E57472" w:rsidRDefault="0014526B" w:rsidP="00014461">
            <w:pPr>
              <w:keepLines/>
              <w:bidi/>
              <w:spacing w:before="120"/>
              <w:jc w:val="both"/>
              <w:rPr>
                <w:sz w:val="24"/>
              </w:rPr>
            </w:pPr>
            <w:r w:rsidRPr="00E57472">
              <w:rPr>
                <w:b/>
                <w:bCs/>
                <w:sz w:val="24"/>
                <w:rtl/>
              </w:rPr>
              <w:t xml:space="preserve">أهداف التنمية المستدامة: </w:t>
            </w:r>
            <w:r w:rsidRPr="00E57472">
              <w:rPr>
                <w:sz w:val="24"/>
                <w:rtl/>
              </w:rPr>
              <w:t>بجانب الغاية 11-4 من أهداف التنمية المستدامة، التي تتناول حماية التراث الثقافي والطبيعي العالمي</w:t>
            </w:r>
            <w:r w:rsidR="002C1062" w:rsidRPr="00E57472">
              <w:rPr>
                <w:sz w:val="24"/>
              </w:rPr>
              <w:t xml:space="preserve"> </w:t>
            </w:r>
            <w:r w:rsidR="002C1062" w:rsidRPr="00E57472">
              <w:rPr>
                <w:sz w:val="24"/>
                <w:rtl/>
              </w:rPr>
              <w:t>وصون</w:t>
            </w:r>
            <w:r w:rsidR="002C1062" w:rsidRPr="00E57472">
              <w:rPr>
                <w:rFonts w:hint="cs"/>
                <w:sz w:val="24"/>
                <w:rtl/>
                <w:lang w:bidi="ar-EG"/>
              </w:rPr>
              <w:t>ه</w:t>
            </w:r>
            <w:r w:rsidRPr="00E57472">
              <w:rPr>
                <w:sz w:val="24"/>
                <w:rtl/>
              </w:rPr>
              <w:t>، يستجيب المؤشر الحالي للغاية 17-17 من أهداف التنمية المستدامة، "تشجيع وتعزيز الشراكات العامة وبين القطاع العام والقطاع الخاص وشراكات المجتمع المدني الفعالة، بالاستفادة من الخبرات المكتسبة من الشراكات ومن استراتيجياتها لتعبئة الموارد".</w:t>
            </w:r>
          </w:p>
          <w:p w14:paraId="285CA74C" w14:textId="67BB97D0" w:rsidR="005473CF" w:rsidRPr="00E57472" w:rsidRDefault="00974045" w:rsidP="00014461">
            <w:pPr>
              <w:keepLines/>
              <w:bidi/>
              <w:spacing w:before="120"/>
              <w:jc w:val="both"/>
              <w:rPr>
                <w:bCs/>
                <w:sz w:val="24"/>
              </w:rPr>
            </w:pPr>
            <w:r w:rsidRPr="00E57472">
              <w:rPr>
                <w:bCs/>
                <w:sz w:val="24"/>
                <w:rtl/>
              </w:rPr>
              <w:t>العلاقة بالمؤشرات الأخرى:</w:t>
            </w:r>
            <w:r w:rsidR="008919C2" w:rsidRPr="00E57472">
              <w:rPr>
                <w:b/>
                <w:sz w:val="24"/>
                <w:rtl/>
              </w:rPr>
              <w:t xml:space="preserve"> بينما يتعلق المؤشر 17 ب</w:t>
            </w:r>
            <w:r w:rsidR="008919C2" w:rsidRPr="00E57472">
              <w:rPr>
                <w:rFonts w:hint="cs"/>
                <w:b/>
                <w:sz w:val="24"/>
                <w:rtl/>
              </w:rPr>
              <w:t>ال</w:t>
            </w:r>
            <w:r w:rsidRPr="00E57472">
              <w:rPr>
                <w:b/>
                <w:sz w:val="24"/>
                <w:rtl/>
              </w:rPr>
              <w:t xml:space="preserve">جماعات والمجموعات والأفراد ودورهم في التوعية بالتراث الثقافي غير المادي، يركز المؤشر الحالي على دور الإعلام، باعتباره القطاع الأكثر </w:t>
            </w:r>
            <w:r w:rsidR="00554FBE" w:rsidRPr="00E57472">
              <w:rPr>
                <w:rFonts w:hint="cs"/>
                <w:b/>
                <w:sz w:val="24"/>
                <w:rtl/>
              </w:rPr>
              <w:t>اشتراكًا</w:t>
            </w:r>
            <w:r w:rsidRPr="00E57472">
              <w:rPr>
                <w:b/>
                <w:sz w:val="24"/>
                <w:rtl/>
              </w:rPr>
              <w:t xml:space="preserve"> في هذه التوعية. ويبحث المؤشر 19 بدوره في محتوى تدابير التوعية وأغراضها، بينما ينصب تركيز المؤشر 20 على الطريقة التي تُنفذ بها هذه التدابير. يعد بناء قدرات المؤسسات الإعلامية (عامل التقييم</w:t>
            </w:r>
            <w:r w:rsidR="008919C2" w:rsidRPr="00E57472">
              <w:rPr>
                <w:rFonts w:hint="cs"/>
                <w:b/>
                <w:sz w:val="24"/>
                <w:rtl/>
              </w:rPr>
              <w:t xml:space="preserve"> الشامل</w:t>
            </w:r>
            <w:r w:rsidRPr="00E57472">
              <w:rPr>
                <w:b/>
                <w:sz w:val="24"/>
                <w:rtl/>
              </w:rPr>
              <w:t xml:space="preserve"> 18</w:t>
            </w:r>
            <w:r w:rsidR="008919C2" w:rsidRPr="00E57472">
              <w:rPr>
                <w:rFonts w:hint="cs"/>
                <w:b/>
                <w:sz w:val="24"/>
                <w:rtl/>
              </w:rPr>
              <w:t>-</w:t>
            </w:r>
            <w:r w:rsidRPr="00E57472">
              <w:rPr>
                <w:b/>
                <w:sz w:val="24"/>
                <w:rtl/>
              </w:rPr>
              <w:t>2) مكملًا لأنشطة التدريب وبناء القدرات الأخرى التي تغطيها المؤشرات 2</w:t>
            </w:r>
            <w:r w:rsidR="00AA1D1A" w:rsidRPr="00E57472">
              <w:rPr>
                <w:rFonts w:hint="cs"/>
                <w:b/>
                <w:sz w:val="24"/>
                <w:rtl/>
              </w:rPr>
              <w:t>،</w:t>
            </w:r>
            <w:r w:rsidRPr="00E57472">
              <w:rPr>
                <w:b/>
                <w:sz w:val="24"/>
                <w:rtl/>
              </w:rPr>
              <w:t xml:space="preserve"> و3</w:t>
            </w:r>
            <w:r w:rsidR="00AA1D1A" w:rsidRPr="00E57472">
              <w:rPr>
                <w:rFonts w:hint="cs"/>
                <w:b/>
                <w:sz w:val="24"/>
                <w:rtl/>
              </w:rPr>
              <w:t>،</w:t>
            </w:r>
            <w:r w:rsidRPr="00E57472">
              <w:rPr>
                <w:b/>
                <w:sz w:val="24"/>
                <w:rtl/>
              </w:rPr>
              <w:t xml:space="preserve"> و4. ويتناول المؤشر 21 التعاون من أجل الصون بين مختلف الجهات الفاعلة.</w:t>
            </w:r>
          </w:p>
        </w:tc>
      </w:tr>
      <w:tr w:rsidR="00896177" w:rsidRPr="00762F46" w14:paraId="7E62A780" w14:textId="77777777" w:rsidTr="0081159A">
        <w:trPr>
          <w:cantSplit/>
        </w:trPr>
        <w:tc>
          <w:tcPr>
            <w:tcW w:w="786" w:type="pct"/>
            <w:shd w:val="clear" w:color="auto" w:fill="auto"/>
          </w:tcPr>
          <w:p w14:paraId="3A01F81C" w14:textId="3B796273" w:rsidR="00896177" w:rsidRPr="00E57472" w:rsidRDefault="0081159A" w:rsidP="00014461">
            <w:pPr>
              <w:bidi/>
              <w:spacing w:before="120"/>
              <w:jc w:val="both"/>
              <w:rPr>
                <w:b/>
                <w:sz w:val="24"/>
              </w:rPr>
            </w:pPr>
            <w:r w:rsidRPr="00E57472">
              <w:rPr>
                <w:b/>
                <w:bCs/>
                <w:sz w:val="24"/>
                <w:rtl/>
              </w:rPr>
              <w:t xml:space="preserve">الأسس المنطقية </w:t>
            </w:r>
            <w:r w:rsidR="00511FCA" w:rsidRPr="00E57472">
              <w:rPr>
                <w:rFonts w:hint="cs"/>
                <w:b/>
                <w:bCs/>
                <w:sz w:val="24"/>
                <w:rtl/>
              </w:rPr>
              <w:t>للإجراءات</w:t>
            </w:r>
          </w:p>
        </w:tc>
        <w:tc>
          <w:tcPr>
            <w:tcW w:w="4214" w:type="pct"/>
            <w:gridSpan w:val="2"/>
            <w:shd w:val="clear" w:color="auto" w:fill="auto"/>
          </w:tcPr>
          <w:p w14:paraId="78981B77" w14:textId="2015A631" w:rsidR="00704766" w:rsidRPr="00E57472" w:rsidRDefault="00CF59E6" w:rsidP="00014461">
            <w:pPr>
              <w:keepLines/>
              <w:bidi/>
              <w:spacing w:before="120"/>
              <w:jc w:val="both"/>
              <w:rPr>
                <w:sz w:val="24"/>
              </w:rPr>
            </w:pPr>
            <w:r w:rsidRPr="00E57472">
              <w:rPr>
                <w:sz w:val="24"/>
                <w:rtl/>
              </w:rPr>
              <w:t xml:space="preserve">كما ورد في المؤشر 17، تعد أحد </w:t>
            </w:r>
            <w:r w:rsidR="008919C2" w:rsidRPr="00E57472">
              <w:rPr>
                <w:rFonts w:hint="cs"/>
                <w:sz w:val="24"/>
                <w:rtl/>
              </w:rPr>
              <w:t>الأهداف</w:t>
            </w:r>
            <w:r w:rsidRPr="00E57472">
              <w:rPr>
                <w:sz w:val="24"/>
                <w:rtl/>
              </w:rPr>
              <w:t xml:space="preserve"> الأربعة للاتفاقية "التوعية على الصعيد المحلي والوطني والدولي بأهمية التراث الثقافي غير المادي وأهمية التقدير المتبادل لهذا التراث" (المادة </w:t>
            </w:r>
            <w:r w:rsidR="00AA3468" w:rsidRPr="00E57472">
              <w:rPr>
                <w:rFonts w:hint="cs"/>
                <w:sz w:val="24"/>
                <w:rtl/>
              </w:rPr>
              <w:t>1</w:t>
            </w:r>
            <w:r w:rsidRPr="00E57472">
              <w:rPr>
                <w:sz w:val="24"/>
                <w:rtl/>
              </w:rPr>
              <w:t xml:space="preserve">(ج)). تعتبر وسائل الإعلام الجماهيرية أحد الشركاء المهمين في إطار هذه الجهود، سواء كانت كيانات خاصة أو تعمل تحت رعاية الحكومة. يسمح التعاون أو الشراكة بين الأطراف المعنية بالتراث الثقافي غير المادي والمؤسسات الإعلامية للأطراف المعنية بالاستفادة من </w:t>
            </w:r>
            <w:r w:rsidR="00AA3468" w:rsidRPr="00E57472">
              <w:rPr>
                <w:rFonts w:hint="cs"/>
                <w:sz w:val="24"/>
                <w:rtl/>
              </w:rPr>
              <w:t>الوصول</w:t>
            </w:r>
            <w:r w:rsidRPr="00E57472">
              <w:rPr>
                <w:sz w:val="24"/>
                <w:rtl/>
              </w:rPr>
              <w:t xml:space="preserve"> والقدرات الفنية للمؤسسات الإعلامية، مع السماح أيضًا للمؤسسات الإعلامية بالاستفادة من معرفة الأطراف المعنية وخبرتها. ولنقل المعلومات عن التراث الثقافي غير المادي وأهمية صونه على نطاق واسع وبدقة قدر الإمكان، </w:t>
            </w:r>
            <w:r w:rsidR="00AA3468" w:rsidRPr="00E57472">
              <w:rPr>
                <w:rFonts w:hint="cs"/>
                <w:sz w:val="24"/>
                <w:rtl/>
              </w:rPr>
              <w:t>ينبغي أن تكون</w:t>
            </w:r>
            <w:r w:rsidRPr="00E57472">
              <w:rPr>
                <w:sz w:val="24"/>
                <w:rtl/>
              </w:rPr>
              <w:t xml:space="preserve"> وسائل الإعلام شاملة وتسعى إلى مخاطبة مختلف أفراد الجمهور بلغاتهم الخاصة. كما يعد بناء قدرات وسائل الإعلام أمرًا مهمًا لضمان فهمها الكافي للاتفاقية، ومفاهيمها، ومصطلحاتها، ولضمان </w:t>
            </w:r>
            <w:r w:rsidR="00AA3468" w:rsidRPr="00E57472">
              <w:rPr>
                <w:rFonts w:hint="cs"/>
                <w:sz w:val="24"/>
                <w:rtl/>
              </w:rPr>
              <w:t xml:space="preserve">إمكانية </w:t>
            </w:r>
            <w:r w:rsidRPr="00E57472">
              <w:rPr>
                <w:sz w:val="24"/>
                <w:rtl/>
              </w:rPr>
              <w:t>مساهمتها بفعالية في صون التراث وتعزيز الاحترام المتبادل.</w:t>
            </w:r>
          </w:p>
        </w:tc>
      </w:tr>
      <w:tr w:rsidR="00704766" w:rsidRPr="00762F46" w14:paraId="225E641A" w14:textId="77777777" w:rsidTr="0081159A">
        <w:trPr>
          <w:cantSplit/>
        </w:trPr>
        <w:tc>
          <w:tcPr>
            <w:tcW w:w="786" w:type="pct"/>
            <w:shd w:val="clear" w:color="auto" w:fill="auto"/>
          </w:tcPr>
          <w:p w14:paraId="2A6E1E57" w14:textId="67F3C67B" w:rsidR="00704766" w:rsidRPr="00E57472" w:rsidRDefault="0081159A" w:rsidP="00014461">
            <w:pPr>
              <w:bidi/>
              <w:spacing w:before="120" w:after="60"/>
              <w:jc w:val="both"/>
              <w:rPr>
                <w:b/>
                <w:sz w:val="24"/>
              </w:rPr>
            </w:pPr>
            <w:r w:rsidRPr="00E57472">
              <w:rPr>
                <w:b/>
                <w:bCs/>
                <w:sz w:val="24"/>
                <w:rtl/>
              </w:rPr>
              <w:t>المصطلحات الرئيسية</w:t>
            </w:r>
          </w:p>
        </w:tc>
        <w:tc>
          <w:tcPr>
            <w:tcW w:w="4214" w:type="pct"/>
            <w:gridSpan w:val="2"/>
            <w:shd w:val="clear" w:color="auto" w:fill="auto"/>
          </w:tcPr>
          <w:p w14:paraId="4051B3B8" w14:textId="6FA0F7EF" w:rsidR="00D70FD2" w:rsidRPr="00E57472" w:rsidRDefault="004B7AC9" w:rsidP="00014461">
            <w:pPr>
              <w:pStyle w:val="ListParagraph"/>
              <w:numPr>
                <w:ilvl w:val="0"/>
                <w:numId w:val="71"/>
              </w:numPr>
              <w:bidi/>
              <w:spacing w:before="120"/>
              <w:jc w:val="both"/>
              <w:rPr>
                <w:rFonts w:ascii="Times New Roman" w:hAnsi="Times New Roman"/>
                <w:sz w:val="24"/>
                <w:szCs w:val="24"/>
                <w:lang w:val="en-GB"/>
              </w:rPr>
            </w:pPr>
            <w:r w:rsidRPr="00E57472">
              <w:rPr>
                <w:rFonts w:ascii="Times New Roman" w:hAnsi="Times New Roman"/>
                <w:sz w:val="24"/>
                <w:szCs w:val="24"/>
                <w:rtl/>
                <w:lang w:val="en-GB"/>
              </w:rPr>
              <w:t xml:space="preserve">جماعات أو </w:t>
            </w:r>
            <w:r w:rsidR="00D70FD2" w:rsidRPr="00E57472">
              <w:rPr>
                <w:rFonts w:ascii="Times New Roman" w:hAnsi="Times New Roman"/>
                <w:sz w:val="24"/>
                <w:szCs w:val="24"/>
                <w:rtl/>
                <w:lang w:val="en-GB"/>
              </w:rPr>
              <w:t>مجموعات أو</w:t>
            </w:r>
            <w:r w:rsidR="008919C2" w:rsidRPr="00E57472">
              <w:rPr>
                <w:rFonts w:ascii="Times New Roman" w:hAnsi="Times New Roman"/>
                <w:sz w:val="24"/>
                <w:szCs w:val="24"/>
                <w:rtl/>
                <w:lang w:val="en-GB"/>
              </w:rPr>
              <w:t xml:space="preserve"> </w:t>
            </w:r>
            <w:r w:rsidR="008919C2" w:rsidRPr="00E57472">
              <w:rPr>
                <w:rFonts w:ascii="Times New Roman" w:hAnsi="Times New Roman" w:hint="cs"/>
                <w:sz w:val="24"/>
                <w:szCs w:val="24"/>
                <w:rtl/>
                <w:lang w:val="en-GB"/>
              </w:rPr>
              <w:t>أحيانًا</w:t>
            </w:r>
            <w:r w:rsidRPr="00E57472">
              <w:rPr>
                <w:rFonts w:ascii="Times New Roman" w:hAnsi="Times New Roman"/>
                <w:sz w:val="24"/>
                <w:szCs w:val="24"/>
                <w:rtl/>
                <w:lang w:val="en-GB"/>
              </w:rPr>
              <w:t xml:space="preserve"> </w:t>
            </w:r>
            <w:r w:rsidR="00D70FD2" w:rsidRPr="00E57472">
              <w:rPr>
                <w:rFonts w:ascii="Times New Roman" w:hAnsi="Times New Roman"/>
                <w:sz w:val="24"/>
                <w:szCs w:val="24"/>
                <w:rtl/>
                <w:lang w:val="en-GB"/>
              </w:rPr>
              <w:t>أفراد</w:t>
            </w:r>
          </w:p>
          <w:p w14:paraId="196882D2" w14:textId="346489BC" w:rsidR="00D70FD2" w:rsidRPr="00E57472" w:rsidRDefault="00511FCA" w:rsidP="00014461">
            <w:pPr>
              <w:pStyle w:val="ListParagraph"/>
              <w:numPr>
                <w:ilvl w:val="0"/>
                <w:numId w:val="71"/>
              </w:numPr>
              <w:bidi/>
              <w:spacing w:before="120"/>
              <w:jc w:val="both"/>
              <w:rPr>
                <w:rFonts w:ascii="Times New Roman" w:hAnsi="Times New Roman"/>
                <w:sz w:val="24"/>
                <w:szCs w:val="24"/>
                <w:lang w:val="en-GB"/>
              </w:rPr>
            </w:pPr>
            <w:r w:rsidRPr="00E57472">
              <w:rPr>
                <w:rFonts w:ascii="Times New Roman" w:hAnsi="Times New Roman" w:hint="cs"/>
                <w:sz w:val="24"/>
                <w:szCs w:val="24"/>
                <w:rtl/>
                <w:lang w:val="en-GB"/>
              </w:rPr>
              <w:t>ال</w:t>
            </w:r>
            <w:r w:rsidR="004B7AC9" w:rsidRPr="00E57472">
              <w:rPr>
                <w:rFonts w:ascii="Times New Roman" w:hAnsi="Times New Roman"/>
                <w:sz w:val="24"/>
                <w:szCs w:val="24"/>
                <w:rtl/>
                <w:lang w:val="en-GB"/>
              </w:rPr>
              <w:t xml:space="preserve">أطراف </w:t>
            </w:r>
            <w:r w:rsidRPr="00E57472">
              <w:rPr>
                <w:rFonts w:ascii="Times New Roman" w:hAnsi="Times New Roman" w:hint="cs"/>
                <w:sz w:val="24"/>
                <w:szCs w:val="24"/>
                <w:rtl/>
                <w:lang w:val="en-GB"/>
              </w:rPr>
              <w:t>ال</w:t>
            </w:r>
            <w:r w:rsidR="00D70FD2" w:rsidRPr="00E57472">
              <w:rPr>
                <w:rFonts w:ascii="Times New Roman" w:hAnsi="Times New Roman"/>
                <w:sz w:val="24"/>
                <w:szCs w:val="24"/>
                <w:rtl/>
                <w:lang w:val="en-GB"/>
              </w:rPr>
              <w:t>معنية</w:t>
            </w:r>
          </w:p>
          <w:p w14:paraId="752EE043" w14:textId="49F022F7" w:rsidR="00382757" w:rsidRPr="00E57472" w:rsidRDefault="004B7AC9" w:rsidP="00014461">
            <w:pPr>
              <w:pStyle w:val="ListParagraph"/>
              <w:numPr>
                <w:ilvl w:val="0"/>
                <w:numId w:val="71"/>
              </w:numPr>
              <w:bidi/>
              <w:spacing w:before="120" w:after="120"/>
              <w:jc w:val="both"/>
              <w:rPr>
                <w:rFonts w:ascii="Times New Roman" w:hAnsi="Times New Roman"/>
                <w:sz w:val="24"/>
                <w:szCs w:val="24"/>
                <w:lang w:val="en-GB"/>
              </w:rPr>
            </w:pPr>
            <w:r w:rsidRPr="00E57472">
              <w:rPr>
                <w:rFonts w:ascii="Times New Roman" w:hAnsi="Times New Roman"/>
                <w:sz w:val="24"/>
                <w:szCs w:val="24"/>
                <w:rtl/>
                <w:lang w:val="en-GB"/>
              </w:rPr>
              <w:t>شامل/ شمول</w:t>
            </w:r>
            <w:r w:rsidRPr="00E57472">
              <w:rPr>
                <w:rFonts w:ascii="Times New Roman" w:hAnsi="Times New Roman" w:hint="cs"/>
                <w:sz w:val="24"/>
                <w:szCs w:val="24"/>
                <w:rtl/>
                <w:lang w:val="en-GB"/>
              </w:rPr>
              <w:t>ي</w:t>
            </w:r>
            <w:r w:rsidR="00FE7C7C" w:rsidRPr="00E57472">
              <w:rPr>
                <w:rFonts w:ascii="Times New Roman" w:hAnsi="Times New Roman" w:hint="cs"/>
                <w:sz w:val="24"/>
                <w:szCs w:val="24"/>
                <w:rtl/>
                <w:lang w:val="en-GB"/>
              </w:rPr>
              <w:t>ة</w:t>
            </w:r>
          </w:p>
        </w:tc>
      </w:tr>
    </w:tbl>
    <w:p w14:paraId="1A32F35E" w14:textId="77777777" w:rsidR="0054175C" w:rsidRPr="00762F46" w:rsidRDefault="0054175C" w:rsidP="00014461">
      <w:pPr>
        <w:bidi/>
        <w:jc w:val="center"/>
        <w:rPr>
          <w:b/>
          <w:sz w:val="24"/>
        </w:rPr>
        <w:sectPr w:rsidR="0054175C" w:rsidRPr="00762F46" w:rsidSect="000F25BA">
          <w:footerReference w:type="default" r:id="rId8"/>
          <w:pgSz w:w="11906" w:h="16838" w:code="9"/>
          <w:pgMar w:top="1418" w:right="1134" w:bottom="1134" w:left="1134" w:header="397" w:footer="284" w:gutter="0"/>
          <w:cols w:space="708"/>
          <w:docGrid w:linePitch="360"/>
        </w:sectPr>
      </w:pPr>
    </w:p>
    <w:p w14:paraId="52733ED6" w14:textId="4B609C73" w:rsidR="0081159A" w:rsidRPr="00AA3468" w:rsidRDefault="0081159A" w:rsidP="00C63E9D">
      <w:pPr>
        <w:bidi/>
        <w:spacing w:after="0"/>
        <w:rPr>
          <w:bCs/>
          <w:sz w:val="28"/>
          <w:szCs w:val="28"/>
        </w:rPr>
      </w:pPr>
      <w:r w:rsidRPr="00AA3468">
        <w:rPr>
          <w:bCs/>
          <w:sz w:val="28"/>
          <w:szCs w:val="28"/>
          <w:rtl/>
        </w:rPr>
        <w:lastRenderedPageBreak/>
        <w:t xml:space="preserve">التوجيهات المحددة بشأن الرصد </w:t>
      </w:r>
      <w:proofErr w:type="gramStart"/>
      <w:r w:rsidR="00AA3468" w:rsidRPr="00AA3468">
        <w:rPr>
          <w:rFonts w:hint="cs"/>
          <w:bCs/>
          <w:sz w:val="28"/>
          <w:szCs w:val="28"/>
          <w:rtl/>
        </w:rPr>
        <w:t>وال</w:t>
      </w:r>
      <w:r w:rsidR="00264D53">
        <w:rPr>
          <w:rFonts w:hint="cs"/>
          <w:bCs/>
          <w:sz w:val="28"/>
          <w:szCs w:val="28"/>
          <w:rtl/>
        </w:rPr>
        <w:t xml:space="preserve">تقرير </w:t>
      </w:r>
      <w:r w:rsidRPr="00AA3468">
        <w:rPr>
          <w:bCs/>
          <w:sz w:val="28"/>
          <w:szCs w:val="28"/>
          <w:rtl/>
        </w:rPr>
        <w:t xml:space="preserve"> الدوري</w:t>
      </w:r>
      <w:proofErr w:type="gramEnd"/>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8222"/>
      </w:tblGrid>
      <w:tr w:rsidR="009C0510" w:rsidRPr="00762F46" w14:paraId="6EC30940" w14:textId="77777777" w:rsidTr="0081159A">
        <w:tc>
          <w:tcPr>
            <w:tcW w:w="730" w:type="pct"/>
            <w:shd w:val="clear" w:color="auto" w:fill="auto"/>
          </w:tcPr>
          <w:p w14:paraId="6C7660C4" w14:textId="63797AB7" w:rsidR="002C28BA" w:rsidRPr="00762F46" w:rsidRDefault="0081159A" w:rsidP="00014461">
            <w:pPr>
              <w:bidi/>
              <w:spacing w:before="120"/>
              <w:rPr>
                <w:b/>
                <w:sz w:val="24"/>
              </w:rPr>
            </w:pPr>
            <w:r w:rsidRPr="00762F46">
              <w:rPr>
                <w:b/>
                <w:bCs/>
                <w:sz w:val="24"/>
                <w:rtl/>
              </w:rPr>
              <w:t>فوائد الرصد</w:t>
            </w:r>
          </w:p>
        </w:tc>
        <w:tc>
          <w:tcPr>
            <w:tcW w:w="4270" w:type="pct"/>
            <w:shd w:val="clear" w:color="auto" w:fill="auto"/>
          </w:tcPr>
          <w:p w14:paraId="146B2DA7" w14:textId="55BC1945" w:rsidR="002C28BA" w:rsidRPr="00762F46" w:rsidRDefault="00592DFC" w:rsidP="00014461">
            <w:pPr>
              <w:keepLines/>
              <w:bidi/>
              <w:spacing w:before="120"/>
              <w:jc w:val="both"/>
              <w:rPr>
                <w:b/>
                <w:sz w:val="24"/>
              </w:rPr>
            </w:pPr>
            <w:r w:rsidRPr="00762F46">
              <w:rPr>
                <w:b/>
                <w:sz w:val="24"/>
                <w:rtl/>
              </w:rPr>
              <w:t xml:space="preserve">يساعد رصد هذا المؤشر الدول </w:t>
            </w:r>
            <w:r w:rsidR="002E15D4">
              <w:rPr>
                <w:rFonts w:hint="cs"/>
                <w:b/>
                <w:sz w:val="24"/>
                <w:rtl/>
              </w:rPr>
              <w:t>على</w:t>
            </w:r>
            <w:r w:rsidRPr="00762F46">
              <w:rPr>
                <w:b/>
                <w:sz w:val="24"/>
                <w:rtl/>
              </w:rPr>
              <w:t xml:space="preserve"> تقييم </w:t>
            </w:r>
            <w:r w:rsidR="008919C2" w:rsidRPr="00762F46">
              <w:rPr>
                <w:rFonts w:hint="cs"/>
                <w:b/>
                <w:sz w:val="24"/>
                <w:rtl/>
              </w:rPr>
              <w:t>الأثر</w:t>
            </w:r>
            <w:r w:rsidRPr="00762F46">
              <w:rPr>
                <w:b/>
                <w:sz w:val="24"/>
                <w:rtl/>
              </w:rPr>
              <w:t xml:space="preserve"> واسع النطاق الذي </w:t>
            </w:r>
            <w:r w:rsidR="002E15D4">
              <w:rPr>
                <w:rFonts w:hint="cs"/>
                <w:b/>
                <w:sz w:val="24"/>
                <w:rtl/>
              </w:rPr>
              <w:t>يمكن</w:t>
            </w:r>
            <w:r w:rsidRPr="00762F46">
              <w:rPr>
                <w:b/>
                <w:sz w:val="24"/>
                <w:rtl/>
              </w:rPr>
              <w:t xml:space="preserve"> </w:t>
            </w:r>
            <w:r w:rsidR="002E15D4">
              <w:rPr>
                <w:rFonts w:hint="cs"/>
                <w:b/>
                <w:sz w:val="24"/>
                <w:rtl/>
              </w:rPr>
              <w:t xml:space="preserve">أن </w:t>
            </w:r>
            <w:r w:rsidRPr="00762F46">
              <w:rPr>
                <w:b/>
                <w:sz w:val="24"/>
                <w:rtl/>
              </w:rPr>
              <w:t xml:space="preserve">تحدثه وسائل الإعلام الجماهيرية، وقدرتها على </w:t>
            </w:r>
            <w:r w:rsidR="002E15D4">
              <w:rPr>
                <w:rFonts w:hint="cs"/>
                <w:b/>
                <w:sz w:val="24"/>
                <w:rtl/>
              </w:rPr>
              <w:t>تعزيز</w:t>
            </w:r>
            <w:r w:rsidRPr="00762F46">
              <w:rPr>
                <w:b/>
                <w:sz w:val="24"/>
                <w:rtl/>
              </w:rPr>
              <w:t xml:space="preserve"> </w:t>
            </w:r>
            <w:r w:rsidR="002E15D4">
              <w:rPr>
                <w:rFonts w:hint="cs"/>
                <w:b/>
                <w:sz w:val="24"/>
                <w:rtl/>
              </w:rPr>
              <w:t>ا</w:t>
            </w:r>
            <w:r w:rsidRPr="00762F46">
              <w:rPr>
                <w:b/>
                <w:sz w:val="24"/>
                <w:rtl/>
              </w:rPr>
              <w:t xml:space="preserve">لاتفاقية وقيمها بفعالية أو - غالبًا عن غير قصد - لنقل </w:t>
            </w:r>
            <w:r w:rsidR="0043062D">
              <w:rPr>
                <w:rFonts w:hint="cs"/>
                <w:b/>
                <w:sz w:val="24"/>
                <w:rtl/>
              </w:rPr>
              <w:t>رسائل</w:t>
            </w:r>
            <w:r w:rsidRPr="00762F46">
              <w:rPr>
                <w:b/>
                <w:sz w:val="24"/>
                <w:rtl/>
              </w:rPr>
              <w:t xml:space="preserve"> متضاربة أو حتى متعارضة مع الاتفاقية. وبالتالي، ت</w:t>
            </w:r>
            <w:r w:rsidR="00450CEB">
              <w:rPr>
                <w:rFonts w:hint="cs"/>
                <w:b/>
                <w:sz w:val="24"/>
                <w:rtl/>
              </w:rPr>
              <w:t>ستطيع</w:t>
            </w:r>
            <w:r w:rsidRPr="00762F46">
              <w:rPr>
                <w:b/>
                <w:sz w:val="24"/>
                <w:rtl/>
              </w:rPr>
              <w:t xml:space="preserve"> الدولة البحث عن فرص لتعزيز مساهمة وسائل الإعلام في تنفيذ الاتفاقية وبناء قدراتها. و</w:t>
            </w:r>
            <w:r w:rsidR="00DB1B6C">
              <w:rPr>
                <w:rFonts w:hint="cs"/>
                <w:b/>
                <w:sz w:val="24"/>
                <w:rtl/>
              </w:rPr>
              <w:t>يمكن أن</w:t>
            </w:r>
            <w:r w:rsidRPr="00762F46">
              <w:rPr>
                <w:b/>
                <w:sz w:val="24"/>
                <w:rtl/>
              </w:rPr>
              <w:t xml:space="preserve"> يساعد الرصد على الصعيد العالمي في تحديد الممارسات الجيدة ونماذج التعاون التي قد تلهم بذل الجهود المماثلة في مناطق أخرى.</w:t>
            </w:r>
          </w:p>
        </w:tc>
      </w:tr>
      <w:tr w:rsidR="0054175C" w:rsidRPr="00762F46" w14:paraId="3242B70E" w14:textId="77777777" w:rsidTr="0081159A">
        <w:tc>
          <w:tcPr>
            <w:tcW w:w="730" w:type="pct"/>
            <w:shd w:val="clear" w:color="auto" w:fill="auto"/>
          </w:tcPr>
          <w:p w14:paraId="4B46D52F" w14:textId="1CB0461C" w:rsidR="0054175C" w:rsidRPr="00762F46" w:rsidRDefault="0081159A" w:rsidP="00014461">
            <w:pPr>
              <w:bidi/>
              <w:spacing w:before="120"/>
              <w:rPr>
                <w:b/>
                <w:sz w:val="24"/>
              </w:rPr>
            </w:pPr>
            <w:r w:rsidRPr="00762F46">
              <w:rPr>
                <w:b/>
                <w:bCs/>
                <w:sz w:val="24"/>
                <w:rtl/>
              </w:rPr>
              <w:t>مصادر البيانات وجمعها</w:t>
            </w:r>
          </w:p>
        </w:tc>
        <w:tc>
          <w:tcPr>
            <w:tcW w:w="4270" w:type="pct"/>
            <w:shd w:val="clear" w:color="auto" w:fill="auto"/>
          </w:tcPr>
          <w:p w14:paraId="776D4C81" w14:textId="545ECF8D" w:rsidR="0054175C" w:rsidRPr="00762F46" w:rsidRDefault="00C27A42" w:rsidP="00014461">
            <w:pPr>
              <w:bidi/>
              <w:spacing w:before="120"/>
              <w:jc w:val="both"/>
              <w:rPr>
                <w:sz w:val="24"/>
                <w:lang w:val="en-US"/>
              </w:rPr>
            </w:pPr>
            <w:r w:rsidRPr="00762F46">
              <w:rPr>
                <w:sz w:val="24"/>
                <w:rtl/>
              </w:rPr>
              <w:t>بحكم الطبيعة، تسعى وسائل الإعلام الجماهيرية للوصول إلى السكان على نطاق واسع، لذا يعد المسؤولون عن الرصد و</w:t>
            </w:r>
            <w:r w:rsidR="00DB1B6C">
              <w:rPr>
                <w:rFonts w:hint="cs"/>
                <w:sz w:val="24"/>
                <w:rtl/>
              </w:rPr>
              <w:t>ا</w:t>
            </w:r>
            <w:r w:rsidR="00264D53">
              <w:rPr>
                <w:rFonts w:hint="cs"/>
                <w:sz w:val="24"/>
                <w:rtl/>
              </w:rPr>
              <w:t xml:space="preserve">عداد </w:t>
            </w:r>
            <w:proofErr w:type="gramStart"/>
            <w:r w:rsidR="00264D53">
              <w:rPr>
                <w:rFonts w:hint="cs"/>
                <w:sz w:val="24"/>
                <w:rtl/>
              </w:rPr>
              <w:t xml:space="preserve">التقرير </w:t>
            </w:r>
            <w:r w:rsidRPr="00762F46">
              <w:rPr>
                <w:sz w:val="24"/>
                <w:rtl/>
              </w:rPr>
              <w:t xml:space="preserve"> من</w:t>
            </w:r>
            <w:proofErr w:type="gramEnd"/>
            <w:r w:rsidRPr="00762F46">
              <w:rPr>
                <w:sz w:val="24"/>
                <w:rtl/>
              </w:rPr>
              <w:t xml:space="preserve"> بين جمهورهم المستهدف، ومن الضروري أن تتاح كمية معقولة من المعلومات للجمهور وأن يكون </w:t>
            </w:r>
            <w:r w:rsidR="00511FCA">
              <w:rPr>
                <w:rFonts w:hint="cs"/>
                <w:sz w:val="24"/>
                <w:rtl/>
              </w:rPr>
              <w:t>بلوغها</w:t>
            </w:r>
            <w:r w:rsidRPr="00762F46">
              <w:rPr>
                <w:sz w:val="24"/>
                <w:rtl/>
              </w:rPr>
              <w:t xml:space="preserve"> سهلًا. إذا كان للدولة الطرف هيئة استشارية أو آلية تعاون يتم فيها تمثيل وسائل الإعلام، سيكون ذلك مصدرًا محتمل</w:t>
            </w:r>
            <w:r w:rsidR="004D59D6">
              <w:rPr>
                <w:rFonts w:hint="cs"/>
                <w:sz w:val="24"/>
                <w:rtl/>
              </w:rPr>
              <w:t>ً</w:t>
            </w:r>
            <w:r w:rsidRPr="00762F46">
              <w:rPr>
                <w:sz w:val="24"/>
                <w:rtl/>
              </w:rPr>
              <w:t xml:space="preserve">ا للمعلومات </w:t>
            </w:r>
            <w:r w:rsidR="000D4108" w:rsidRPr="00762F46">
              <w:rPr>
                <w:rFonts w:hint="cs"/>
                <w:sz w:val="24"/>
                <w:rtl/>
              </w:rPr>
              <w:t>عن حالات</w:t>
            </w:r>
            <w:r w:rsidRPr="00762F46">
              <w:rPr>
                <w:sz w:val="24"/>
                <w:rtl/>
              </w:rPr>
              <w:t xml:space="preserve"> محددة من التعاون.</w:t>
            </w:r>
          </w:p>
          <w:p w14:paraId="371CE84D" w14:textId="42599718" w:rsidR="0054175C" w:rsidRPr="00762F46" w:rsidRDefault="0081159A" w:rsidP="00014461">
            <w:pPr>
              <w:keepNext/>
              <w:tabs>
                <w:tab w:val="center" w:pos="4099"/>
              </w:tabs>
              <w:bidi/>
              <w:spacing w:before="120" w:after="60"/>
              <w:jc w:val="both"/>
              <w:rPr>
                <w:b/>
                <w:sz w:val="24"/>
              </w:rPr>
            </w:pPr>
            <w:r w:rsidRPr="00762F46">
              <w:rPr>
                <w:bCs/>
                <w:sz w:val="24"/>
                <w:rtl/>
              </w:rPr>
              <w:t>مصادر البيانات المحتملة</w:t>
            </w:r>
            <w:r w:rsidRPr="00762F46">
              <w:rPr>
                <w:b/>
                <w:sz w:val="24"/>
              </w:rPr>
              <w:tab/>
            </w:r>
          </w:p>
          <w:p w14:paraId="4BB08CAA" w14:textId="19B10B50" w:rsidR="000225B5" w:rsidRPr="00762F46" w:rsidRDefault="000225B5" w:rsidP="00014461">
            <w:pPr>
              <w:pStyle w:val="ListParagraph"/>
              <w:numPr>
                <w:ilvl w:val="0"/>
                <w:numId w:val="73"/>
              </w:numPr>
              <w:bidi/>
              <w:spacing w:before="120"/>
              <w:jc w:val="both"/>
              <w:rPr>
                <w:rFonts w:ascii="Times New Roman" w:hAnsi="Times New Roman"/>
                <w:sz w:val="24"/>
                <w:szCs w:val="24"/>
                <w:lang w:val="en-GB"/>
              </w:rPr>
            </w:pPr>
            <w:r w:rsidRPr="00762F46">
              <w:rPr>
                <w:rFonts w:ascii="Times New Roman" w:hAnsi="Times New Roman"/>
                <w:sz w:val="24"/>
                <w:szCs w:val="24"/>
                <w:rtl/>
                <w:lang w:val="en-GB"/>
              </w:rPr>
              <w:t>بث التلفزيوني والإذاعي وال</w:t>
            </w:r>
            <w:r w:rsidR="008919C2" w:rsidRPr="00762F46">
              <w:rPr>
                <w:rFonts w:ascii="Times New Roman" w:hAnsi="Times New Roman" w:hint="cs"/>
                <w:sz w:val="24"/>
                <w:szCs w:val="24"/>
                <w:rtl/>
                <w:lang w:val="en-GB"/>
              </w:rPr>
              <w:t>محفوظات</w:t>
            </w:r>
          </w:p>
          <w:p w14:paraId="4F1127A7" w14:textId="2C2E5FA3" w:rsidR="000225B5" w:rsidRPr="00762F46" w:rsidRDefault="004B7AC9" w:rsidP="00014461">
            <w:pPr>
              <w:pStyle w:val="ListParagraph"/>
              <w:numPr>
                <w:ilvl w:val="0"/>
                <w:numId w:val="73"/>
              </w:numPr>
              <w:bidi/>
              <w:spacing w:before="120"/>
              <w:jc w:val="both"/>
              <w:rPr>
                <w:rFonts w:ascii="Times New Roman" w:hAnsi="Times New Roman"/>
                <w:sz w:val="24"/>
                <w:szCs w:val="24"/>
                <w:lang w:val="en-GB"/>
              </w:rPr>
            </w:pPr>
            <w:r w:rsidRPr="00762F46">
              <w:rPr>
                <w:rFonts w:ascii="Times New Roman" w:hAnsi="Times New Roman"/>
                <w:sz w:val="24"/>
                <w:szCs w:val="24"/>
                <w:rtl/>
                <w:lang w:val="en-GB"/>
              </w:rPr>
              <w:t>صحف و</w:t>
            </w:r>
            <w:r w:rsidR="000225B5" w:rsidRPr="00762F46">
              <w:rPr>
                <w:rFonts w:ascii="Times New Roman" w:hAnsi="Times New Roman"/>
                <w:sz w:val="24"/>
                <w:szCs w:val="24"/>
                <w:rtl/>
                <w:lang w:val="en-GB"/>
              </w:rPr>
              <w:t>مجلات</w:t>
            </w:r>
          </w:p>
          <w:p w14:paraId="602B1FF6" w14:textId="32920EE6" w:rsidR="000225B5" w:rsidRPr="00762F46" w:rsidRDefault="004B7AC9" w:rsidP="00014461">
            <w:pPr>
              <w:pStyle w:val="ListParagraph"/>
              <w:numPr>
                <w:ilvl w:val="0"/>
                <w:numId w:val="73"/>
              </w:numPr>
              <w:bidi/>
              <w:spacing w:before="120"/>
              <w:jc w:val="both"/>
              <w:rPr>
                <w:rFonts w:ascii="Times New Roman" w:hAnsi="Times New Roman"/>
                <w:sz w:val="24"/>
                <w:szCs w:val="24"/>
                <w:lang w:val="en-GB"/>
              </w:rPr>
            </w:pPr>
            <w:r w:rsidRPr="00762F46">
              <w:rPr>
                <w:rFonts w:ascii="Times New Roman" w:hAnsi="Times New Roman"/>
                <w:sz w:val="24"/>
                <w:szCs w:val="24"/>
                <w:rtl/>
                <w:lang w:val="en-GB"/>
              </w:rPr>
              <w:t xml:space="preserve">مواقع إلكترونية لمؤسسات </w:t>
            </w:r>
            <w:r w:rsidR="000225B5" w:rsidRPr="00762F46">
              <w:rPr>
                <w:rFonts w:ascii="Times New Roman" w:hAnsi="Times New Roman"/>
                <w:sz w:val="24"/>
                <w:szCs w:val="24"/>
                <w:rtl/>
                <w:lang w:val="en-GB"/>
              </w:rPr>
              <w:t>إعلامية</w:t>
            </w:r>
          </w:p>
          <w:p w14:paraId="71760897" w14:textId="24F14C1D" w:rsidR="000225B5" w:rsidRPr="00762F46" w:rsidRDefault="004B7AC9" w:rsidP="00014461">
            <w:pPr>
              <w:pStyle w:val="ListParagraph"/>
              <w:numPr>
                <w:ilvl w:val="0"/>
                <w:numId w:val="73"/>
              </w:numPr>
              <w:bidi/>
              <w:spacing w:before="120"/>
              <w:jc w:val="both"/>
              <w:rPr>
                <w:rFonts w:ascii="Times New Roman" w:hAnsi="Times New Roman"/>
                <w:sz w:val="24"/>
                <w:szCs w:val="24"/>
                <w:lang w:val="en-GB"/>
              </w:rPr>
            </w:pPr>
            <w:r w:rsidRPr="00762F46">
              <w:rPr>
                <w:rFonts w:ascii="Times New Roman" w:hAnsi="Times New Roman"/>
                <w:sz w:val="24"/>
                <w:szCs w:val="24"/>
                <w:rtl/>
                <w:lang w:val="en-GB"/>
              </w:rPr>
              <w:t xml:space="preserve">مواقع إلكترونية لوزارة إعلام أو وزارة </w:t>
            </w:r>
            <w:r w:rsidR="000225B5" w:rsidRPr="00762F46">
              <w:rPr>
                <w:rFonts w:ascii="Times New Roman" w:hAnsi="Times New Roman"/>
                <w:sz w:val="24"/>
                <w:szCs w:val="24"/>
                <w:rtl/>
                <w:lang w:val="en-GB"/>
              </w:rPr>
              <w:t xml:space="preserve">اتصالات وتقاريرهما </w:t>
            </w:r>
          </w:p>
          <w:p w14:paraId="21CF8C36" w14:textId="3211D4D4" w:rsidR="00AA0DBC" w:rsidRPr="00762F46" w:rsidRDefault="004B7AC9" w:rsidP="00014461">
            <w:pPr>
              <w:pStyle w:val="ListParagraph"/>
              <w:numPr>
                <w:ilvl w:val="0"/>
                <w:numId w:val="73"/>
              </w:numPr>
              <w:bidi/>
              <w:spacing w:before="120"/>
              <w:jc w:val="both"/>
              <w:rPr>
                <w:rFonts w:ascii="Times New Roman" w:hAnsi="Times New Roman"/>
                <w:sz w:val="24"/>
                <w:szCs w:val="24"/>
                <w:lang w:val="en-GB"/>
              </w:rPr>
            </w:pPr>
            <w:r w:rsidRPr="00762F46">
              <w:rPr>
                <w:rFonts w:ascii="Times New Roman" w:hAnsi="Times New Roman"/>
                <w:sz w:val="24"/>
                <w:szCs w:val="24"/>
                <w:rtl/>
                <w:lang w:val="en-GB"/>
              </w:rPr>
              <w:t xml:space="preserve">طلبات تمويل أو تقارير </w:t>
            </w:r>
            <w:r w:rsidR="000225B5" w:rsidRPr="00762F46">
              <w:rPr>
                <w:rFonts w:ascii="Times New Roman" w:hAnsi="Times New Roman"/>
                <w:sz w:val="24"/>
                <w:szCs w:val="24"/>
                <w:rtl/>
                <w:lang w:val="en-GB"/>
              </w:rPr>
              <w:t>متعلقة بأنشطة التعاون، بما في ذلك برامج بناء القدرات</w:t>
            </w:r>
          </w:p>
        </w:tc>
      </w:tr>
    </w:tbl>
    <w:p w14:paraId="2CCC92E4" w14:textId="77777777" w:rsidR="00320242" w:rsidRPr="00762F46" w:rsidRDefault="00320242" w:rsidP="00014461">
      <w:pPr>
        <w:bidi/>
        <w:jc w:val="both"/>
        <w:rPr>
          <w:sz w:val="24"/>
        </w:rPr>
      </w:pPr>
    </w:p>
    <w:sectPr w:rsidR="00320242" w:rsidRPr="00762F46"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4B8E2" w14:textId="77777777" w:rsidR="00DA575F" w:rsidRDefault="00DA575F" w:rsidP="002938F2">
      <w:r>
        <w:separator/>
      </w:r>
    </w:p>
    <w:p w14:paraId="03358514" w14:textId="77777777" w:rsidR="00DA575F" w:rsidRDefault="00DA575F"/>
  </w:endnote>
  <w:endnote w:type="continuationSeparator" w:id="0">
    <w:p w14:paraId="0A1483F5" w14:textId="77777777" w:rsidR="00DA575F" w:rsidRDefault="00DA575F" w:rsidP="002938F2">
      <w:r>
        <w:continuationSeparator/>
      </w:r>
    </w:p>
    <w:p w14:paraId="5016FCE9" w14:textId="77777777" w:rsidR="00DA575F" w:rsidRDefault="00DA575F"/>
  </w:endnote>
  <w:endnote w:type="continuationNotice" w:id="1">
    <w:p w14:paraId="6EFA4A1D" w14:textId="77777777" w:rsidR="00DA575F" w:rsidRDefault="00DA57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E9FF" w14:textId="528DED67" w:rsidR="00C04344" w:rsidRPr="000A0709" w:rsidRDefault="004025D2" w:rsidP="002A4848">
    <w:pPr>
      <w:pStyle w:val="Footer"/>
      <w:bidi/>
      <w:jc w:val="center"/>
      <w:rPr>
        <w:rFonts w:ascii="Arial" w:hAnsi="Arial"/>
      </w:rPr>
    </w:pPr>
    <w:r w:rsidRPr="000F25BA">
      <w:rPr>
        <w:rFonts w:ascii="Arial" w:hAnsi="Arial" w:cs="Arial"/>
      </w:rPr>
      <w:fldChar w:fldCharType="begin"/>
    </w:r>
    <w:r w:rsidR="000F25BA" w:rsidRPr="000F25BA">
      <w:rPr>
        <w:rFonts w:ascii="Arial" w:hAnsi="Arial" w:cs="Arial"/>
      </w:rPr>
      <w:instrText xml:space="preserve"> PAGE   \* MERGEFORMAT </w:instrText>
    </w:r>
    <w:r w:rsidRPr="000F25BA">
      <w:rPr>
        <w:rFonts w:ascii="Arial" w:hAnsi="Arial" w:cs="Arial"/>
      </w:rPr>
      <w:fldChar w:fldCharType="separate"/>
    </w:r>
    <w:r w:rsidR="00C63E9D">
      <w:rPr>
        <w:rFonts w:ascii="Arial" w:hAnsi="Arial" w:cs="Arial"/>
        <w:noProof/>
        <w:rtl/>
      </w:rPr>
      <w:t>1</w:t>
    </w:r>
    <w:r w:rsidRPr="000F25B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8FB64" w14:textId="77777777" w:rsidR="00DA575F" w:rsidRDefault="00DA575F" w:rsidP="002938F2">
      <w:r>
        <w:separator/>
      </w:r>
    </w:p>
  </w:footnote>
  <w:footnote w:type="continuationSeparator" w:id="0">
    <w:p w14:paraId="60AE8A59" w14:textId="77777777" w:rsidR="00DA575F" w:rsidRDefault="00DA575F" w:rsidP="002938F2">
      <w:r>
        <w:continuationSeparator/>
      </w:r>
    </w:p>
    <w:p w14:paraId="22FE7457" w14:textId="77777777" w:rsidR="00DA575F" w:rsidRDefault="00DA575F"/>
  </w:footnote>
  <w:footnote w:type="continuationNotice" w:id="1">
    <w:p w14:paraId="2A6E2B91" w14:textId="77777777" w:rsidR="00DA575F" w:rsidRDefault="00DA575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7"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8"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7C77860"/>
    <w:multiLevelType w:val="multilevel"/>
    <w:tmpl w:val="B1FA55B6"/>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4C204D0"/>
    <w:multiLevelType w:val="hybridMultilevel"/>
    <w:tmpl w:val="CA047FE0"/>
    <w:lvl w:ilvl="0" w:tplc="5FF00C00">
      <w:start w:val="1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2"/>
  </w:num>
  <w:num w:numId="2">
    <w:abstractNumId w:val="25"/>
  </w:num>
  <w:num w:numId="3">
    <w:abstractNumId w:val="11"/>
  </w:num>
  <w:num w:numId="4">
    <w:abstractNumId w:val="56"/>
  </w:num>
  <w:num w:numId="5">
    <w:abstractNumId w:val="45"/>
  </w:num>
  <w:num w:numId="6">
    <w:abstractNumId w:val="4"/>
  </w:num>
  <w:num w:numId="7">
    <w:abstractNumId w:val="15"/>
  </w:num>
  <w:num w:numId="8">
    <w:abstractNumId w:val="24"/>
  </w:num>
  <w:num w:numId="9">
    <w:abstractNumId w:val="49"/>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8"/>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4"/>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6"/>
  </w:num>
  <w:num w:numId="35">
    <w:abstractNumId w:val="20"/>
  </w:num>
  <w:num w:numId="36">
    <w:abstractNumId w:val="40"/>
  </w:num>
  <w:num w:numId="37">
    <w:abstractNumId w:val="17"/>
  </w:num>
  <w:num w:numId="38">
    <w:abstractNumId w:val="9"/>
  </w:num>
  <w:num w:numId="39">
    <w:abstractNumId w:val="6"/>
  </w:num>
  <w:num w:numId="40">
    <w:abstractNumId w:val="19"/>
  </w:num>
  <w:num w:numId="41">
    <w:abstractNumId w:val="55"/>
  </w:num>
  <w:num w:numId="42">
    <w:abstractNumId w:val="51"/>
  </w:num>
  <w:num w:numId="43">
    <w:abstractNumId w:val="28"/>
  </w:num>
  <w:num w:numId="44">
    <w:abstractNumId w:val="12"/>
  </w:num>
  <w:num w:numId="45">
    <w:abstractNumId w:val="52"/>
  </w:num>
  <w:num w:numId="46">
    <w:abstractNumId w:val="5"/>
  </w:num>
  <w:num w:numId="47">
    <w:abstractNumId w:val="35"/>
  </w:num>
  <w:num w:numId="48">
    <w:abstractNumId w:val="57"/>
  </w:num>
  <w:num w:numId="49">
    <w:abstractNumId w:val="31"/>
  </w:num>
  <w:num w:numId="50">
    <w:abstractNumId w:val="29"/>
  </w:num>
  <w:num w:numId="51">
    <w:abstractNumId w:val="26"/>
  </w:num>
  <w:num w:numId="52">
    <w:abstractNumId w:val="37"/>
  </w:num>
  <w:num w:numId="53">
    <w:abstractNumId w:val="14"/>
  </w:num>
  <w:num w:numId="54">
    <w:abstractNumId w:val="1"/>
  </w:num>
  <w:num w:numId="55">
    <w:abstractNumId w:val="33"/>
  </w:num>
  <w:num w:numId="56">
    <w:abstractNumId w:val="39"/>
  </w:num>
  <w:num w:numId="57">
    <w:abstractNumId w:val="0"/>
  </w:num>
  <w:num w:numId="58">
    <w:abstractNumId w:val="3"/>
  </w:num>
  <w:num w:numId="59">
    <w:abstractNumId w:val="43"/>
  </w:num>
  <w:num w:numId="60">
    <w:abstractNumId w:val="2"/>
  </w:num>
  <w:num w:numId="61">
    <w:abstractNumId w:val="30"/>
  </w:num>
  <w:num w:numId="62">
    <w:abstractNumId w:val="21"/>
  </w:num>
  <w:num w:numId="63">
    <w:abstractNumId w:val="48"/>
  </w:num>
  <w:num w:numId="64">
    <w:abstractNumId w:val="18"/>
  </w:num>
  <w:num w:numId="65">
    <w:abstractNumId w:val="23"/>
  </w:num>
  <w:num w:numId="66">
    <w:abstractNumId w:val="44"/>
  </w:num>
  <w:num w:numId="67">
    <w:abstractNumId w:val="36"/>
  </w:num>
  <w:num w:numId="68">
    <w:abstractNumId w:val="13"/>
  </w:num>
  <w:num w:numId="69">
    <w:abstractNumId w:val="41"/>
  </w:num>
  <w:num w:numId="70">
    <w:abstractNumId w:val="32"/>
  </w:num>
  <w:num w:numId="71">
    <w:abstractNumId w:val="27"/>
  </w:num>
  <w:num w:numId="72">
    <w:abstractNumId w:val="50"/>
  </w:num>
  <w:num w:numId="73">
    <w:abstractNumId w:val="7"/>
  </w:num>
  <w:num w:numId="74">
    <w:abstractNumId w:val="34"/>
  </w:num>
  <w:num w:numId="75">
    <w:abstractNumId w:val="47"/>
  </w:num>
  <w:num w:numId="76">
    <w:abstractNumId w:val="5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ar-SA" w:vendorID="64" w:dllVersion="0" w:nlCheck="1" w:checkStyle="0"/>
  <w:activeWritingStyle w:appName="MSWord" w:lang="ar-EG"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57"/>
    <w:rsid w:val="000016A4"/>
    <w:rsid w:val="000019DB"/>
    <w:rsid w:val="000047CC"/>
    <w:rsid w:val="00005BA5"/>
    <w:rsid w:val="00005BFA"/>
    <w:rsid w:val="00006F66"/>
    <w:rsid w:val="000076E4"/>
    <w:rsid w:val="00010E2D"/>
    <w:rsid w:val="000120FD"/>
    <w:rsid w:val="00013A65"/>
    <w:rsid w:val="00014461"/>
    <w:rsid w:val="0001506E"/>
    <w:rsid w:val="00015B9D"/>
    <w:rsid w:val="0001601A"/>
    <w:rsid w:val="00020E88"/>
    <w:rsid w:val="00021831"/>
    <w:rsid w:val="000225B5"/>
    <w:rsid w:val="00022C19"/>
    <w:rsid w:val="00031A37"/>
    <w:rsid w:val="00036843"/>
    <w:rsid w:val="00047E58"/>
    <w:rsid w:val="00054FDC"/>
    <w:rsid w:val="000632E2"/>
    <w:rsid w:val="0007203D"/>
    <w:rsid w:val="000729D2"/>
    <w:rsid w:val="00073D20"/>
    <w:rsid w:val="00074E7D"/>
    <w:rsid w:val="000755E1"/>
    <w:rsid w:val="0007629E"/>
    <w:rsid w:val="0007681B"/>
    <w:rsid w:val="000769F1"/>
    <w:rsid w:val="00083694"/>
    <w:rsid w:val="00084DA8"/>
    <w:rsid w:val="00085541"/>
    <w:rsid w:val="00092AE6"/>
    <w:rsid w:val="00093063"/>
    <w:rsid w:val="000A0709"/>
    <w:rsid w:val="000A0F0D"/>
    <w:rsid w:val="000A112A"/>
    <w:rsid w:val="000A21DA"/>
    <w:rsid w:val="000A34CE"/>
    <w:rsid w:val="000B0CD0"/>
    <w:rsid w:val="000C03BF"/>
    <w:rsid w:val="000C15BD"/>
    <w:rsid w:val="000C65E4"/>
    <w:rsid w:val="000C7EE0"/>
    <w:rsid w:val="000D1EBC"/>
    <w:rsid w:val="000D260B"/>
    <w:rsid w:val="000D345F"/>
    <w:rsid w:val="000D4108"/>
    <w:rsid w:val="000D7375"/>
    <w:rsid w:val="000E2EE7"/>
    <w:rsid w:val="000F25BA"/>
    <w:rsid w:val="000F2B3F"/>
    <w:rsid w:val="000F2DAA"/>
    <w:rsid w:val="000F7E6F"/>
    <w:rsid w:val="00106B72"/>
    <w:rsid w:val="00106D19"/>
    <w:rsid w:val="0011334A"/>
    <w:rsid w:val="00115830"/>
    <w:rsid w:val="00116489"/>
    <w:rsid w:val="0011750D"/>
    <w:rsid w:val="00121B41"/>
    <w:rsid w:val="00122AE5"/>
    <w:rsid w:val="001301DF"/>
    <w:rsid w:val="00134A1E"/>
    <w:rsid w:val="001412DE"/>
    <w:rsid w:val="00142D78"/>
    <w:rsid w:val="00144A4D"/>
    <w:rsid w:val="0014526B"/>
    <w:rsid w:val="00147383"/>
    <w:rsid w:val="00151351"/>
    <w:rsid w:val="00156788"/>
    <w:rsid w:val="001609A1"/>
    <w:rsid w:val="00162554"/>
    <w:rsid w:val="00163F68"/>
    <w:rsid w:val="00173B50"/>
    <w:rsid w:val="00173E0E"/>
    <w:rsid w:val="00174B39"/>
    <w:rsid w:val="001774DB"/>
    <w:rsid w:val="00183F6C"/>
    <w:rsid w:val="00194802"/>
    <w:rsid w:val="00194AEB"/>
    <w:rsid w:val="00197D18"/>
    <w:rsid w:val="001A431C"/>
    <w:rsid w:val="001A5519"/>
    <w:rsid w:val="001A7C3A"/>
    <w:rsid w:val="001B5C26"/>
    <w:rsid w:val="001C08BC"/>
    <w:rsid w:val="001C56BA"/>
    <w:rsid w:val="001C6D7D"/>
    <w:rsid w:val="001D00B5"/>
    <w:rsid w:val="001D3B29"/>
    <w:rsid w:val="001D59C8"/>
    <w:rsid w:val="001E44C1"/>
    <w:rsid w:val="001E4EEB"/>
    <w:rsid w:val="001E6026"/>
    <w:rsid w:val="001F33AE"/>
    <w:rsid w:val="001F3696"/>
    <w:rsid w:val="001F37CA"/>
    <w:rsid w:val="0020163D"/>
    <w:rsid w:val="00203AD7"/>
    <w:rsid w:val="002042CC"/>
    <w:rsid w:val="00204B37"/>
    <w:rsid w:val="002074D6"/>
    <w:rsid w:val="00207510"/>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0B45"/>
    <w:rsid w:val="002638C0"/>
    <w:rsid w:val="00264D53"/>
    <w:rsid w:val="00265E42"/>
    <w:rsid w:val="00266688"/>
    <w:rsid w:val="00266B45"/>
    <w:rsid w:val="0027198B"/>
    <w:rsid w:val="00273658"/>
    <w:rsid w:val="00276EAB"/>
    <w:rsid w:val="00281AA4"/>
    <w:rsid w:val="00282A9D"/>
    <w:rsid w:val="002833AE"/>
    <w:rsid w:val="00286C0C"/>
    <w:rsid w:val="00287687"/>
    <w:rsid w:val="00290D5F"/>
    <w:rsid w:val="00293737"/>
    <w:rsid w:val="002938F2"/>
    <w:rsid w:val="00293CCC"/>
    <w:rsid w:val="00296758"/>
    <w:rsid w:val="002A195D"/>
    <w:rsid w:val="002A4848"/>
    <w:rsid w:val="002B43D6"/>
    <w:rsid w:val="002B6B98"/>
    <w:rsid w:val="002C1062"/>
    <w:rsid w:val="002C28BA"/>
    <w:rsid w:val="002C39FA"/>
    <w:rsid w:val="002C3B8F"/>
    <w:rsid w:val="002C444C"/>
    <w:rsid w:val="002C48A5"/>
    <w:rsid w:val="002C5021"/>
    <w:rsid w:val="002C5280"/>
    <w:rsid w:val="002C5C29"/>
    <w:rsid w:val="002D0A12"/>
    <w:rsid w:val="002D396D"/>
    <w:rsid w:val="002D71D4"/>
    <w:rsid w:val="002E113D"/>
    <w:rsid w:val="002E15D4"/>
    <w:rsid w:val="002F17E1"/>
    <w:rsid w:val="003043A9"/>
    <w:rsid w:val="0030454E"/>
    <w:rsid w:val="00320242"/>
    <w:rsid w:val="00322A3A"/>
    <w:rsid w:val="00324A32"/>
    <w:rsid w:val="00325D6E"/>
    <w:rsid w:val="00332550"/>
    <w:rsid w:val="00334977"/>
    <w:rsid w:val="00337194"/>
    <w:rsid w:val="00342EE8"/>
    <w:rsid w:val="00344D78"/>
    <w:rsid w:val="00346517"/>
    <w:rsid w:val="00351CCB"/>
    <w:rsid w:val="0035648A"/>
    <w:rsid w:val="00362B41"/>
    <w:rsid w:val="00363995"/>
    <w:rsid w:val="00364E5E"/>
    <w:rsid w:val="00370E9B"/>
    <w:rsid w:val="00377E4B"/>
    <w:rsid w:val="00382757"/>
    <w:rsid w:val="00383BA9"/>
    <w:rsid w:val="003845B0"/>
    <w:rsid w:val="00385B34"/>
    <w:rsid w:val="00386C08"/>
    <w:rsid w:val="00387D88"/>
    <w:rsid w:val="0039446E"/>
    <w:rsid w:val="00397793"/>
    <w:rsid w:val="003A260A"/>
    <w:rsid w:val="003A2BC4"/>
    <w:rsid w:val="003B31BE"/>
    <w:rsid w:val="003B504D"/>
    <w:rsid w:val="003C7065"/>
    <w:rsid w:val="003D2E0D"/>
    <w:rsid w:val="003D5113"/>
    <w:rsid w:val="003D5BFC"/>
    <w:rsid w:val="003D6E10"/>
    <w:rsid w:val="003E0C0F"/>
    <w:rsid w:val="003E0E28"/>
    <w:rsid w:val="003E19D5"/>
    <w:rsid w:val="003E76A8"/>
    <w:rsid w:val="003F46A8"/>
    <w:rsid w:val="003F5B90"/>
    <w:rsid w:val="004025D2"/>
    <w:rsid w:val="00404856"/>
    <w:rsid w:val="00406ED7"/>
    <w:rsid w:val="004108B6"/>
    <w:rsid w:val="0041110F"/>
    <w:rsid w:val="0041300C"/>
    <w:rsid w:val="00413F37"/>
    <w:rsid w:val="00414B68"/>
    <w:rsid w:val="0043062D"/>
    <w:rsid w:val="00430ED2"/>
    <w:rsid w:val="00434773"/>
    <w:rsid w:val="004367F5"/>
    <w:rsid w:val="004458C9"/>
    <w:rsid w:val="00447C66"/>
    <w:rsid w:val="00450CEB"/>
    <w:rsid w:val="00461011"/>
    <w:rsid w:val="00462F38"/>
    <w:rsid w:val="00471B34"/>
    <w:rsid w:val="00474AFE"/>
    <w:rsid w:val="00477E66"/>
    <w:rsid w:val="00480809"/>
    <w:rsid w:val="004831C7"/>
    <w:rsid w:val="00486A5E"/>
    <w:rsid w:val="00493F92"/>
    <w:rsid w:val="004A0C2B"/>
    <w:rsid w:val="004A3715"/>
    <w:rsid w:val="004A610E"/>
    <w:rsid w:val="004B7AC9"/>
    <w:rsid w:val="004C20E2"/>
    <w:rsid w:val="004D59D6"/>
    <w:rsid w:val="004E056C"/>
    <w:rsid w:val="004E2817"/>
    <w:rsid w:val="004E2AE8"/>
    <w:rsid w:val="004E418A"/>
    <w:rsid w:val="005016FB"/>
    <w:rsid w:val="00504256"/>
    <w:rsid w:val="00507016"/>
    <w:rsid w:val="00511D17"/>
    <w:rsid w:val="00511FCA"/>
    <w:rsid w:val="005157E2"/>
    <w:rsid w:val="0051699F"/>
    <w:rsid w:val="00516DE3"/>
    <w:rsid w:val="005300BF"/>
    <w:rsid w:val="00532631"/>
    <w:rsid w:val="005414A1"/>
    <w:rsid w:val="0054175C"/>
    <w:rsid w:val="005473CF"/>
    <w:rsid w:val="00554846"/>
    <w:rsid w:val="00554FBE"/>
    <w:rsid w:val="005629DE"/>
    <w:rsid w:val="00570355"/>
    <w:rsid w:val="0057129B"/>
    <w:rsid w:val="00574530"/>
    <w:rsid w:val="0057597A"/>
    <w:rsid w:val="00581423"/>
    <w:rsid w:val="00582F4C"/>
    <w:rsid w:val="0058407A"/>
    <w:rsid w:val="00592DFC"/>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6A2B"/>
    <w:rsid w:val="005E7C7C"/>
    <w:rsid w:val="005F20CD"/>
    <w:rsid w:val="00601AB9"/>
    <w:rsid w:val="00601DD6"/>
    <w:rsid w:val="006032AE"/>
    <w:rsid w:val="00603F71"/>
    <w:rsid w:val="00605202"/>
    <w:rsid w:val="00621092"/>
    <w:rsid w:val="00621208"/>
    <w:rsid w:val="00632B30"/>
    <w:rsid w:val="006340A1"/>
    <w:rsid w:val="00636760"/>
    <w:rsid w:val="00644B92"/>
    <w:rsid w:val="00645B77"/>
    <w:rsid w:val="0065099D"/>
    <w:rsid w:val="006515C9"/>
    <w:rsid w:val="00651944"/>
    <w:rsid w:val="00652318"/>
    <w:rsid w:val="00652484"/>
    <w:rsid w:val="00653314"/>
    <w:rsid w:val="0067005F"/>
    <w:rsid w:val="0067015A"/>
    <w:rsid w:val="006736EC"/>
    <w:rsid w:val="00673D90"/>
    <w:rsid w:val="00676C1E"/>
    <w:rsid w:val="00686D60"/>
    <w:rsid w:val="00691869"/>
    <w:rsid w:val="006A0D86"/>
    <w:rsid w:val="006A49AE"/>
    <w:rsid w:val="006A56C0"/>
    <w:rsid w:val="006C0911"/>
    <w:rsid w:val="006C737A"/>
    <w:rsid w:val="006D144D"/>
    <w:rsid w:val="006D46FB"/>
    <w:rsid w:val="006D6A52"/>
    <w:rsid w:val="006E031D"/>
    <w:rsid w:val="006E1D65"/>
    <w:rsid w:val="006E29C0"/>
    <w:rsid w:val="006E752A"/>
    <w:rsid w:val="006E7CF0"/>
    <w:rsid w:val="006F3E83"/>
    <w:rsid w:val="006F4B83"/>
    <w:rsid w:val="006F7F47"/>
    <w:rsid w:val="00701458"/>
    <w:rsid w:val="00701D7E"/>
    <w:rsid w:val="00704766"/>
    <w:rsid w:val="007119B8"/>
    <w:rsid w:val="0072415E"/>
    <w:rsid w:val="007247D7"/>
    <w:rsid w:val="007250E3"/>
    <w:rsid w:val="007277C8"/>
    <w:rsid w:val="00732057"/>
    <w:rsid w:val="007368A2"/>
    <w:rsid w:val="007418AE"/>
    <w:rsid w:val="00742DD1"/>
    <w:rsid w:val="0074360F"/>
    <w:rsid w:val="00743CFD"/>
    <w:rsid w:val="00746204"/>
    <w:rsid w:val="00747715"/>
    <w:rsid w:val="00747F86"/>
    <w:rsid w:val="00750138"/>
    <w:rsid w:val="00753DA3"/>
    <w:rsid w:val="007610D3"/>
    <w:rsid w:val="007629DB"/>
    <w:rsid w:val="00762F46"/>
    <w:rsid w:val="00764F50"/>
    <w:rsid w:val="00767871"/>
    <w:rsid w:val="00770A92"/>
    <w:rsid w:val="00774D9C"/>
    <w:rsid w:val="00776A63"/>
    <w:rsid w:val="00790C65"/>
    <w:rsid w:val="0079316B"/>
    <w:rsid w:val="007A0565"/>
    <w:rsid w:val="007A0EAA"/>
    <w:rsid w:val="007A1247"/>
    <w:rsid w:val="007A1E0A"/>
    <w:rsid w:val="007A6F91"/>
    <w:rsid w:val="007A7D45"/>
    <w:rsid w:val="007B4ADA"/>
    <w:rsid w:val="007C105C"/>
    <w:rsid w:val="007C1B00"/>
    <w:rsid w:val="007D0F1D"/>
    <w:rsid w:val="007D2881"/>
    <w:rsid w:val="007D31CE"/>
    <w:rsid w:val="007D3AD8"/>
    <w:rsid w:val="007D5BB7"/>
    <w:rsid w:val="007D6A69"/>
    <w:rsid w:val="007E0621"/>
    <w:rsid w:val="007E4E37"/>
    <w:rsid w:val="007F4B07"/>
    <w:rsid w:val="008029A6"/>
    <w:rsid w:val="0081159A"/>
    <w:rsid w:val="008147BA"/>
    <w:rsid w:val="008269B0"/>
    <w:rsid w:val="0083067E"/>
    <w:rsid w:val="00832357"/>
    <w:rsid w:val="0083488D"/>
    <w:rsid w:val="008466C3"/>
    <w:rsid w:val="00846809"/>
    <w:rsid w:val="00850811"/>
    <w:rsid w:val="00851458"/>
    <w:rsid w:val="00861A47"/>
    <w:rsid w:val="008707FF"/>
    <w:rsid w:val="008724E5"/>
    <w:rsid w:val="00877649"/>
    <w:rsid w:val="00877AC5"/>
    <w:rsid w:val="00877F27"/>
    <w:rsid w:val="0088173A"/>
    <w:rsid w:val="00881EB9"/>
    <w:rsid w:val="008848E9"/>
    <w:rsid w:val="00884C09"/>
    <w:rsid w:val="00885596"/>
    <w:rsid w:val="00885B33"/>
    <w:rsid w:val="00886B71"/>
    <w:rsid w:val="008919C2"/>
    <w:rsid w:val="0089499E"/>
    <w:rsid w:val="00896177"/>
    <w:rsid w:val="008A0BE3"/>
    <w:rsid w:val="008A2566"/>
    <w:rsid w:val="008A6663"/>
    <w:rsid w:val="008B6B4C"/>
    <w:rsid w:val="008B7346"/>
    <w:rsid w:val="008C50C9"/>
    <w:rsid w:val="008C7F60"/>
    <w:rsid w:val="008D3BF7"/>
    <w:rsid w:val="008E0DAA"/>
    <w:rsid w:val="008E194D"/>
    <w:rsid w:val="008F16C6"/>
    <w:rsid w:val="008F2A76"/>
    <w:rsid w:val="008F34A1"/>
    <w:rsid w:val="008F4F13"/>
    <w:rsid w:val="008F5052"/>
    <w:rsid w:val="008F5193"/>
    <w:rsid w:val="008F6927"/>
    <w:rsid w:val="0090187D"/>
    <w:rsid w:val="00903C3D"/>
    <w:rsid w:val="0090710F"/>
    <w:rsid w:val="00910B12"/>
    <w:rsid w:val="00911179"/>
    <w:rsid w:val="009121CE"/>
    <w:rsid w:val="009127D8"/>
    <w:rsid w:val="00916F7B"/>
    <w:rsid w:val="00917A4D"/>
    <w:rsid w:val="00921F65"/>
    <w:rsid w:val="0092574C"/>
    <w:rsid w:val="009342E8"/>
    <w:rsid w:val="009357B4"/>
    <w:rsid w:val="00946D71"/>
    <w:rsid w:val="009577E1"/>
    <w:rsid w:val="00971CA1"/>
    <w:rsid w:val="0097349C"/>
    <w:rsid w:val="00974045"/>
    <w:rsid w:val="009814C2"/>
    <w:rsid w:val="0098241B"/>
    <w:rsid w:val="00982FFD"/>
    <w:rsid w:val="00985265"/>
    <w:rsid w:val="00985856"/>
    <w:rsid w:val="00991CB5"/>
    <w:rsid w:val="0099689D"/>
    <w:rsid w:val="009A4969"/>
    <w:rsid w:val="009B1466"/>
    <w:rsid w:val="009B6973"/>
    <w:rsid w:val="009C0510"/>
    <w:rsid w:val="009C3663"/>
    <w:rsid w:val="009D098F"/>
    <w:rsid w:val="009D3911"/>
    <w:rsid w:val="009D4547"/>
    <w:rsid w:val="009D5A49"/>
    <w:rsid w:val="009D5E38"/>
    <w:rsid w:val="009D602F"/>
    <w:rsid w:val="009D68D0"/>
    <w:rsid w:val="009E17AF"/>
    <w:rsid w:val="009E335E"/>
    <w:rsid w:val="009F0D42"/>
    <w:rsid w:val="009F1B82"/>
    <w:rsid w:val="009F34A4"/>
    <w:rsid w:val="009F3988"/>
    <w:rsid w:val="00A003D0"/>
    <w:rsid w:val="00A073FD"/>
    <w:rsid w:val="00A117C4"/>
    <w:rsid w:val="00A150C7"/>
    <w:rsid w:val="00A2307A"/>
    <w:rsid w:val="00A462C6"/>
    <w:rsid w:val="00A519A2"/>
    <w:rsid w:val="00A51BDC"/>
    <w:rsid w:val="00A535B7"/>
    <w:rsid w:val="00A5709F"/>
    <w:rsid w:val="00A616C4"/>
    <w:rsid w:val="00A61F20"/>
    <w:rsid w:val="00A64796"/>
    <w:rsid w:val="00A64D10"/>
    <w:rsid w:val="00A66CD4"/>
    <w:rsid w:val="00A70883"/>
    <w:rsid w:val="00A76495"/>
    <w:rsid w:val="00A77AEB"/>
    <w:rsid w:val="00A81F0A"/>
    <w:rsid w:val="00A85C7A"/>
    <w:rsid w:val="00A86042"/>
    <w:rsid w:val="00AA0DBC"/>
    <w:rsid w:val="00AA1D1A"/>
    <w:rsid w:val="00AA3468"/>
    <w:rsid w:val="00AA36F9"/>
    <w:rsid w:val="00AA444A"/>
    <w:rsid w:val="00AA67E6"/>
    <w:rsid w:val="00AB1528"/>
    <w:rsid w:val="00AC3896"/>
    <w:rsid w:val="00AD6BD4"/>
    <w:rsid w:val="00AE1B18"/>
    <w:rsid w:val="00AE1D83"/>
    <w:rsid w:val="00AE2DFB"/>
    <w:rsid w:val="00AE3061"/>
    <w:rsid w:val="00AE3517"/>
    <w:rsid w:val="00AF15BA"/>
    <w:rsid w:val="00AF1C32"/>
    <w:rsid w:val="00AF65C6"/>
    <w:rsid w:val="00B11AE3"/>
    <w:rsid w:val="00B121A6"/>
    <w:rsid w:val="00B17D2F"/>
    <w:rsid w:val="00B300B8"/>
    <w:rsid w:val="00B32A28"/>
    <w:rsid w:val="00B33904"/>
    <w:rsid w:val="00B36DD6"/>
    <w:rsid w:val="00B3751E"/>
    <w:rsid w:val="00B427FE"/>
    <w:rsid w:val="00B47673"/>
    <w:rsid w:val="00B51737"/>
    <w:rsid w:val="00B6102A"/>
    <w:rsid w:val="00B6167A"/>
    <w:rsid w:val="00B62ED0"/>
    <w:rsid w:val="00B64196"/>
    <w:rsid w:val="00B66A7A"/>
    <w:rsid w:val="00B70266"/>
    <w:rsid w:val="00B74304"/>
    <w:rsid w:val="00B82F05"/>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D7B46"/>
    <w:rsid w:val="00BE5B3F"/>
    <w:rsid w:val="00BE7E69"/>
    <w:rsid w:val="00BF02D0"/>
    <w:rsid w:val="00BF351F"/>
    <w:rsid w:val="00BF3F50"/>
    <w:rsid w:val="00BF6F37"/>
    <w:rsid w:val="00C002CB"/>
    <w:rsid w:val="00C01B88"/>
    <w:rsid w:val="00C02924"/>
    <w:rsid w:val="00C04344"/>
    <w:rsid w:val="00C17FE4"/>
    <w:rsid w:val="00C21897"/>
    <w:rsid w:val="00C276EE"/>
    <w:rsid w:val="00C27A42"/>
    <w:rsid w:val="00C43146"/>
    <w:rsid w:val="00C43757"/>
    <w:rsid w:val="00C43BCE"/>
    <w:rsid w:val="00C47CF1"/>
    <w:rsid w:val="00C52006"/>
    <w:rsid w:val="00C53AB4"/>
    <w:rsid w:val="00C542F1"/>
    <w:rsid w:val="00C572B3"/>
    <w:rsid w:val="00C57CA1"/>
    <w:rsid w:val="00C6300B"/>
    <w:rsid w:val="00C63E9D"/>
    <w:rsid w:val="00C6426B"/>
    <w:rsid w:val="00C6478B"/>
    <w:rsid w:val="00C87194"/>
    <w:rsid w:val="00C90629"/>
    <w:rsid w:val="00C90C51"/>
    <w:rsid w:val="00CA3ED6"/>
    <w:rsid w:val="00CA7CF4"/>
    <w:rsid w:val="00CB0F37"/>
    <w:rsid w:val="00CB0FAC"/>
    <w:rsid w:val="00CB1135"/>
    <w:rsid w:val="00CB590B"/>
    <w:rsid w:val="00CC02C5"/>
    <w:rsid w:val="00CC0427"/>
    <w:rsid w:val="00CC2BC6"/>
    <w:rsid w:val="00CC3AAB"/>
    <w:rsid w:val="00CD324E"/>
    <w:rsid w:val="00CD4A28"/>
    <w:rsid w:val="00CD54BD"/>
    <w:rsid w:val="00CD6C36"/>
    <w:rsid w:val="00CE2586"/>
    <w:rsid w:val="00CF05D7"/>
    <w:rsid w:val="00CF34A6"/>
    <w:rsid w:val="00CF3F93"/>
    <w:rsid w:val="00CF4204"/>
    <w:rsid w:val="00CF59E6"/>
    <w:rsid w:val="00D020F3"/>
    <w:rsid w:val="00D04515"/>
    <w:rsid w:val="00D065AD"/>
    <w:rsid w:val="00D20BB0"/>
    <w:rsid w:val="00D22831"/>
    <w:rsid w:val="00D404B7"/>
    <w:rsid w:val="00D44509"/>
    <w:rsid w:val="00D448CB"/>
    <w:rsid w:val="00D47226"/>
    <w:rsid w:val="00D47ED5"/>
    <w:rsid w:val="00D61779"/>
    <w:rsid w:val="00D70FD2"/>
    <w:rsid w:val="00D73DB6"/>
    <w:rsid w:val="00D809E5"/>
    <w:rsid w:val="00D81948"/>
    <w:rsid w:val="00D90819"/>
    <w:rsid w:val="00D93291"/>
    <w:rsid w:val="00D93BC8"/>
    <w:rsid w:val="00D9501F"/>
    <w:rsid w:val="00DA575F"/>
    <w:rsid w:val="00DA7BB1"/>
    <w:rsid w:val="00DB1B6C"/>
    <w:rsid w:val="00DB50D5"/>
    <w:rsid w:val="00DC1D36"/>
    <w:rsid w:val="00DC5537"/>
    <w:rsid w:val="00DD11EE"/>
    <w:rsid w:val="00DD52A0"/>
    <w:rsid w:val="00DD6859"/>
    <w:rsid w:val="00DE5590"/>
    <w:rsid w:val="00DE6364"/>
    <w:rsid w:val="00DF1D9E"/>
    <w:rsid w:val="00DF3DA3"/>
    <w:rsid w:val="00DF5DA4"/>
    <w:rsid w:val="00DF79F0"/>
    <w:rsid w:val="00E0266B"/>
    <w:rsid w:val="00E06492"/>
    <w:rsid w:val="00E065CE"/>
    <w:rsid w:val="00E06A00"/>
    <w:rsid w:val="00E13E03"/>
    <w:rsid w:val="00E22B99"/>
    <w:rsid w:val="00E24A9D"/>
    <w:rsid w:val="00E258D9"/>
    <w:rsid w:val="00E35B8C"/>
    <w:rsid w:val="00E439CA"/>
    <w:rsid w:val="00E46DDB"/>
    <w:rsid w:val="00E473F3"/>
    <w:rsid w:val="00E5219B"/>
    <w:rsid w:val="00E56905"/>
    <w:rsid w:val="00E57472"/>
    <w:rsid w:val="00E64BE4"/>
    <w:rsid w:val="00E85565"/>
    <w:rsid w:val="00E87F91"/>
    <w:rsid w:val="00E94BC6"/>
    <w:rsid w:val="00EA0563"/>
    <w:rsid w:val="00EA198F"/>
    <w:rsid w:val="00EA2EA1"/>
    <w:rsid w:val="00EA3CB9"/>
    <w:rsid w:val="00EA59EB"/>
    <w:rsid w:val="00EA67F3"/>
    <w:rsid w:val="00EB2373"/>
    <w:rsid w:val="00EB25C2"/>
    <w:rsid w:val="00EB48F8"/>
    <w:rsid w:val="00ED0C60"/>
    <w:rsid w:val="00ED3D26"/>
    <w:rsid w:val="00ED5218"/>
    <w:rsid w:val="00EE1D9D"/>
    <w:rsid w:val="00EF0BCB"/>
    <w:rsid w:val="00EF0E74"/>
    <w:rsid w:val="00EF2549"/>
    <w:rsid w:val="00F00E8A"/>
    <w:rsid w:val="00F0323B"/>
    <w:rsid w:val="00F16242"/>
    <w:rsid w:val="00F17FCB"/>
    <w:rsid w:val="00F21A84"/>
    <w:rsid w:val="00F226CC"/>
    <w:rsid w:val="00F2691E"/>
    <w:rsid w:val="00F279DD"/>
    <w:rsid w:val="00F3242E"/>
    <w:rsid w:val="00F33650"/>
    <w:rsid w:val="00F348F9"/>
    <w:rsid w:val="00F37E4B"/>
    <w:rsid w:val="00F4144E"/>
    <w:rsid w:val="00F41B00"/>
    <w:rsid w:val="00F42558"/>
    <w:rsid w:val="00F473CB"/>
    <w:rsid w:val="00F50245"/>
    <w:rsid w:val="00F63DDA"/>
    <w:rsid w:val="00F67029"/>
    <w:rsid w:val="00F67113"/>
    <w:rsid w:val="00F70858"/>
    <w:rsid w:val="00F71BBC"/>
    <w:rsid w:val="00F7397F"/>
    <w:rsid w:val="00F75949"/>
    <w:rsid w:val="00F75CF4"/>
    <w:rsid w:val="00F829BD"/>
    <w:rsid w:val="00F866CD"/>
    <w:rsid w:val="00F941F0"/>
    <w:rsid w:val="00F97FF5"/>
    <w:rsid w:val="00FA7CE6"/>
    <w:rsid w:val="00FB1313"/>
    <w:rsid w:val="00FC2238"/>
    <w:rsid w:val="00FC2459"/>
    <w:rsid w:val="00FC268E"/>
    <w:rsid w:val="00FC2BFD"/>
    <w:rsid w:val="00FC309D"/>
    <w:rsid w:val="00FC47E0"/>
    <w:rsid w:val="00FD1C42"/>
    <w:rsid w:val="00FD1E96"/>
    <w:rsid w:val="00FD1FE7"/>
    <w:rsid w:val="00FD6442"/>
    <w:rsid w:val="00FE15F6"/>
    <w:rsid w:val="00FE1F8A"/>
    <w:rsid w:val="00FE7C7C"/>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2F44E1"/>
  <w15:docId w15:val="{283FB243-131E-4A02-A460-9015088E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464006">
      <w:bodyDiv w:val="1"/>
      <w:marLeft w:val="0"/>
      <w:marRight w:val="0"/>
      <w:marTop w:val="0"/>
      <w:marBottom w:val="0"/>
      <w:divBdr>
        <w:top w:val="none" w:sz="0" w:space="0" w:color="auto"/>
        <w:left w:val="none" w:sz="0" w:space="0" w:color="auto"/>
        <w:bottom w:val="none" w:sz="0" w:space="0" w:color="auto"/>
        <w:right w:val="none" w:sz="0" w:space="0" w:color="auto"/>
      </w:divBdr>
    </w:div>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86422-0E78-416F-86D4-3CB615F97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template_20190423.dotx</Template>
  <TotalTime>1</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Joseph, George</cp:lastModifiedBy>
  <cp:revision>2</cp:revision>
  <dcterms:created xsi:type="dcterms:W3CDTF">2022-04-06T09:54:00Z</dcterms:created>
  <dcterms:modified xsi:type="dcterms:W3CDTF">2022-04-06T09:54:00Z</dcterms:modified>
</cp:coreProperties>
</file>