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15ED9" w14:textId="77777777" w:rsidR="000A0709" w:rsidRPr="00F866CD" w:rsidRDefault="003B31BE" w:rsidP="00886B71">
      <w:pPr>
        <w:pageBreakBefore/>
        <w:jc w:val="center"/>
        <w:rPr>
          <w:rFonts w:ascii="Arial" w:hAnsi="Arial" w:cs="Arial"/>
          <w:b/>
          <w:bCs/>
          <w:sz w:val="24"/>
          <w:szCs w:val="28"/>
        </w:rPr>
      </w:pPr>
      <w:r>
        <w:rPr>
          <w:rFonts w:ascii="Arial" w:hAnsi="Arial" w:cs="Arial"/>
          <w:b/>
          <w:bCs/>
          <w:sz w:val="24"/>
          <w:szCs w:val="28"/>
          <w:lang w:val="es"/>
        </w:rPr>
        <w:t>Descripción general y justificación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6730"/>
        <w:gridCol w:w="1563"/>
      </w:tblGrid>
      <w:tr w:rsidR="005473CF" w:rsidRPr="001C7742" w14:paraId="74B556F2" w14:textId="77777777" w:rsidTr="00BE5B3F">
        <w:trPr>
          <w:cantSplit/>
        </w:trPr>
        <w:tc>
          <w:tcPr>
            <w:tcW w:w="786" w:type="pct"/>
            <w:shd w:val="clear" w:color="auto" w:fill="auto"/>
          </w:tcPr>
          <w:p w14:paraId="71B08DA9" w14:textId="77777777" w:rsidR="005473CF" w:rsidRPr="00F866CD" w:rsidRDefault="005B0FE5" w:rsidP="00DA2ECC">
            <w:pPr>
              <w:spacing w:before="120"/>
              <w:rPr>
                <w:rFonts w:ascii="Arial" w:hAnsi="Arial" w:cs="Arial"/>
                <w:b/>
                <w:szCs w:val="22"/>
              </w:rPr>
            </w:pPr>
            <w:r>
              <w:rPr>
                <w:rFonts w:ascii="Arial" w:hAnsi="Arial" w:cs="Arial"/>
                <w:b/>
                <w:bCs/>
                <w:szCs w:val="22"/>
                <w:lang w:val="es"/>
              </w:rPr>
              <w:t>Indicador</w:t>
            </w:r>
          </w:p>
        </w:tc>
        <w:tc>
          <w:tcPr>
            <w:tcW w:w="4214" w:type="pct"/>
            <w:gridSpan w:val="2"/>
            <w:shd w:val="clear" w:color="auto" w:fill="auto"/>
          </w:tcPr>
          <w:p w14:paraId="1D377CA4" w14:textId="77777777" w:rsidR="005473CF" w:rsidRPr="001C7742" w:rsidRDefault="00382757" w:rsidP="00B36DD6">
            <w:pPr>
              <w:keepLines/>
              <w:spacing w:before="120"/>
              <w:ind w:left="567" w:hanging="567"/>
              <w:rPr>
                <w:rFonts w:ascii="Arial" w:hAnsi="Arial" w:cs="Arial"/>
                <w:b/>
                <w:szCs w:val="22"/>
                <w:lang w:val="fr-FR"/>
              </w:rPr>
            </w:pPr>
            <w:r>
              <w:rPr>
                <w:rFonts w:ascii="Arial" w:hAnsi="Arial" w:cs="Arial"/>
                <w:b/>
                <w:bCs/>
                <w:szCs w:val="22"/>
                <w:lang w:val="es"/>
              </w:rPr>
              <w:t>18.</w:t>
            </w:r>
            <w:r>
              <w:rPr>
                <w:rFonts w:ascii="Arial" w:hAnsi="Arial" w:cs="Arial"/>
                <w:b/>
                <w:bCs/>
                <w:szCs w:val="22"/>
                <w:lang w:val="es"/>
              </w:rPr>
              <w:tab/>
              <w:t xml:space="preserve">Grado en el que se incluyen los medios de comunicación para sensibilizar acerca de la importancia del PCI y de su </w:t>
            </w:r>
            <w:proofErr w:type="gramStart"/>
            <w:r>
              <w:rPr>
                <w:rFonts w:ascii="Arial" w:hAnsi="Arial" w:cs="Arial"/>
                <w:b/>
                <w:bCs/>
                <w:szCs w:val="22"/>
                <w:lang w:val="es"/>
              </w:rPr>
              <w:t>salvaguardia</w:t>
            </w:r>
            <w:proofErr w:type="gramEnd"/>
            <w:r>
              <w:rPr>
                <w:rFonts w:ascii="Arial" w:hAnsi="Arial" w:cs="Arial"/>
                <w:b/>
                <w:bCs/>
                <w:szCs w:val="22"/>
                <w:lang w:val="es"/>
              </w:rPr>
              <w:t xml:space="preserve"> así como para promover la comprensión y el respeto mutuo</w:t>
            </w:r>
          </w:p>
        </w:tc>
      </w:tr>
      <w:tr w:rsidR="005B0FE5" w:rsidRPr="001C7742" w14:paraId="0EAAD53D" w14:textId="77777777" w:rsidTr="00BE5B3F">
        <w:trPr>
          <w:cantSplit/>
        </w:trPr>
        <w:tc>
          <w:tcPr>
            <w:tcW w:w="786" w:type="pct"/>
            <w:vMerge w:val="restart"/>
            <w:shd w:val="clear" w:color="auto" w:fill="auto"/>
          </w:tcPr>
          <w:p w14:paraId="6BD58B08" w14:textId="77777777" w:rsidR="005B0FE5" w:rsidRPr="00F866CD" w:rsidRDefault="005B0FE5" w:rsidP="00DA2ECC">
            <w:pPr>
              <w:spacing w:before="120"/>
              <w:rPr>
                <w:rFonts w:ascii="Arial" w:hAnsi="Arial" w:cs="Arial"/>
                <w:b/>
                <w:szCs w:val="22"/>
              </w:rPr>
            </w:pPr>
            <w:r>
              <w:rPr>
                <w:rFonts w:ascii="Arial" w:hAnsi="Arial" w:cs="Arial"/>
                <w:b/>
                <w:bCs/>
                <w:szCs w:val="22"/>
                <w:lang w:val="es"/>
              </w:rPr>
              <w:t>Factores de evaluación</w:t>
            </w:r>
          </w:p>
        </w:tc>
        <w:tc>
          <w:tcPr>
            <w:tcW w:w="4214" w:type="pct"/>
            <w:gridSpan w:val="2"/>
            <w:shd w:val="clear" w:color="auto" w:fill="auto"/>
          </w:tcPr>
          <w:p w14:paraId="7A439B54" w14:textId="77777777" w:rsidR="005B0FE5" w:rsidRPr="001C7742" w:rsidRDefault="005B0FE5" w:rsidP="00946D71">
            <w:pPr>
              <w:keepLines/>
              <w:spacing w:before="120"/>
              <w:jc w:val="both"/>
              <w:rPr>
                <w:rFonts w:ascii="Arial" w:hAnsi="Arial" w:cs="Arial"/>
                <w:b/>
                <w:szCs w:val="22"/>
                <w:lang w:val="fr-FR"/>
              </w:rPr>
            </w:pPr>
            <w:r>
              <w:rPr>
                <w:rFonts w:ascii="Arial" w:hAnsi="Arial" w:cs="Arial"/>
                <w:szCs w:val="22"/>
                <w:lang w:val="es"/>
              </w:rPr>
              <w:t>Este indicador se evalúa sobre la base de cuatro factores de ámbito nacional que cada Estado Parte supervisa y notifica:</w:t>
            </w:r>
          </w:p>
        </w:tc>
      </w:tr>
      <w:tr w:rsidR="00382757" w:rsidRPr="00F866CD" w14:paraId="7467CC76" w14:textId="77777777" w:rsidTr="00BE5B3F">
        <w:trPr>
          <w:cantSplit/>
        </w:trPr>
        <w:tc>
          <w:tcPr>
            <w:tcW w:w="786" w:type="pct"/>
            <w:vMerge/>
            <w:shd w:val="clear" w:color="auto" w:fill="auto"/>
          </w:tcPr>
          <w:p w14:paraId="4AC3320B" w14:textId="77777777" w:rsidR="00382757" w:rsidRPr="001C7742" w:rsidRDefault="00382757" w:rsidP="00382757">
            <w:pPr>
              <w:spacing w:before="120"/>
              <w:rPr>
                <w:rFonts w:ascii="Arial" w:hAnsi="Arial" w:cs="Arial"/>
                <w:b/>
                <w:szCs w:val="22"/>
                <w:lang w:val="fr-FR"/>
              </w:rPr>
            </w:pPr>
          </w:p>
        </w:tc>
        <w:tc>
          <w:tcPr>
            <w:tcW w:w="3418" w:type="pct"/>
            <w:shd w:val="clear" w:color="auto" w:fill="auto"/>
            <w:vAlign w:val="center"/>
          </w:tcPr>
          <w:p w14:paraId="2246A56D" w14:textId="0EC99E3A" w:rsidR="00382757" w:rsidRPr="001C7742" w:rsidRDefault="00382757" w:rsidP="00AA67E6">
            <w:pPr>
              <w:pStyle w:val="ListParagraph"/>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es"/>
              </w:rPr>
              <w:t>La cobertura mediática sensibiliza acerca de la importancia del PCI y de su salvaguardia, y promueve la comprensión y el respeto mutuo entre las comunidades, los grupos y los individuos.</w:t>
            </w:r>
          </w:p>
        </w:tc>
        <w:tc>
          <w:tcPr>
            <w:tcW w:w="796" w:type="pct"/>
            <w:shd w:val="clear" w:color="auto" w:fill="auto"/>
            <w:vAlign w:val="center"/>
          </w:tcPr>
          <w:p w14:paraId="0B4515F3" w14:textId="77777777" w:rsidR="00382757" w:rsidRPr="0074360F" w:rsidRDefault="00382757" w:rsidP="00382757">
            <w:pPr>
              <w:keepLines/>
              <w:spacing w:before="120"/>
              <w:rPr>
                <w:rFonts w:ascii="Arial" w:hAnsi="Arial" w:cs="Arial"/>
                <w:sz w:val="20"/>
                <w:szCs w:val="20"/>
              </w:rPr>
            </w:pPr>
            <w:r>
              <w:rPr>
                <w:rFonts w:ascii="Arial" w:hAnsi="Arial" w:cs="Arial"/>
                <w:sz w:val="20"/>
                <w:szCs w:val="20"/>
                <w:lang w:val="es"/>
              </w:rPr>
              <w:t xml:space="preserve">DO 111, </w:t>
            </w:r>
            <w:r>
              <w:rPr>
                <w:rFonts w:ascii="Arial" w:hAnsi="Arial" w:cs="Arial"/>
                <w:sz w:val="20"/>
                <w:szCs w:val="20"/>
                <w:lang w:val="es"/>
              </w:rPr>
              <w:br/>
              <w:t xml:space="preserve">DO 112, </w:t>
            </w:r>
            <w:r>
              <w:rPr>
                <w:rFonts w:ascii="Arial" w:hAnsi="Arial" w:cs="Arial"/>
                <w:sz w:val="20"/>
                <w:szCs w:val="20"/>
                <w:lang w:val="es"/>
              </w:rPr>
              <w:br/>
              <w:t>DO 113</w:t>
            </w:r>
          </w:p>
        </w:tc>
      </w:tr>
      <w:tr w:rsidR="00382757" w:rsidRPr="001C7742" w14:paraId="62A70FAE" w14:textId="77777777" w:rsidTr="00BE5B3F">
        <w:trPr>
          <w:cantSplit/>
        </w:trPr>
        <w:tc>
          <w:tcPr>
            <w:tcW w:w="786" w:type="pct"/>
            <w:vMerge/>
            <w:shd w:val="clear" w:color="auto" w:fill="auto"/>
          </w:tcPr>
          <w:p w14:paraId="4D1BCC1E" w14:textId="77777777" w:rsidR="00382757" w:rsidRPr="00F866CD" w:rsidRDefault="00382757" w:rsidP="00382757">
            <w:pPr>
              <w:spacing w:before="120"/>
              <w:rPr>
                <w:rFonts w:ascii="Arial" w:hAnsi="Arial" w:cs="Arial"/>
                <w:b/>
                <w:szCs w:val="22"/>
              </w:rPr>
            </w:pPr>
          </w:p>
        </w:tc>
        <w:tc>
          <w:tcPr>
            <w:tcW w:w="3418" w:type="pct"/>
            <w:shd w:val="clear" w:color="auto" w:fill="auto"/>
            <w:vAlign w:val="center"/>
          </w:tcPr>
          <w:p w14:paraId="3E72817A" w14:textId="77777777" w:rsidR="00382757" w:rsidRPr="001C7742" w:rsidRDefault="00382757" w:rsidP="00AA67E6">
            <w:pPr>
              <w:pStyle w:val="ListParagraph"/>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es"/>
              </w:rPr>
              <w:t>Actividades o programas de cooperación sobre el PCI entre varios actores del PCI y los medios de comunicación que se lleven a cabo, incluyendo actividades de fortalecimiento de capacidades.</w:t>
            </w:r>
          </w:p>
        </w:tc>
        <w:tc>
          <w:tcPr>
            <w:tcW w:w="796" w:type="pct"/>
            <w:shd w:val="clear" w:color="auto" w:fill="auto"/>
            <w:vAlign w:val="center"/>
          </w:tcPr>
          <w:p w14:paraId="49DDF259" w14:textId="77777777" w:rsidR="00382757" w:rsidRPr="001C7742" w:rsidRDefault="00382757" w:rsidP="00382757">
            <w:pPr>
              <w:spacing w:before="60" w:after="60"/>
              <w:rPr>
                <w:rFonts w:ascii="Arial" w:hAnsi="Arial" w:cs="Arial"/>
                <w:sz w:val="20"/>
                <w:szCs w:val="20"/>
                <w:lang w:val="fr-FR"/>
              </w:rPr>
            </w:pPr>
          </w:p>
        </w:tc>
      </w:tr>
      <w:tr w:rsidR="00382757" w:rsidRPr="00F866CD" w14:paraId="41D298F6" w14:textId="77777777" w:rsidTr="00BE5B3F">
        <w:trPr>
          <w:cantSplit/>
        </w:trPr>
        <w:tc>
          <w:tcPr>
            <w:tcW w:w="786" w:type="pct"/>
            <w:vMerge/>
            <w:shd w:val="clear" w:color="auto" w:fill="auto"/>
          </w:tcPr>
          <w:p w14:paraId="3E116DC3" w14:textId="77777777" w:rsidR="00382757" w:rsidRPr="001C7742" w:rsidRDefault="00382757" w:rsidP="00382757">
            <w:pPr>
              <w:spacing w:before="120"/>
              <w:rPr>
                <w:rFonts w:ascii="Arial" w:hAnsi="Arial" w:cs="Arial"/>
                <w:b/>
                <w:szCs w:val="22"/>
                <w:lang w:val="fr-FR"/>
              </w:rPr>
            </w:pPr>
          </w:p>
        </w:tc>
        <w:tc>
          <w:tcPr>
            <w:tcW w:w="3418" w:type="pct"/>
            <w:shd w:val="clear" w:color="auto" w:fill="auto"/>
            <w:vAlign w:val="center"/>
          </w:tcPr>
          <w:p w14:paraId="3DACACBA" w14:textId="77777777" w:rsidR="00382757" w:rsidRPr="001C7742" w:rsidRDefault="00382757" w:rsidP="00AA67E6">
            <w:pPr>
              <w:pStyle w:val="ListParagraph"/>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sz w:val="20"/>
                <w:lang w:val="es"/>
              </w:rPr>
              <w:t xml:space="preserve">La programación de los medios de comunicación sobre el PCI es inclusiva y utiliza la lengua de las comunidades y los grupos interesados </w:t>
            </w:r>
            <w:r>
              <w:rPr>
                <w:rFonts w:ascii="Arial" w:hAnsi="Arial"/>
                <w:sz w:val="20"/>
                <w:szCs w:val="20"/>
                <w:lang w:val="es"/>
              </w:rPr>
              <w:t>y/o se dirige</w:t>
            </w:r>
            <w:r>
              <w:rPr>
                <w:rFonts w:ascii="Arial" w:hAnsi="Arial"/>
                <w:sz w:val="20"/>
                <w:lang w:val="es"/>
              </w:rPr>
              <w:t xml:space="preserve"> a distintos </w:t>
            </w:r>
            <w:r>
              <w:rPr>
                <w:rFonts w:ascii="Arial" w:hAnsi="Arial"/>
                <w:sz w:val="20"/>
                <w:szCs w:val="20"/>
                <w:lang w:val="es"/>
              </w:rPr>
              <w:t>públicos</w:t>
            </w:r>
            <w:r>
              <w:rPr>
                <w:rFonts w:ascii="Arial" w:hAnsi="Arial"/>
                <w:sz w:val="20"/>
                <w:lang w:val="es"/>
              </w:rPr>
              <w:t xml:space="preserve"> objetivos.</w:t>
            </w:r>
          </w:p>
        </w:tc>
        <w:tc>
          <w:tcPr>
            <w:tcW w:w="796" w:type="pct"/>
            <w:shd w:val="clear" w:color="auto" w:fill="auto"/>
            <w:vAlign w:val="center"/>
          </w:tcPr>
          <w:p w14:paraId="246B4213" w14:textId="3C18B93F" w:rsidR="00382757" w:rsidRPr="0074360F" w:rsidRDefault="00382757" w:rsidP="00382757">
            <w:pPr>
              <w:keepLines/>
              <w:spacing w:before="120"/>
              <w:rPr>
                <w:rFonts w:ascii="Arial" w:hAnsi="Arial" w:cs="Arial"/>
                <w:sz w:val="20"/>
                <w:szCs w:val="20"/>
              </w:rPr>
            </w:pPr>
            <w:r>
              <w:rPr>
                <w:rFonts w:ascii="Arial" w:hAnsi="Arial" w:cs="Arial"/>
                <w:sz w:val="20"/>
                <w:szCs w:val="20"/>
                <w:lang w:val="es"/>
              </w:rPr>
              <w:t xml:space="preserve">DO 112, </w:t>
            </w:r>
            <w:r>
              <w:rPr>
                <w:rFonts w:ascii="Arial" w:hAnsi="Arial" w:cs="Arial"/>
                <w:sz w:val="20"/>
                <w:szCs w:val="20"/>
                <w:lang w:val="es"/>
              </w:rPr>
              <w:br/>
              <w:t>DO 113</w:t>
            </w:r>
          </w:p>
        </w:tc>
      </w:tr>
      <w:tr w:rsidR="00382757" w:rsidRPr="001C7742" w14:paraId="11B5AE67" w14:textId="77777777" w:rsidTr="00BE5B3F">
        <w:trPr>
          <w:cantSplit/>
        </w:trPr>
        <w:tc>
          <w:tcPr>
            <w:tcW w:w="786" w:type="pct"/>
            <w:vMerge/>
            <w:shd w:val="clear" w:color="auto" w:fill="auto"/>
          </w:tcPr>
          <w:p w14:paraId="4742E8D6" w14:textId="77777777" w:rsidR="00382757" w:rsidRPr="00F866CD" w:rsidRDefault="00382757" w:rsidP="00382757">
            <w:pPr>
              <w:spacing w:before="120"/>
              <w:rPr>
                <w:rFonts w:ascii="Arial" w:hAnsi="Arial" w:cs="Arial"/>
                <w:b/>
                <w:szCs w:val="22"/>
              </w:rPr>
            </w:pPr>
          </w:p>
        </w:tc>
        <w:tc>
          <w:tcPr>
            <w:tcW w:w="3418" w:type="pct"/>
            <w:shd w:val="clear" w:color="auto" w:fill="auto"/>
            <w:vAlign w:val="center"/>
          </w:tcPr>
          <w:p w14:paraId="6CEB40EB" w14:textId="77777777" w:rsidR="00382757" w:rsidRPr="001C7742" w:rsidRDefault="00382757" w:rsidP="00AA67E6">
            <w:pPr>
              <w:pStyle w:val="ListParagraph"/>
              <w:keepLines/>
              <w:numPr>
                <w:ilvl w:val="1"/>
                <w:numId w:val="75"/>
              </w:numPr>
              <w:spacing w:before="120" w:after="120" w:line="240" w:lineRule="auto"/>
              <w:ind w:left="583" w:hanging="583"/>
              <w:contextualSpacing w:val="0"/>
              <w:rPr>
                <w:rFonts w:ascii="Arial" w:hAnsi="Arial" w:cs="Arial"/>
                <w:sz w:val="20"/>
                <w:szCs w:val="20"/>
                <w:lang w:val="fr-FR"/>
              </w:rPr>
            </w:pPr>
            <w:r>
              <w:rPr>
                <w:rFonts w:ascii="Arial" w:hAnsi="Arial" w:cs="Arial"/>
                <w:sz w:val="20"/>
                <w:szCs w:val="20"/>
                <w:lang w:val="es"/>
              </w:rPr>
              <w:t xml:space="preserve">La cobertura mediática del patrimonio cultural inmaterial y de su salvaguardia está en conformidad con los conceptos y la terminología de la Convención. </w:t>
            </w:r>
          </w:p>
        </w:tc>
        <w:tc>
          <w:tcPr>
            <w:tcW w:w="796" w:type="pct"/>
            <w:shd w:val="clear" w:color="auto" w:fill="auto"/>
            <w:vAlign w:val="center"/>
          </w:tcPr>
          <w:p w14:paraId="182655C9" w14:textId="77777777" w:rsidR="00382757" w:rsidRPr="001C7742" w:rsidRDefault="00382757" w:rsidP="00382757">
            <w:pPr>
              <w:keepLines/>
              <w:spacing w:before="120"/>
              <w:rPr>
                <w:rFonts w:ascii="Arial" w:hAnsi="Arial" w:cs="Arial"/>
                <w:sz w:val="20"/>
                <w:szCs w:val="20"/>
                <w:lang w:val="fr-FR"/>
              </w:rPr>
            </w:pPr>
          </w:p>
        </w:tc>
      </w:tr>
      <w:tr w:rsidR="005473CF" w:rsidRPr="001C7742" w14:paraId="058AD45F" w14:textId="77777777" w:rsidTr="00BE5B3F">
        <w:trPr>
          <w:cantSplit/>
        </w:trPr>
        <w:tc>
          <w:tcPr>
            <w:tcW w:w="786" w:type="pct"/>
            <w:shd w:val="clear" w:color="auto" w:fill="auto"/>
          </w:tcPr>
          <w:p w14:paraId="01F0699B" w14:textId="77777777" w:rsidR="005473CF" w:rsidRPr="001C7742" w:rsidRDefault="005473CF" w:rsidP="005473CF">
            <w:pPr>
              <w:spacing w:before="120"/>
              <w:rPr>
                <w:rFonts w:ascii="Arial" w:hAnsi="Arial" w:cs="Arial"/>
                <w:b/>
                <w:szCs w:val="22"/>
                <w:lang w:val="fr-FR"/>
              </w:rPr>
            </w:pPr>
            <w:r>
              <w:rPr>
                <w:rFonts w:ascii="Arial" w:hAnsi="Arial" w:cs="Arial"/>
                <w:b/>
                <w:bCs/>
                <w:szCs w:val="22"/>
                <w:lang w:val="es"/>
              </w:rPr>
              <w:t>Relación con los ODS y otros indicadores</w:t>
            </w:r>
          </w:p>
        </w:tc>
        <w:tc>
          <w:tcPr>
            <w:tcW w:w="4214" w:type="pct"/>
            <w:gridSpan w:val="2"/>
            <w:shd w:val="clear" w:color="auto" w:fill="auto"/>
          </w:tcPr>
          <w:p w14:paraId="7F101E05" w14:textId="77777777" w:rsidR="005473CF" w:rsidRPr="001C7742" w:rsidRDefault="005473CF" w:rsidP="005473CF">
            <w:pPr>
              <w:keepLines/>
              <w:spacing w:before="120"/>
              <w:jc w:val="both"/>
              <w:rPr>
                <w:rFonts w:ascii="Arial" w:hAnsi="Arial" w:cs="Arial"/>
                <w:bCs/>
                <w:szCs w:val="22"/>
                <w:lang w:val="fr-FR"/>
              </w:rPr>
            </w:pPr>
            <w:r>
              <w:rPr>
                <w:rFonts w:ascii="Arial" w:hAnsi="Arial" w:cs="Arial"/>
                <w:b/>
                <w:bCs/>
                <w:szCs w:val="22"/>
                <w:lang w:val="es"/>
              </w:rPr>
              <w:t xml:space="preserve">Objetivos de Desarrollo Sostenible: </w:t>
            </w:r>
            <w:r>
              <w:rPr>
                <w:rFonts w:ascii="Arial" w:hAnsi="Arial" w:cs="Arial"/>
                <w:szCs w:val="22"/>
                <w:lang w:val="es"/>
              </w:rPr>
              <w:t>Además de a la meta 11.4 de los ODS, que se centra en proteger y salvaguardar el patrimonio cultural y natural del mundo, el presente indicador responde a la meta 17.17 de los ODS, que tiene por objeto «fomentar y promover la constitución de alianzas eficaces en las esferas pública, público-privada y de la sociedad civil».</w:t>
            </w:r>
          </w:p>
          <w:p w14:paraId="285CA74C" w14:textId="693842EB" w:rsidR="005473CF" w:rsidRPr="001C7742" w:rsidRDefault="005473CF" w:rsidP="00DA7BB1">
            <w:pPr>
              <w:keepLines/>
              <w:spacing w:before="120"/>
              <w:jc w:val="both"/>
              <w:rPr>
                <w:rFonts w:ascii="Arial" w:hAnsi="Arial" w:cs="Arial"/>
                <w:bCs/>
                <w:szCs w:val="22"/>
                <w:lang w:val="fr-FR"/>
              </w:rPr>
            </w:pPr>
            <w:r>
              <w:rPr>
                <w:rFonts w:ascii="Arial" w:hAnsi="Arial" w:cs="Arial"/>
                <w:b/>
                <w:bCs/>
                <w:szCs w:val="22"/>
                <w:lang w:val="es"/>
              </w:rPr>
              <w:t>Relación con otros indicadores:</w:t>
            </w:r>
            <w:r>
              <w:rPr>
                <w:rFonts w:ascii="Arial" w:hAnsi="Arial" w:cs="Arial"/>
                <w:szCs w:val="22"/>
                <w:lang w:val="es"/>
              </w:rPr>
              <w:t xml:space="preserve"> Mientras que el indicador 17 se refiere a las comunidades, los grupos y los individuos y su papel en la sensibilización en materia del PCI, el presente indicador se centra en el papel de los medios de comunicación, que son el sector que más participa en dicha sensibilización. El indicador 19, a su vez, examina el contenido y los objetivos de las medidas de sensibilización, mientras que el indicador 20 se refiere a la forma en que se llevan a cabo esas medidas. El fortalecimiento de las capacidades de los medios de comunicación (factor de evaluación 18.2) es complementario a las demás actividades de formación y fortalecimiento de capacidades que se tratan en los indicadores 2, 3 y 4. En el indicador 21 se aborda la cooperación para la salvaguardia entre varios actores.</w:t>
            </w:r>
          </w:p>
        </w:tc>
      </w:tr>
      <w:tr w:rsidR="00896177" w:rsidRPr="001C7742" w14:paraId="7E62A780" w14:textId="77777777" w:rsidTr="00BE5B3F">
        <w:trPr>
          <w:cantSplit/>
        </w:trPr>
        <w:tc>
          <w:tcPr>
            <w:tcW w:w="786" w:type="pct"/>
            <w:shd w:val="clear" w:color="auto" w:fill="auto"/>
          </w:tcPr>
          <w:p w14:paraId="3A01F81C" w14:textId="77777777" w:rsidR="00896177" w:rsidRPr="00F866CD" w:rsidRDefault="002C28BA" w:rsidP="00A7283F">
            <w:pPr>
              <w:spacing w:before="120"/>
              <w:rPr>
                <w:rFonts w:ascii="Arial" w:hAnsi="Arial" w:cs="Arial"/>
                <w:b/>
                <w:szCs w:val="22"/>
              </w:rPr>
            </w:pPr>
            <w:r>
              <w:rPr>
                <w:rFonts w:ascii="Arial" w:hAnsi="Arial" w:cs="Arial"/>
                <w:b/>
                <w:bCs/>
                <w:szCs w:val="22"/>
                <w:lang w:val="es"/>
              </w:rPr>
              <w:lastRenderedPageBreak/>
              <w:t>Justificación de las medidas</w:t>
            </w:r>
          </w:p>
        </w:tc>
        <w:tc>
          <w:tcPr>
            <w:tcW w:w="4214" w:type="pct"/>
            <w:gridSpan w:val="2"/>
            <w:shd w:val="clear" w:color="auto" w:fill="auto"/>
          </w:tcPr>
          <w:p w14:paraId="78981B77" w14:textId="1358D909" w:rsidR="00704766" w:rsidRPr="001C7742" w:rsidRDefault="006E031D" w:rsidP="00BD7B46">
            <w:pPr>
              <w:keepLines/>
              <w:spacing w:before="120"/>
              <w:jc w:val="both"/>
              <w:rPr>
                <w:rFonts w:asciiTheme="minorBidi" w:hAnsiTheme="minorBidi" w:cstheme="minorBidi"/>
                <w:szCs w:val="22"/>
                <w:lang w:val="fr-FR"/>
              </w:rPr>
            </w:pPr>
            <w:r>
              <w:rPr>
                <w:rFonts w:asciiTheme="minorBidi" w:hAnsiTheme="minorBidi" w:cstheme="minorBidi"/>
                <w:szCs w:val="22"/>
                <w:lang w:val="es"/>
              </w:rPr>
              <w:t xml:space="preserve">Como se señaló con respecto al indicador 17, </w:t>
            </w:r>
            <w:bookmarkStart w:id="0" w:name="OLE_LINK2"/>
            <w:bookmarkStart w:id="1" w:name="OLE_LINK1"/>
            <w:r>
              <w:rPr>
                <w:rFonts w:asciiTheme="minorBidi" w:hAnsiTheme="minorBidi" w:cstheme="minorBidi"/>
                <w:szCs w:val="22"/>
                <w:lang w:val="es"/>
              </w:rPr>
              <w:t>uno de los cuatro objetivos de la Convención es «la sensibilización en el plano local, nacional e internacional a la importancia del patrimonio cultural inmaterial y de su reconocimiento recíproco» (Artículo 1 c)).</w:t>
            </w:r>
            <w:bookmarkEnd w:id="0"/>
            <w:bookmarkEnd w:id="1"/>
            <w:r>
              <w:rPr>
                <w:rFonts w:asciiTheme="minorBidi" w:hAnsiTheme="minorBidi" w:cstheme="minorBidi"/>
                <w:szCs w:val="22"/>
                <w:lang w:val="es"/>
              </w:rPr>
              <w:t xml:space="preserve"> Los medios de comunicación de masas son socios importantes en este esfuerzo, ya sean entidades privadas o que operen bajo los auspicios del gobierno. La cooperación o asociación entre los actores del PCI y los medios de comunicación permite a los primeros beneficiarse del alcance y las capacidades técnicas de los segundos. A su vez, los actores permiten a los medios de comunicación beneficiarse de sus conocimientos y experiencia. A fin de transmitir información sobre el PCI y la importancia de salvaguardarlo de la manera más amplia y precisa posible, los medios de comunicación deberían ser inclusivos y tratar de dirigirse a los distintos públicos en sus propios idiomas. Asimismo, es importante fortalecer la capacidad de los medios de comunicación para que comprendan adecuadamente la Convención, sus conceptos y su terminología, y puedan contribuir eficazmente a salvaguardar y promover el respeto mutuo.</w:t>
            </w:r>
          </w:p>
        </w:tc>
      </w:tr>
      <w:tr w:rsidR="00704766" w:rsidRPr="00F866CD" w14:paraId="225E641A" w14:textId="77777777" w:rsidTr="00BE5B3F">
        <w:trPr>
          <w:cantSplit/>
        </w:trPr>
        <w:tc>
          <w:tcPr>
            <w:tcW w:w="786" w:type="pct"/>
            <w:shd w:val="clear" w:color="auto" w:fill="auto"/>
          </w:tcPr>
          <w:p w14:paraId="2A6E1E57" w14:textId="77777777" w:rsidR="00704766" w:rsidRPr="00F866CD" w:rsidRDefault="00704766" w:rsidP="00BE5B3F">
            <w:pPr>
              <w:spacing w:before="120" w:after="60"/>
              <w:jc w:val="both"/>
              <w:rPr>
                <w:rFonts w:asciiTheme="minorBidi" w:hAnsiTheme="minorBidi" w:cstheme="minorBidi"/>
                <w:b/>
                <w:szCs w:val="22"/>
              </w:rPr>
            </w:pPr>
            <w:r>
              <w:rPr>
                <w:rFonts w:asciiTheme="minorBidi" w:hAnsiTheme="minorBidi" w:cstheme="minorBidi"/>
                <w:b/>
                <w:bCs/>
                <w:szCs w:val="22"/>
                <w:lang w:val="es"/>
              </w:rPr>
              <w:t>Términos clave</w:t>
            </w:r>
          </w:p>
        </w:tc>
        <w:tc>
          <w:tcPr>
            <w:tcW w:w="4214" w:type="pct"/>
            <w:gridSpan w:val="2"/>
            <w:shd w:val="clear" w:color="auto" w:fill="auto"/>
          </w:tcPr>
          <w:p w14:paraId="5D8EBB22" w14:textId="77777777" w:rsidR="00704766" w:rsidRPr="001C7742" w:rsidRDefault="00382757" w:rsidP="00704766">
            <w:pPr>
              <w:pStyle w:val="ListParagraph"/>
              <w:numPr>
                <w:ilvl w:val="0"/>
                <w:numId w:val="71"/>
              </w:numPr>
              <w:spacing w:before="120" w:after="120"/>
              <w:ind w:left="714" w:hanging="357"/>
              <w:jc w:val="both"/>
              <w:rPr>
                <w:rFonts w:asciiTheme="minorBidi" w:hAnsiTheme="minorBidi" w:cstheme="minorBidi"/>
                <w:lang w:val="fr-FR"/>
              </w:rPr>
            </w:pPr>
            <w:r>
              <w:rPr>
                <w:rFonts w:asciiTheme="minorBidi" w:hAnsiTheme="minorBidi" w:cstheme="minorBidi"/>
                <w:lang w:val="es"/>
              </w:rPr>
              <w:t>Comunidades, grupos o, en algunos casos, individuos</w:t>
            </w:r>
          </w:p>
          <w:p w14:paraId="47ADE4C9" w14:textId="77777777" w:rsidR="00382757" w:rsidRDefault="00382757"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Actores interesados</w:t>
            </w:r>
          </w:p>
          <w:p w14:paraId="752EE043" w14:textId="77777777" w:rsidR="00382757" w:rsidRPr="00F866CD" w:rsidRDefault="00382757" w:rsidP="00704766">
            <w:pPr>
              <w:pStyle w:val="ListParagraph"/>
              <w:numPr>
                <w:ilvl w:val="0"/>
                <w:numId w:val="71"/>
              </w:numPr>
              <w:spacing w:before="120" w:after="120"/>
              <w:ind w:left="714" w:hanging="357"/>
              <w:jc w:val="both"/>
              <w:rPr>
                <w:rFonts w:asciiTheme="minorBidi" w:hAnsiTheme="minorBidi" w:cstheme="minorBidi"/>
              </w:rPr>
            </w:pPr>
            <w:r>
              <w:rPr>
                <w:rFonts w:asciiTheme="minorBidi" w:hAnsiTheme="minorBidi" w:cstheme="minorBidi"/>
                <w:lang w:val="es"/>
              </w:rPr>
              <w:t>Inclusivo/de manera inclusiva</w:t>
            </w:r>
          </w:p>
        </w:tc>
      </w:tr>
    </w:tbl>
    <w:p w14:paraId="1A32F35E"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2FAF2049" w14:textId="77777777" w:rsidR="0054175C" w:rsidRPr="001C7742" w:rsidRDefault="0054175C" w:rsidP="00704766">
      <w:pPr>
        <w:jc w:val="center"/>
        <w:rPr>
          <w:rFonts w:ascii="Arial" w:hAnsi="Arial" w:cs="Arial"/>
          <w:b/>
          <w:sz w:val="24"/>
          <w:lang w:val="fr-FR"/>
        </w:rPr>
      </w:pPr>
      <w:r>
        <w:rPr>
          <w:rFonts w:ascii="Arial" w:hAnsi="Arial" w:cs="Arial"/>
          <w:b/>
          <w:bCs/>
          <w:sz w:val="24"/>
          <w:lang w:val="es"/>
        </w:rPr>
        <w:t>Orientación específica sobre el seguimiento y la presentación de informes periódicos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8342"/>
      </w:tblGrid>
      <w:tr w:rsidR="009C0510" w:rsidRPr="001C7742" w14:paraId="6EC30940" w14:textId="77777777" w:rsidTr="001C7742">
        <w:tc>
          <w:tcPr>
            <w:tcW w:w="767" w:type="pct"/>
            <w:shd w:val="clear" w:color="auto" w:fill="auto"/>
          </w:tcPr>
          <w:p w14:paraId="6C7660C4" w14:textId="77777777" w:rsidR="002C28BA" w:rsidRPr="00F866CD" w:rsidRDefault="002C28BA" w:rsidP="006B0DB6">
            <w:pPr>
              <w:spacing w:before="120"/>
              <w:rPr>
                <w:rFonts w:ascii="Arial" w:hAnsi="Arial" w:cs="Arial"/>
                <w:b/>
                <w:szCs w:val="22"/>
              </w:rPr>
            </w:pPr>
            <w:r>
              <w:rPr>
                <w:rFonts w:ascii="Arial" w:hAnsi="Arial" w:cs="Arial"/>
                <w:b/>
                <w:bCs/>
                <w:szCs w:val="22"/>
                <w:lang w:val="es"/>
              </w:rPr>
              <w:t>Ventajas del seguimiento</w:t>
            </w:r>
          </w:p>
        </w:tc>
        <w:tc>
          <w:tcPr>
            <w:tcW w:w="4233" w:type="pct"/>
            <w:shd w:val="clear" w:color="auto" w:fill="auto"/>
          </w:tcPr>
          <w:p w14:paraId="146B2DA7" w14:textId="5E94CF6B" w:rsidR="002C28BA" w:rsidRPr="001C7742" w:rsidRDefault="00BD7B46" w:rsidP="001F33AE">
            <w:pPr>
              <w:keepLines/>
              <w:spacing w:before="120"/>
              <w:jc w:val="both"/>
              <w:rPr>
                <w:rFonts w:ascii="Arial" w:hAnsi="Arial" w:cs="Arial"/>
                <w:bCs/>
                <w:szCs w:val="22"/>
                <w:lang w:val="es"/>
              </w:rPr>
            </w:pPr>
            <w:r>
              <w:rPr>
                <w:rFonts w:ascii="Arial" w:hAnsi="Arial" w:cs="Arial"/>
                <w:szCs w:val="22"/>
                <w:lang w:val="es"/>
              </w:rPr>
              <w:t>El seguimiento de este indicador ayudaría a los Estados a evaluar la amplia repercusión que pueden tener los medios de comunicación de masas y su potencial para promover la Convención y sus valores de manera eficaz o, a menudo involuntariamente, para transmitir mensajes contradictorios o incluso contrarios a la Convención. Por lo tanto, el Estado podrá buscar oportunidades para reforzar la contribución de los medios de comunicación para la aplicación de la Convención y fortalecer sus capacidades. El seguimiento a nivel mundial puede ayudar a identificar buenas prácticas y modelos de cooperación que podrían inspirar el desarrollo de esfuerzos similares en otros lugares.</w:t>
            </w:r>
          </w:p>
        </w:tc>
      </w:tr>
      <w:tr w:rsidR="0054175C" w:rsidRPr="001C7742" w14:paraId="3242B70E" w14:textId="77777777" w:rsidTr="001C7742">
        <w:tc>
          <w:tcPr>
            <w:tcW w:w="767" w:type="pct"/>
            <w:shd w:val="clear" w:color="auto" w:fill="auto"/>
          </w:tcPr>
          <w:p w14:paraId="4B46D52F" w14:textId="77777777" w:rsidR="0054175C" w:rsidRPr="001C7742" w:rsidRDefault="0054175C" w:rsidP="0054175C">
            <w:pPr>
              <w:spacing w:before="120"/>
              <w:rPr>
                <w:rFonts w:ascii="Arial" w:hAnsi="Arial" w:cs="Arial"/>
                <w:b/>
                <w:szCs w:val="22"/>
                <w:lang w:val="fr-FR"/>
              </w:rPr>
            </w:pPr>
            <w:r>
              <w:rPr>
                <w:rFonts w:ascii="Arial" w:hAnsi="Arial" w:cs="Arial"/>
                <w:b/>
                <w:bCs/>
                <w:szCs w:val="22"/>
                <w:lang w:val="es"/>
              </w:rPr>
              <w:t>Fuentes y recopilación de información</w:t>
            </w:r>
          </w:p>
        </w:tc>
        <w:tc>
          <w:tcPr>
            <w:tcW w:w="4233" w:type="pct"/>
            <w:shd w:val="clear" w:color="auto" w:fill="auto"/>
          </w:tcPr>
          <w:p w14:paraId="776D4C81" w14:textId="0E28228A" w:rsidR="0054175C" w:rsidRPr="001C7742" w:rsidRDefault="00AA0DBC" w:rsidP="00DA7BB1">
            <w:pPr>
              <w:spacing w:before="120"/>
              <w:jc w:val="both"/>
              <w:rPr>
                <w:rFonts w:ascii="Arial" w:hAnsi="Arial" w:cs="Arial"/>
                <w:szCs w:val="22"/>
                <w:lang w:val="fr-FR"/>
              </w:rPr>
            </w:pPr>
            <w:r>
              <w:rPr>
                <w:rFonts w:ascii="Arial" w:hAnsi="Arial" w:cs="Arial"/>
                <w:szCs w:val="22"/>
                <w:lang w:val="es"/>
              </w:rPr>
              <w:t>Por su propia naturaleza, los medios de comunicación de masas tratan de llegar a la población en general, por lo que los responsables del seguimiento y la presentación de informes se encuentran entre su público objetivo, y una cantidad razonable de información debe estar disponible al público y ser visible con facilidad. Si el Estado Parte tiene un órgano consultivo o un mecanismo de cooperación en el que están representados los medios de comunicación, es probable que sea una fuente de información sobre casos concretos de cooperación.</w:t>
            </w:r>
          </w:p>
          <w:p w14:paraId="371CE84D" w14:textId="77777777" w:rsidR="0054175C" w:rsidRPr="00F866CD" w:rsidRDefault="00BE5B3F" w:rsidP="00704766">
            <w:pPr>
              <w:keepNext/>
              <w:spacing w:before="120" w:after="60"/>
              <w:jc w:val="both"/>
              <w:rPr>
                <w:rFonts w:ascii="Arial" w:hAnsi="Arial" w:cs="Arial"/>
                <w:b/>
                <w:szCs w:val="22"/>
              </w:rPr>
            </w:pPr>
            <w:r>
              <w:rPr>
                <w:rFonts w:ascii="Arial" w:hAnsi="Arial" w:cs="Arial"/>
                <w:b/>
                <w:bCs/>
                <w:szCs w:val="22"/>
                <w:lang w:val="es"/>
              </w:rPr>
              <w:t>Posibles fuentes de información</w:t>
            </w:r>
          </w:p>
          <w:p w14:paraId="6B089A20" w14:textId="77777777" w:rsidR="0054175C" w:rsidRPr="001C7742" w:rsidRDefault="00AA0DBC" w:rsidP="00BE5B3F">
            <w:pPr>
              <w:pStyle w:val="ListParagraph"/>
              <w:numPr>
                <w:ilvl w:val="0"/>
                <w:numId w:val="73"/>
              </w:numPr>
              <w:spacing w:before="120"/>
              <w:jc w:val="both"/>
              <w:rPr>
                <w:rFonts w:ascii="Arial" w:hAnsi="Arial" w:cs="Arial"/>
                <w:lang w:val="fr-FR"/>
              </w:rPr>
            </w:pPr>
            <w:r>
              <w:rPr>
                <w:rFonts w:ascii="Arial" w:hAnsi="Arial" w:cs="Arial"/>
                <w:lang w:val="es"/>
              </w:rPr>
              <w:t>Emisiones y archivos de televisión y radio</w:t>
            </w:r>
          </w:p>
          <w:p w14:paraId="440DBAC1" w14:textId="77777777" w:rsidR="00AA0DBC" w:rsidRDefault="00AA0DBC" w:rsidP="00BE5B3F">
            <w:pPr>
              <w:pStyle w:val="ListParagraph"/>
              <w:numPr>
                <w:ilvl w:val="0"/>
                <w:numId w:val="73"/>
              </w:numPr>
              <w:spacing w:before="120"/>
              <w:jc w:val="both"/>
              <w:rPr>
                <w:rFonts w:ascii="Arial" w:hAnsi="Arial" w:cs="Arial"/>
              </w:rPr>
            </w:pPr>
            <w:r>
              <w:rPr>
                <w:rFonts w:ascii="Arial" w:hAnsi="Arial" w:cs="Arial"/>
                <w:lang w:val="es"/>
              </w:rPr>
              <w:t>Periódicos y revistas</w:t>
            </w:r>
          </w:p>
          <w:p w14:paraId="5DC26523" w14:textId="77777777" w:rsidR="00AA0DBC" w:rsidRPr="001C7742" w:rsidRDefault="00AA0DBC" w:rsidP="00BE5B3F">
            <w:pPr>
              <w:pStyle w:val="ListParagraph"/>
              <w:numPr>
                <w:ilvl w:val="0"/>
                <w:numId w:val="73"/>
              </w:numPr>
              <w:spacing w:before="120"/>
              <w:jc w:val="both"/>
              <w:rPr>
                <w:rFonts w:ascii="Arial" w:hAnsi="Arial" w:cs="Arial"/>
                <w:lang w:val="fr-FR"/>
              </w:rPr>
            </w:pPr>
            <w:r>
              <w:rPr>
                <w:rFonts w:ascii="Arial" w:hAnsi="Arial" w:cs="Arial"/>
                <w:lang w:val="es"/>
              </w:rPr>
              <w:t>Sitios web de medios de comunicación</w:t>
            </w:r>
          </w:p>
          <w:p w14:paraId="05AEE68E" w14:textId="77777777" w:rsidR="00AA0DBC" w:rsidRPr="001C7742" w:rsidRDefault="00AA0DBC" w:rsidP="00BE5B3F">
            <w:pPr>
              <w:pStyle w:val="ListParagraph"/>
              <w:numPr>
                <w:ilvl w:val="0"/>
                <w:numId w:val="73"/>
              </w:numPr>
              <w:spacing w:before="120"/>
              <w:jc w:val="both"/>
              <w:rPr>
                <w:rFonts w:ascii="Arial" w:hAnsi="Arial" w:cs="Arial"/>
                <w:lang w:val="fr-FR"/>
              </w:rPr>
            </w:pPr>
            <w:r>
              <w:rPr>
                <w:rFonts w:ascii="Arial" w:hAnsi="Arial" w:cs="Arial"/>
                <w:lang w:val="es"/>
              </w:rPr>
              <w:t>Sitios web e informes de un Ministerio de Información o de Comunicaciones</w:t>
            </w:r>
          </w:p>
          <w:p w14:paraId="21CF8C36" w14:textId="77777777" w:rsidR="00AA0DBC" w:rsidRPr="001C7742" w:rsidRDefault="00AA0DBC" w:rsidP="00BE5B3F">
            <w:pPr>
              <w:pStyle w:val="ListParagraph"/>
              <w:numPr>
                <w:ilvl w:val="0"/>
                <w:numId w:val="73"/>
              </w:numPr>
              <w:spacing w:before="120"/>
              <w:jc w:val="both"/>
              <w:rPr>
                <w:rFonts w:ascii="Arial" w:hAnsi="Arial" w:cs="Arial"/>
                <w:lang w:val="fr-FR"/>
              </w:rPr>
            </w:pPr>
            <w:r>
              <w:rPr>
                <w:rFonts w:ascii="Arial" w:hAnsi="Arial" w:cs="Arial"/>
                <w:lang w:val="es"/>
              </w:rPr>
              <w:t xml:space="preserve">Solicitudes de financiación o informes relativos a actividades de cooperación, entre ellos, los programas de fortalecimiento de capacidades </w:t>
            </w:r>
          </w:p>
        </w:tc>
      </w:tr>
    </w:tbl>
    <w:p w14:paraId="2CCC92E4" w14:textId="77777777" w:rsidR="00320242" w:rsidRPr="00F866CD" w:rsidRDefault="00320242" w:rsidP="00A5709F">
      <w:pPr>
        <w:rPr>
          <w:rFonts w:ascii="Arial" w:hAnsi="Arial" w:cs="Arial"/>
        </w:rPr>
      </w:pPr>
      <w:bookmarkStart w:id="2" w:name="_GoBack"/>
      <w:bookmarkEnd w:id="2"/>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5F9A2" w14:textId="77777777" w:rsidR="00084DA8" w:rsidRDefault="00084DA8" w:rsidP="002938F2">
      <w:r>
        <w:separator/>
      </w:r>
    </w:p>
    <w:p w14:paraId="14867014" w14:textId="77777777" w:rsidR="00084DA8" w:rsidRDefault="00084DA8"/>
  </w:endnote>
  <w:endnote w:type="continuationSeparator" w:id="0">
    <w:p w14:paraId="35FF1CBC" w14:textId="77777777" w:rsidR="00084DA8" w:rsidRDefault="00084DA8" w:rsidP="002938F2">
      <w:r>
        <w:continuationSeparator/>
      </w:r>
    </w:p>
    <w:p w14:paraId="16FE2A45" w14:textId="77777777" w:rsidR="00084DA8" w:rsidRDefault="00084DA8"/>
  </w:endnote>
  <w:endnote w:type="continuationNotice" w:id="1">
    <w:p w14:paraId="6AA952D5" w14:textId="77777777" w:rsidR="00084DA8" w:rsidRDefault="00084D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EE9FF" w14:textId="799EE5CE" w:rsidR="00C04344" w:rsidRPr="000A0709" w:rsidRDefault="004025D2" w:rsidP="000A0709">
    <w:pPr>
      <w:pStyle w:val="Footer"/>
      <w:jc w:val="center"/>
      <w:rPr>
        <w:rFonts w:ascii="Arial" w:hAnsi="Arial"/>
      </w:rPr>
    </w:pPr>
    <w:r>
      <w:rPr>
        <w:rFonts w:ascii="Arial" w:hAnsi="Arial" w:cs="Arial"/>
        <w:lang w:val="es"/>
      </w:rPr>
      <w:fldChar w:fldCharType="begin"/>
    </w:r>
    <w:r>
      <w:rPr>
        <w:rFonts w:ascii="Arial" w:hAnsi="Arial" w:cs="Arial"/>
        <w:lang w:val="es"/>
      </w:rPr>
      <w:instrText xml:space="preserve"> PAGE   \* MERGEFORMAT </w:instrText>
    </w:r>
    <w:r>
      <w:rPr>
        <w:rFonts w:ascii="Arial" w:hAnsi="Arial" w:cs="Arial"/>
        <w:lang w:val="es"/>
      </w:rPr>
      <w:fldChar w:fldCharType="separate"/>
    </w:r>
    <w:r>
      <w:rPr>
        <w:rFonts w:ascii="Arial" w:hAnsi="Arial" w:cs="Arial"/>
        <w:noProof/>
        <w:lang w:val="es"/>
      </w:rPr>
      <w:t>1</w:t>
    </w:r>
    <w:r>
      <w:rPr>
        <w:rFonts w:ascii="Arial" w:hAnsi="Arial" w:cs="Arial"/>
        <w:noProof/>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F3F34" w14:textId="77777777" w:rsidR="00084DA8" w:rsidRDefault="00084DA8" w:rsidP="002938F2">
      <w:r>
        <w:separator/>
      </w:r>
    </w:p>
  </w:footnote>
  <w:footnote w:type="continuationSeparator" w:id="0">
    <w:p w14:paraId="4043EF35" w14:textId="77777777" w:rsidR="00084DA8" w:rsidRDefault="00084DA8" w:rsidP="002938F2">
      <w:r>
        <w:continuationSeparator/>
      </w:r>
    </w:p>
    <w:p w14:paraId="093CAE0E" w14:textId="77777777" w:rsidR="00084DA8" w:rsidRDefault="00084DA8"/>
  </w:footnote>
  <w:footnote w:type="continuationNotice" w:id="1">
    <w:p w14:paraId="03A2806F" w14:textId="77777777" w:rsidR="00084DA8" w:rsidRDefault="00084D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F9416" w14:textId="77777777" w:rsidR="00276EAB" w:rsidRDefault="00276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7C77860"/>
    <w:multiLevelType w:val="multilevel"/>
    <w:tmpl w:val="93E2C6D6"/>
    <w:lvl w:ilvl="0">
      <w:start w:val="18"/>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5"/>
  </w:num>
  <w:num w:numId="3">
    <w:abstractNumId w:val="11"/>
  </w:num>
  <w:num w:numId="4">
    <w:abstractNumId w:val="55"/>
  </w:num>
  <w:num w:numId="5">
    <w:abstractNumId w:val="45"/>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6"/>
  </w:num>
  <w:num w:numId="35">
    <w:abstractNumId w:val="20"/>
  </w:num>
  <w:num w:numId="36">
    <w:abstractNumId w:val="40"/>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39"/>
  </w:num>
  <w:num w:numId="57">
    <w:abstractNumId w:val="0"/>
  </w:num>
  <w:num w:numId="58">
    <w:abstractNumId w:val="3"/>
  </w:num>
  <w:num w:numId="59">
    <w:abstractNumId w:val="43"/>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4"/>
  </w:num>
  <w:num w:numId="67">
    <w:abstractNumId w:val="36"/>
  </w:num>
  <w:num w:numId="68">
    <w:abstractNumId w:val="13"/>
  </w:num>
  <w:num w:numId="69">
    <w:abstractNumId w:val="41"/>
  </w:num>
  <w:num w:numId="70">
    <w:abstractNumId w:val="32"/>
  </w:num>
  <w:num w:numId="71">
    <w:abstractNumId w:val="27"/>
  </w:num>
  <w:num w:numId="72">
    <w:abstractNumId w:val="50"/>
  </w:num>
  <w:num w:numId="73">
    <w:abstractNumId w:val="7"/>
  </w:num>
  <w:num w:numId="74">
    <w:abstractNumId w:val="34"/>
  </w:num>
  <w:num w:numId="75">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_tradnl"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382757"/>
    <w:rsid w:val="000016A4"/>
    <w:rsid w:val="000019DB"/>
    <w:rsid w:val="000047CC"/>
    <w:rsid w:val="00005BA5"/>
    <w:rsid w:val="00005BFA"/>
    <w:rsid w:val="00006F66"/>
    <w:rsid w:val="00010E2D"/>
    <w:rsid w:val="000120FD"/>
    <w:rsid w:val="00013A65"/>
    <w:rsid w:val="0001506E"/>
    <w:rsid w:val="00015B9D"/>
    <w:rsid w:val="0001601A"/>
    <w:rsid w:val="00020E88"/>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4DA8"/>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22AE5"/>
    <w:rsid w:val="001301DF"/>
    <w:rsid w:val="00134A1E"/>
    <w:rsid w:val="001412DE"/>
    <w:rsid w:val="00142D78"/>
    <w:rsid w:val="00144A4D"/>
    <w:rsid w:val="00147383"/>
    <w:rsid w:val="00151351"/>
    <w:rsid w:val="00156788"/>
    <w:rsid w:val="001609A1"/>
    <w:rsid w:val="00162554"/>
    <w:rsid w:val="00163F68"/>
    <w:rsid w:val="00173B50"/>
    <w:rsid w:val="00173E0E"/>
    <w:rsid w:val="00174B39"/>
    <w:rsid w:val="001774DB"/>
    <w:rsid w:val="00183F6C"/>
    <w:rsid w:val="00194802"/>
    <w:rsid w:val="00194AEB"/>
    <w:rsid w:val="001A431C"/>
    <w:rsid w:val="001A5519"/>
    <w:rsid w:val="001A7C3A"/>
    <w:rsid w:val="001B5C26"/>
    <w:rsid w:val="001C08BC"/>
    <w:rsid w:val="001C56BA"/>
    <w:rsid w:val="001C6D7D"/>
    <w:rsid w:val="001C7742"/>
    <w:rsid w:val="001D00B5"/>
    <w:rsid w:val="001D3B29"/>
    <w:rsid w:val="001D59C8"/>
    <w:rsid w:val="001E4EEB"/>
    <w:rsid w:val="001E6026"/>
    <w:rsid w:val="001F33AE"/>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0B45"/>
    <w:rsid w:val="002638C0"/>
    <w:rsid w:val="00265E42"/>
    <w:rsid w:val="00266B45"/>
    <w:rsid w:val="0027198B"/>
    <w:rsid w:val="00273658"/>
    <w:rsid w:val="00276EAB"/>
    <w:rsid w:val="00281AA4"/>
    <w:rsid w:val="00282A9D"/>
    <w:rsid w:val="00286C0C"/>
    <w:rsid w:val="00287687"/>
    <w:rsid w:val="00290D5F"/>
    <w:rsid w:val="002938F2"/>
    <w:rsid w:val="00293CCC"/>
    <w:rsid w:val="002A195D"/>
    <w:rsid w:val="002B43D6"/>
    <w:rsid w:val="002B6B98"/>
    <w:rsid w:val="002C28BA"/>
    <w:rsid w:val="002C39FA"/>
    <w:rsid w:val="002C3B8F"/>
    <w:rsid w:val="002C444C"/>
    <w:rsid w:val="002C5021"/>
    <w:rsid w:val="002C5280"/>
    <w:rsid w:val="002C5C29"/>
    <w:rsid w:val="002D396D"/>
    <w:rsid w:val="002D71D4"/>
    <w:rsid w:val="002E113D"/>
    <w:rsid w:val="002F17E1"/>
    <w:rsid w:val="003043A9"/>
    <w:rsid w:val="0030454E"/>
    <w:rsid w:val="00320242"/>
    <w:rsid w:val="00322A3A"/>
    <w:rsid w:val="00324A32"/>
    <w:rsid w:val="00325D6E"/>
    <w:rsid w:val="00334977"/>
    <w:rsid w:val="00337194"/>
    <w:rsid w:val="00342EE8"/>
    <w:rsid w:val="00344D78"/>
    <w:rsid w:val="00346517"/>
    <w:rsid w:val="00351CCB"/>
    <w:rsid w:val="0035648A"/>
    <w:rsid w:val="00362B41"/>
    <w:rsid w:val="00363995"/>
    <w:rsid w:val="00364E5E"/>
    <w:rsid w:val="00370E9B"/>
    <w:rsid w:val="00377E4B"/>
    <w:rsid w:val="00382757"/>
    <w:rsid w:val="00383BA9"/>
    <w:rsid w:val="003845B0"/>
    <w:rsid w:val="00385B34"/>
    <w:rsid w:val="00386C08"/>
    <w:rsid w:val="00387D88"/>
    <w:rsid w:val="0039446E"/>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25D2"/>
    <w:rsid w:val="00404856"/>
    <w:rsid w:val="00406ED7"/>
    <w:rsid w:val="004108B6"/>
    <w:rsid w:val="0041110F"/>
    <w:rsid w:val="0041300C"/>
    <w:rsid w:val="00414B68"/>
    <w:rsid w:val="00430ED2"/>
    <w:rsid w:val="00434773"/>
    <w:rsid w:val="004367F5"/>
    <w:rsid w:val="004458C9"/>
    <w:rsid w:val="00447C66"/>
    <w:rsid w:val="00461011"/>
    <w:rsid w:val="00462F38"/>
    <w:rsid w:val="00471B34"/>
    <w:rsid w:val="00474AFE"/>
    <w:rsid w:val="00477E66"/>
    <w:rsid w:val="00480809"/>
    <w:rsid w:val="004831C7"/>
    <w:rsid w:val="00486A5E"/>
    <w:rsid w:val="00493F92"/>
    <w:rsid w:val="004A0C2B"/>
    <w:rsid w:val="004A3715"/>
    <w:rsid w:val="004A610E"/>
    <w:rsid w:val="004C20E2"/>
    <w:rsid w:val="004E056C"/>
    <w:rsid w:val="004E2817"/>
    <w:rsid w:val="004E2AE8"/>
    <w:rsid w:val="004E418A"/>
    <w:rsid w:val="005016FB"/>
    <w:rsid w:val="00504256"/>
    <w:rsid w:val="00507016"/>
    <w:rsid w:val="00511D17"/>
    <w:rsid w:val="005157E2"/>
    <w:rsid w:val="0051699F"/>
    <w:rsid w:val="00516DE3"/>
    <w:rsid w:val="005300BF"/>
    <w:rsid w:val="00532631"/>
    <w:rsid w:val="005414A1"/>
    <w:rsid w:val="0054175C"/>
    <w:rsid w:val="005473CF"/>
    <w:rsid w:val="005629DE"/>
    <w:rsid w:val="00570355"/>
    <w:rsid w:val="0057129B"/>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C0911"/>
    <w:rsid w:val="006C737A"/>
    <w:rsid w:val="006D46FB"/>
    <w:rsid w:val="006E031D"/>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269B0"/>
    <w:rsid w:val="0083067E"/>
    <w:rsid w:val="00832357"/>
    <w:rsid w:val="0083488D"/>
    <w:rsid w:val="008466C3"/>
    <w:rsid w:val="00846809"/>
    <w:rsid w:val="00851458"/>
    <w:rsid w:val="00861A47"/>
    <w:rsid w:val="008707FF"/>
    <w:rsid w:val="008724E5"/>
    <w:rsid w:val="00877649"/>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814C2"/>
    <w:rsid w:val="0098241B"/>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17C4"/>
    <w:rsid w:val="00A150C7"/>
    <w:rsid w:val="00A2307A"/>
    <w:rsid w:val="00A462C6"/>
    <w:rsid w:val="00A519A2"/>
    <w:rsid w:val="00A51BDC"/>
    <w:rsid w:val="00A535B7"/>
    <w:rsid w:val="00A5709F"/>
    <w:rsid w:val="00A616C4"/>
    <w:rsid w:val="00A61F20"/>
    <w:rsid w:val="00A64796"/>
    <w:rsid w:val="00A64D10"/>
    <w:rsid w:val="00A66CD4"/>
    <w:rsid w:val="00A70883"/>
    <w:rsid w:val="00A77AEB"/>
    <w:rsid w:val="00A81F0A"/>
    <w:rsid w:val="00A85C7A"/>
    <w:rsid w:val="00A86042"/>
    <w:rsid w:val="00AA0DBC"/>
    <w:rsid w:val="00AA36F9"/>
    <w:rsid w:val="00AA444A"/>
    <w:rsid w:val="00AA67E6"/>
    <w:rsid w:val="00AB1528"/>
    <w:rsid w:val="00AC3896"/>
    <w:rsid w:val="00AD6BD4"/>
    <w:rsid w:val="00AE1B18"/>
    <w:rsid w:val="00AE1D83"/>
    <w:rsid w:val="00AE2DFB"/>
    <w:rsid w:val="00AE3061"/>
    <w:rsid w:val="00AF15BA"/>
    <w:rsid w:val="00AF1C32"/>
    <w:rsid w:val="00AF65C6"/>
    <w:rsid w:val="00B11AE3"/>
    <w:rsid w:val="00B121A6"/>
    <w:rsid w:val="00B17D2F"/>
    <w:rsid w:val="00B300B8"/>
    <w:rsid w:val="00B32A28"/>
    <w:rsid w:val="00B33904"/>
    <w:rsid w:val="00B36DD6"/>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D7B46"/>
    <w:rsid w:val="00BE5B3F"/>
    <w:rsid w:val="00BF351F"/>
    <w:rsid w:val="00BF3F50"/>
    <w:rsid w:val="00BF6F37"/>
    <w:rsid w:val="00C01B88"/>
    <w:rsid w:val="00C02924"/>
    <w:rsid w:val="00C04344"/>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A3ED6"/>
    <w:rsid w:val="00CA7CF4"/>
    <w:rsid w:val="00CB0F37"/>
    <w:rsid w:val="00CB0FAC"/>
    <w:rsid w:val="00CB1135"/>
    <w:rsid w:val="00CB590B"/>
    <w:rsid w:val="00CC02C5"/>
    <w:rsid w:val="00CC2BC6"/>
    <w:rsid w:val="00CC3AAB"/>
    <w:rsid w:val="00CD324E"/>
    <w:rsid w:val="00CD4A28"/>
    <w:rsid w:val="00CD54BD"/>
    <w:rsid w:val="00CD6C36"/>
    <w:rsid w:val="00CE2586"/>
    <w:rsid w:val="00CF05D7"/>
    <w:rsid w:val="00CF34A6"/>
    <w:rsid w:val="00CF3F93"/>
    <w:rsid w:val="00CF4204"/>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501F"/>
    <w:rsid w:val="00DA7BB1"/>
    <w:rsid w:val="00DB50D5"/>
    <w:rsid w:val="00DC5537"/>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6905"/>
    <w:rsid w:val="00E64BE4"/>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67113"/>
    <w:rsid w:val="00F70858"/>
    <w:rsid w:val="00F71BBC"/>
    <w:rsid w:val="00F7397F"/>
    <w:rsid w:val="00F75949"/>
    <w:rsid w:val="00F75CF4"/>
    <w:rsid w:val="00F829BD"/>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2F44E1"/>
  <w15:docId w15:val="{13ED47BA-B958-4996-AC04-BA9E1295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464006">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F76BD-907C-4638-8D50-2996E2144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5</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8</cp:revision>
  <dcterms:created xsi:type="dcterms:W3CDTF">2019-07-24T00:24:00Z</dcterms:created>
  <dcterms:modified xsi:type="dcterms:W3CDTF">2019-12-06T17:20:00Z</dcterms:modified>
</cp:coreProperties>
</file>