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AAC3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730"/>
        <w:gridCol w:w="1563"/>
      </w:tblGrid>
      <w:tr w:rsidR="005473CF" w:rsidRPr="00E51C7A" w14:paraId="7DA15EE5" w14:textId="77777777" w:rsidTr="00AC6A66">
        <w:trPr>
          <w:cantSplit/>
        </w:trPr>
        <w:tc>
          <w:tcPr>
            <w:tcW w:w="786" w:type="pct"/>
            <w:shd w:val="clear" w:color="auto" w:fill="auto"/>
          </w:tcPr>
          <w:p w14:paraId="21B2D7D4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50EA373" w14:textId="77777777" w:rsidR="005473CF" w:rsidRPr="00E51C7A" w:rsidRDefault="005510BE" w:rsidP="005510BE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19.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las medidas de información pública sensibilizan acerca de la importancia del PCI y de su salvaguardia y promueven la comprensión y el respeto mutuo</w:t>
            </w:r>
          </w:p>
        </w:tc>
      </w:tr>
      <w:tr w:rsidR="005B0FE5" w:rsidRPr="00E51C7A" w14:paraId="012B5BE8" w14:textId="77777777" w:rsidTr="00AC6A66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32C27B84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A094866" w14:textId="77777777" w:rsidR="005B0FE5" w:rsidRPr="00E51C7A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cuatro factores de ámbito nacional que cada Estado Parte supervisa y notifica:</w:t>
            </w:r>
          </w:p>
        </w:tc>
      </w:tr>
      <w:tr w:rsidR="005510BE" w:rsidRPr="00F866CD" w14:paraId="327A8E85" w14:textId="77777777" w:rsidTr="00AC6A66">
        <w:trPr>
          <w:cantSplit/>
        </w:trPr>
        <w:tc>
          <w:tcPr>
            <w:tcW w:w="786" w:type="pct"/>
            <w:vMerge/>
            <w:shd w:val="clear" w:color="auto" w:fill="auto"/>
          </w:tcPr>
          <w:p w14:paraId="77718781" w14:textId="77777777" w:rsidR="005510BE" w:rsidRPr="00E51C7A" w:rsidRDefault="005510BE" w:rsidP="005510BE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8766575" w14:textId="41CFC809" w:rsidR="005510BE" w:rsidRPr="00E51C7A" w:rsidRDefault="005510BE" w:rsidP="004D6FDE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practicantes y depositarios del PCI son reconocidos públicamente sobre una base inclusiva a través de políticas y programas.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11F227A" w14:textId="77777777" w:rsidR="005510BE" w:rsidRPr="0074360F" w:rsidRDefault="005510BE" w:rsidP="005510BE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105 d)</w:t>
            </w:r>
          </w:p>
        </w:tc>
      </w:tr>
      <w:tr w:rsidR="005510BE" w:rsidRPr="00F866CD" w14:paraId="67D64893" w14:textId="77777777" w:rsidTr="00AC6A66">
        <w:trPr>
          <w:cantSplit/>
        </w:trPr>
        <w:tc>
          <w:tcPr>
            <w:tcW w:w="786" w:type="pct"/>
            <w:vMerge/>
            <w:shd w:val="clear" w:color="auto" w:fill="auto"/>
          </w:tcPr>
          <w:p w14:paraId="22BA42E2" w14:textId="77777777" w:rsidR="005510BE" w:rsidRPr="00F866CD" w:rsidRDefault="005510BE" w:rsidP="005510BE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EA4A547" w14:textId="77777777" w:rsidR="002D0802" w:rsidRPr="00E51C7A" w:rsidRDefault="005510BE" w:rsidP="004D6FDE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eventos públicos sobre el PCI, sobre la importancia de la salvaguardia y sobre la Convención que se organicen para las comunidades, los grupos e individuos, el público general, investigadores, medios de comunicación y otros actores interesados.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D657214" w14:textId="77777777" w:rsidR="005510BE" w:rsidRPr="0074360F" w:rsidRDefault="005510BE" w:rsidP="005510B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105 b)</w:t>
            </w:r>
          </w:p>
        </w:tc>
      </w:tr>
      <w:tr w:rsidR="005510BE" w:rsidRPr="00F866CD" w14:paraId="77FE5EAD" w14:textId="77777777" w:rsidTr="00AC6A66">
        <w:trPr>
          <w:cantSplit/>
        </w:trPr>
        <w:tc>
          <w:tcPr>
            <w:tcW w:w="786" w:type="pct"/>
            <w:vMerge/>
            <w:shd w:val="clear" w:color="auto" w:fill="auto"/>
          </w:tcPr>
          <w:p w14:paraId="22AB0B0B" w14:textId="77777777" w:rsidR="005510BE" w:rsidRPr="00F866CD" w:rsidRDefault="005510BE" w:rsidP="005510BE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6D35E18" w14:textId="77777777" w:rsidR="002D0802" w:rsidRPr="00E51C7A" w:rsidRDefault="005510BE" w:rsidP="004D6FDE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Se fomentan y se apoyan programas para la promoción y la divulgación de las buenas prácticas de salvaguardia.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CD81EE" w14:textId="77777777" w:rsidR="005510BE" w:rsidRPr="0074360F" w:rsidRDefault="005510BE" w:rsidP="005510BE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106</w:t>
            </w:r>
          </w:p>
        </w:tc>
      </w:tr>
      <w:tr w:rsidR="005510BE" w:rsidRPr="00F866CD" w14:paraId="7E939167" w14:textId="77777777" w:rsidTr="00AC6A66">
        <w:trPr>
          <w:cantSplit/>
        </w:trPr>
        <w:tc>
          <w:tcPr>
            <w:tcW w:w="786" w:type="pct"/>
            <w:vMerge/>
            <w:shd w:val="clear" w:color="auto" w:fill="auto"/>
          </w:tcPr>
          <w:p w14:paraId="7482FD2B" w14:textId="77777777" w:rsidR="005510BE" w:rsidRPr="00F866CD" w:rsidRDefault="005510BE" w:rsidP="005510BE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037513B" w14:textId="77777777" w:rsidR="002D0802" w:rsidRPr="00E51C7A" w:rsidRDefault="005510BE" w:rsidP="004D6FDE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es"/>
              </w:rPr>
              <w:t>La información pública sobre el PCI que promueva el respeto mutuo y el reconocimiento entre las comunidades y los grupos.</w:t>
            </w:r>
            <w:r>
              <w:rPr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3432F4" w14:textId="77777777" w:rsidR="005510BE" w:rsidRPr="0074360F" w:rsidRDefault="004D776E" w:rsidP="005510BE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14 a) i)</w:t>
            </w:r>
          </w:p>
        </w:tc>
      </w:tr>
      <w:tr w:rsidR="005473CF" w:rsidRPr="00E51C7A" w14:paraId="0AF4CFC0" w14:textId="77777777" w:rsidTr="00AC6A66">
        <w:trPr>
          <w:cantSplit/>
        </w:trPr>
        <w:tc>
          <w:tcPr>
            <w:tcW w:w="786" w:type="pct"/>
            <w:shd w:val="clear" w:color="auto" w:fill="auto"/>
          </w:tcPr>
          <w:p w14:paraId="7E3E29A8" w14:textId="77777777" w:rsidR="005473CF" w:rsidRPr="00E51C7A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1D0FB02" w14:textId="77777777" w:rsidR="005473CF" w:rsidRPr="00E51C7A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>Como todos los indicadores, este también apoya la meta 11.4 de los ODS, que se centra en «redoblar los esfuerzos para proteger y salvaguardar el patrimonio cultural y natural del mundo».</w:t>
            </w:r>
          </w:p>
          <w:p w14:paraId="393A41A3" w14:textId="733F89A7" w:rsidR="002D0802" w:rsidRPr="00E51C7A" w:rsidRDefault="005473CF" w:rsidP="00A33491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El presente indicador examina el contenido y los propósitos de las medidas de sensibilización e información pública y sus efectos. De este modo, complementa al indicador 17, que hace referencia a la participación activa de las comunidades, los grupos e individuos en esas medidas, así como al indicador 18, que se centra en el papel de los medios de comunicación de masas. El indicador 20, en cambio, hace referencia a la forma en que se lleva a cabo. Los indicadores 15 y 16 también abordan el respeto y el reconocimiento mutuos, en el contexto de los esfuerzos basados en la comunidad y de los planes y programas de salvaguardia. El intercambio internacional de información sobre buenas prácticas para la salvaguardia figura en el indicador 24. </w:t>
            </w:r>
          </w:p>
        </w:tc>
      </w:tr>
      <w:tr w:rsidR="00896177" w:rsidRPr="00E51C7A" w14:paraId="00E1B914" w14:textId="77777777" w:rsidTr="00AC6A66">
        <w:trPr>
          <w:cantSplit/>
        </w:trPr>
        <w:tc>
          <w:tcPr>
            <w:tcW w:w="786" w:type="pct"/>
            <w:shd w:val="clear" w:color="auto" w:fill="auto"/>
          </w:tcPr>
          <w:p w14:paraId="6CD2C1CD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C61D97E" w14:textId="1131DFEB" w:rsidR="002D0802" w:rsidRPr="00E51C7A" w:rsidRDefault="007A0BF2" w:rsidP="00986956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 xml:space="preserve">Al igual que en el caso de los indicadores 17 y 18, uno de los cuatro objetivos de la Convención es «la sensibilización en el plano local, nacional e internacional a la importancia del patrimonio cultural inmaterial y de su reconocimiento recíproco» (Artículo 1 c)). La atención se centra en los esfuerzos a nivel local y nacional, ya sean emprendidos directamente por el Estado Parte, por las organizaciones de los medios de comunicación o por otros actores. Las Directrices Operativas han identificado prioridades para tales medidas y principios de información pública sobre la mejor manera de llevarlas a cabo: de manera inclusiva, participativa y con el objetivo de promover el respeto y el reconocimiento recíprocos. Debería prestarse especial atención a la promoción de buenas prácticas de salvaguardia, de conformidad con la esencia del Artículo 19. </w:t>
            </w:r>
          </w:p>
        </w:tc>
      </w:tr>
      <w:tr w:rsidR="00704766" w:rsidRPr="00F866CD" w14:paraId="693E342E" w14:textId="77777777" w:rsidTr="00AC6A66">
        <w:trPr>
          <w:cantSplit/>
        </w:trPr>
        <w:tc>
          <w:tcPr>
            <w:tcW w:w="786" w:type="pct"/>
            <w:shd w:val="clear" w:color="auto" w:fill="auto"/>
          </w:tcPr>
          <w:p w14:paraId="3417D16B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lastRenderedPageBreak/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0C9CE5D" w14:textId="77777777" w:rsidR="00704766" w:rsidRDefault="0073446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Practicantes y depositarios</w:t>
            </w:r>
          </w:p>
          <w:p w14:paraId="28FE8D1E" w14:textId="77777777" w:rsidR="00E12A54" w:rsidRDefault="00E12A54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Políticas</w:t>
            </w:r>
          </w:p>
          <w:p w14:paraId="48788EBD" w14:textId="77777777" w:rsidR="00734461" w:rsidRPr="00E51C7A" w:rsidRDefault="0073446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Comunidades, grupos y, en algunos casos, individuos</w:t>
            </w:r>
          </w:p>
          <w:p w14:paraId="5408D681" w14:textId="77777777" w:rsidR="00734461" w:rsidRDefault="0073446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Actores interesados</w:t>
            </w:r>
          </w:p>
          <w:p w14:paraId="7219F7A4" w14:textId="77777777" w:rsidR="00820AA8" w:rsidRPr="00F866CD" w:rsidRDefault="00820AA8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Divulgación</w:t>
            </w:r>
          </w:p>
        </w:tc>
      </w:tr>
    </w:tbl>
    <w:p w14:paraId="1264AE3E" w14:textId="77777777" w:rsidR="0054175C" w:rsidRPr="00F866CD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F866CD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3B7D38B8" w14:textId="77777777" w:rsidR="0054175C" w:rsidRPr="00E51C7A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342"/>
      </w:tblGrid>
      <w:tr w:rsidR="009C0510" w:rsidRPr="00E51C7A" w14:paraId="7C06FC5F" w14:textId="77777777" w:rsidTr="00E51C7A">
        <w:tc>
          <w:tcPr>
            <w:tcW w:w="767" w:type="pct"/>
            <w:shd w:val="clear" w:color="auto" w:fill="auto"/>
          </w:tcPr>
          <w:p w14:paraId="4DF5CD86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Ventajas del seguimiento</w:t>
            </w:r>
          </w:p>
        </w:tc>
        <w:tc>
          <w:tcPr>
            <w:tcW w:w="4233" w:type="pct"/>
            <w:shd w:val="clear" w:color="auto" w:fill="auto"/>
          </w:tcPr>
          <w:p w14:paraId="69DA6FFC" w14:textId="21D5237A" w:rsidR="002C28BA" w:rsidRPr="00E51C7A" w:rsidRDefault="00C77C20" w:rsidP="006244CB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El seguimiento puede ayudar a determinar hasta qué punto las medidas de información pública están logrando sus propósitos previstos y teniendo el efecto deseado. Además, puede alertar a un Estado en caso de que las actividades de sensibilización puedan estar pasando por alto, de forma inadvertida, la importancia de los practicantes y depositarios, o estar debilitando involuntariamente el respeto recíproco en lugar de promoverlo. A nivel mundial, el seguimiento puede identificar estrategias exitosas para sensibilizar y, si los Estados están difundiendo buenas prácticas de salvaguardia a nivel local y nacional, estas podrían servir como fuente de inspiración para otros países.</w:t>
            </w:r>
          </w:p>
        </w:tc>
      </w:tr>
      <w:tr w:rsidR="0054175C" w:rsidRPr="00E51C7A" w14:paraId="08DF9AA7" w14:textId="77777777" w:rsidTr="00E51C7A">
        <w:tc>
          <w:tcPr>
            <w:tcW w:w="767" w:type="pct"/>
            <w:shd w:val="clear" w:color="auto" w:fill="auto"/>
          </w:tcPr>
          <w:p w14:paraId="330CC2F2" w14:textId="77777777" w:rsidR="0054175C" w:rsidRPr="00E51C7A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33" w:type="pct"/>
            <w:shd w:val="clear" w:color="auto" w:fill="auto"/>
          </w:tcPr>
          <w:p w14:paraId="0B9F9044" w14:textId="5132EAEB" w:rsidR="0054175C" w:rsidRPr="00E51C7A" w:rsidRDefault="002D0802" w:rsidP="0054175C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Al igual que con el indicador 17, las autoridades responsables en el ámbito de la información y los medios de comunicación podrían poseer una fuente de datos importante. Las personas que participan en el seguimiento y la presentación de informes también pueden informar sobre las medidas y sus efectos según su propia experiencia. Si el Estado tiene un órgano consultivo o un mecanismo de coordinación, podría incluir representantes que participen activamente en la sensibilización y que puedan aportar información complementaria.</w:t>
            </w:r>
          </w:p>
          <w:p w14:paraId="036E25B9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Posibles fuentes de información</w:t>
            </w:r>
          </w:p>
          <w:p w14:paraId="33A9D358" w14:textId="77777777" w:rsidR="0025136E" w:rsidRPr="00E51C7A" w:rsidRDefault="0025136E" w:rsidP="0025136E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Publicaciones, informes y recopilaciones de material de sensibilización</w:t>
            </w:r>
          </w:p>
          <w:p w14:paraId="151DA619" w14:textId="77777777" w:rsidR="0025136E" w:rsidRPr="00E51C7A" w:rsidRDefault="0025136E" w:rsidP="0025136E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Sitios web e informes del Ministerio de Información y/o Ministerio de Comunicaciones</w:t>
            </w:r>
          </w:p>
          <w:p w14:paraId="2D79B95E" w14:textId="77777777" w:rsidR="0025136E" w:rsidRPr="00E51C7A" w:rsidRDefault="0025136E" w:rsidP="0025136E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Sitios web, blogs, videoblogs y publicaciones en redes sociales</w:t>
            </w:r>
          </w:p>
          <w:p w14:paraId="31C90C0A" w14:textId="77777777" w:rsidR="0054175C" w:rsidRPr="00E51C7A" w:rsidRDefault="0025136E" w:rsidP="0025136E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Grupos y comunidades de redes sociales</w:t>
            </w:r>
          </w:p>
        </w:tc>
      </w:tr>
    </w:tbl>
    <w:p w14:paraId="5FADF762" w14:textId="77777777" w:rsidR="00320242" w:rsidRPr="00F866CD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144B" w14:textId="77777777" w:rsidR="00C36823" w:rsidRDefault="00C36823" w:rsidP="002938F2">
      <w:r>
        <w:separator/>
      </w:r>
    </w:p>
    <w:p w14:paraId="030E771D" w14:textId="77777777" w:rsidR="00C36823" w:rsidRDefault="00C36823"/>
  </w:endnote>
  <w:endnote w:type="continuationSeparator" w:id="0">
    <w:p w14:paraId="53A20242" w14:textId="77777777" w:rsidR="00C36823" w:rsidRDefault="00C36823" w:rsidP="002938F2">
      <w:r>
        <w:continuationSeparator/>
      </w:r>
    </w:p>
    <w:p w14:paraId="093D75DF" w14:textId="77777777" w:rsidR="00C36823" w:rsidRDefault="00C36823"/>
  </w:endnote>
  <w:endnote w:type="continuationNotice" w:id="1">
    <w:p w14:paraId="3F552BD1" w14:textId="77777777" w:rsidR="00C36823" w:rsidRDefault="00C368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2364" w14:textId="0CBB658F" w:rsidR="00C04344" w:rsidRPr="000A0709" w:rsidRDefault="00CB2984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1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7C82" w14:textId="77777777" w:rsidR="00C36823" w:rsidRDefault="00C36823" w:rsidP="002938F2">
      <w:r>
        <w:separator/>
      </w:r>
    </w:p>
  </w:footnote>
  <w:footnote w:type="continuationSeparator" w:id="0">
    <w:p w14:paraId="3F0F79AF" w14:textId="77777777" w:rsidR="00C36823" w:rsidRDefault="00C36823" w:rsidP="002938F2">
      <w:r>
        <w:continuationSeparator/>
      </w:r>
    </w:p>
    <w:p w14:paraId="4FBC093D" w14:textId="77777777" w:rsidR="00C36823" w:rsidRDefault="00C36823"/>
  </w:footnote>
  <w:footnote w:type="continuationNotice" w:id="1">
    <w:p w14:paraId="58C9F6E6" w14:textId="77777777" w:rsidR="00C36823" w:rsidRDefault="00C368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FAC0" w14:textId="77777777" w:rsidR="00AC6A66" w:rsidRDefault="00AC6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61F5C72"/>
    <w:multiLevelType w:val="multilevel"/>
    <w:tmpl w:val="25B28BB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8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952F9"/>
    <w:multiLevelType w:val="multilevel"/>
    <w:tmpl w:val="63F6707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3"/>
  </w:num>
  <w:num w:numId="2">
    <w:abstractNumId w:val="25"/>
  </w:num>
  <w:num w:numId="3">
    <w:abstractNumId w:val="11"/>
  </w:num>
  <w:num w:numId="4">
    <w:abstractNumId w:val="55"/>
  </w:num>
  <w:num w:numId="5">
    <w:abstractNumId w:val="46"/>
  </w:num>
  <w:num w:numId="6">
    <w:abstractNumId w:val="4"/>
  </w:num>
  <w:num w:numId="7">
    <w:abstractNumId w:val="15"/>
  </w:num>
  <w:num w:numId="8">
    <w:abstractNumId w:val="24"/>
  </w:num>
  <w:num w:numId="9">
    <w:abstractNumId w:val="49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2"/>
  </w:num>
  <w:num w:numId="17">
    <w:abstractNumId w:val="38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53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0"/>
  </w:num>
  <w:num w:numId="32">
    <w:abstractNumId w:val="8"/>
  </w:num>
  <w:num w:numId="33">
    <w:abstractNumId w:val="16"/>
  </w:num>
  <w:num w:numId="34">
    <w:abstractNumId w:val="47"/>
  </w:num>
  <w:num w:numId="35">
    <w:abstractNumId w:val="20"/>
  </w:num>
  <w:num w:numId="36">
    <w:abstractNumId w:val="41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4"/>
  </w:num>
  <w:num w:numId="42">
    <w:abstractNumId w:val="51"/>
  </w:num>
  <w:num w:numId="43">
    <w:abstractNumId w:val="28"/>
  </w:num>
  <w:num w:numId="44">
    <w:abstractNumId w:val="12"/>
  </w:num>
  <w:num w:numId="45">
    <w:abstractNumId w:val="52"/>
  </w:num>
  <w:num w:numId="46">
    <w:abstractNumId w:val="5"/>
  </w:num>
  <w:num w:numId="47">
    <w:abstractNumId w:val="35"/>
  </w:num>
  <w:num w:numId="48">
    <w:abstractNumId w:val="56"/>
  </w:num>
  <w:num w:numId="49">
    <w:abstractNumId w:val="31"/>
  </w:num>
  <w:num w:numId="50">
    <w:abstractNumId w:val="29"/>
  </w:num>
  <w:num w:numId="51">
    <w:abstractNumId w:val="26"/>
  </w:num>
  <w:num w:numId="52">
    <w:abstractNumId w:val="37"/>
  </w:num>
  <w:num w:numId="53">
    <w:abstractNumId w:val="14"/>
  </w:num>
  <w:num w:numId="54">
    <w:abstractNumId w:val="1"/>
  </w:num>
  <w:num w:numId="55">
    <w:abstractNumId w:val="33"/>
  </w:num>
  <w:num w:numId="56">
    <w:abstractNumId w:val="40"/>
  </w:num>
  <w:num w:numId="57">
    <w:abstractNumId w:val="0"/>
  </w:num>
  <w:num w:numId="58">
    <w:abstractNumId w:val="3"/>
  </w:num>
  <w:num w:numId="59">
    <w:abstractNumId w:val="44"/>
  </w:num>
  <w:num w:numId="60">
    <w:abstractNumId w:val="2"/>
  </w:num>
  <w:num w:numId="61">
    <w:abstractNumId w:val="30"/>
  </w:num>
  <w:num w:numId="62">
    <w:abstractNumId w:val="21"/>
  </w:num>
  <w:num w:numId="63">
    <w:abstractNumId w:val="48"/>
  </w:num>
  <w:num w:numId="64">
    <w:abstractNumId w:val="18"/>
  </w:num>
  <w:num w:numId="65">
    <w:abstractNumId w:val="23"/>
  </w:num>
  <w:num w:numId="66">
    <w:abstractNumId w:val="45"/>
  </w:num>
  <w:num w:numId="67">
    <w:abstractNumId w:val="36"/>
  </w:num>
  <w:num w:numId="68">
    <w:abstractNumId w:val="13"/>
  </w:num>
  <w:num w:numId="69">
    <w:abstractNumId w:val="42"/>
  </w:num>
  <w:num w:numId="70">
    <w:abstractNumId w:val="32"/>
  </w:num>
  <w:num w:numId="71">
    <w:abstractNumId w:val="27"/>
  </w:num>
  <w:num w:numId="72">
    <w:abstractNumId w:val="50"/>
  </w:num>
  <w:num w:numId="73">
    <w:abstractNumId w:val="7"/>
  </w:num>
  <w:num w:numId="74">
    <w:abstractNumId w:val="34"/>
  </w:num>
  <w:num w:numId="75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4096" w:nlCheck="1" w:checkStyle="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0BE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359F2"/>
    <w:rsid w:val="001412DE"/>
    <w:rsid w:val="00142D78"/>
    <w:rsid w:val="00144A4D"/>
    <w:rsid w:val="00151351"/>
    <w:rsid w:val="00156788"/>
    <w:rsid w:val="001609A1"/>
    <w:rsid w:val="00162554"/>
    <w:rsid w:val="00163986"/>
    <w:rsid w:val="00163F68"/>
    <w:rsid w:val="00173B50"/>
    <w:rsid w:val="00173E0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1D5D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136E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0802"/>
    <w:rsid w:val="002D396D"/>
    <w:rsid w:val="002D71D4"/>
    <w:rsid w:val="002D7C8D"/>
    <w:rsid w:val="002E113D"/>
    <w:rsid w:val="002F17E1"/>
    <w:rsid w:val="003043A9"/>
    <w:rsid w:val="0030454E"/>
    <w:rsid w:val="00320242"/>
    <w:rsid w:val="00322A3A"/>
    <w:rsid w:val="00324A32"/>
    <w:rsid w:val="00325D6E"/>
    <w:rsid w:val="00334977"/>
    <w:rsid w:val="00337194"/>
    <w:rsid w:val="00342EE8"/>
    <w:rsid w:val="00344D78"/>
    <w:rsid w:val="00346517"/>
    <w:rsid w:val="00351CCB"/>
    <w:rsid w:val="0035648A"/>
    <w:rsid w:val="00362B41"/>
    <w:rsid w:val="00363995"/>
    <w:rsid w:val="00364E5E"/>
    <w:rsid w:val="00370E9B"/>
    <w:rsid w:val="00373F8C"/>
    <w:rsid w:val="00377E4B"/>
    <w:rsid w:val="00383BA9"/>
    <w:rsid w:val="003845B0"/>
    <w:rsid w:val="00385B34"/>
    <w:rsid w:val="00386C08"/>
    <w:rsid w:val="00387D88"/>
    <w:rsid w:val="0039446E"/>
    <w:rsid w:val="003A260A"/>
    <w:rsid w:val="003A2BC4"/>
    <w:rsid w:val="003B31BE"/>
    <w:rsid w:val="003B504D"/>
    <w:rsid w:val="003B53BC"/>
    <w:rsid w:val="003C7065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53D45"/>
    <w:rsid w:val="00462F38"/>
    <w:rsid w:val="00471B34"/>
    <w:rsid w:val="00474AFE"/>
    <w:rsid w:val="00477E66"/>
    <w:rsid w:val="00480809"/>
    <w:rsid w:val="004831C7"/>
    <w:rsid w:val="00483520"/>
    <w:rsid w:val="00486A5E"/>
    <w:rsid w:val="00493F92"/>
    <w:rsid w:val="004A0C2B"/>
    <w:rsid w:val="004A610E"/>
    <w:rsid w:val="004C20E2"/>
    <w:rsid w:val="004D24FB"/>
    <w:rsid w:val="004D6FDE"/>
    <w:rsid w:val="004D776E"/>
    <w:rsid w:val="004E056C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300BF"/>
    <w:rsid w:val="0053176A"/>
    <w:rsid w:val="00532631"/>
    <w:rsid w:val="005414A1"/>
    <w:rsid w:val="0054175C"/>
    <w:rsid w:val="005473CF"/>
    <w:rsid w:val="005510BE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D358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244CB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4461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90C65"/>
    <w:rsid w:val="0079316B"/>
    <w:rsid w:val="007A0565"/>
    <w:rsid w:val="007A0BF2"/>
    <w:rsid w:val="007A0EAA"/>
    <w:rsid w:val="007A1247"/>
    <w:rsid w:val="007A1E0A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E37"/>
    <w:rsid w:val="007F4B07"/>
    <w:rsid w:val="00800A8A"/>
    <w:rsid w:val="008029A6"/>
    <w:rsid w:val="008147BA"/>
    <w:rsid w:val="008155F3"/>
    <w:rsid w:val="008202BC"/>
    <w:rsid w:val="00820AA8"/>
    <w:rsid w:val="008269B0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3BF7"/>
    <w:rsid w:val="008D5918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3A84"/>
    <w:rsid w:val="00946D71"/>
    <w:rsid w:val="009577E1"/>
    <w:rsid w:val="00971CA1"/>
    <w:rsid w:val="0097349C"/>
    <w:rsid w:val="009814C2"/>
    <w:rsid w:val="00982FFD"/>
    <w:rsid w:val="00985265"/>
    <w:rsid w:val="00985856"/>
    <w:rsid w:val="00986956"/>
    <w:rsid w:val="009A4969"/>
    <w:rsid w:val="009B066D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50C7"/>
    <w:rsid w:val="00A2307A"/>
    <w:rsid w:val="00A33491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3680"/>
    <w:rsid w:val="00A77AEB"/>
    <w:rsid w:val="00A81F0A"/>
    <w:rsid w:val="00A85C7A"/>
    <w:rsid w:val="00A86042"/>
    <w:rsid w:val="00AA36F9"/>
    <w:rsid w:val="00AA444A"/>
    <w:rsid w:val="00AB1528"/>
    <w:rsid w:val="00AC6A66"/>
    <w:rsid w:val="00AD6BD4"/>
    <w:rsid w:val="00AE1B18"/>
    <w:rsid w:val="00AE1D83"/>
    <w:rsid w:val="00AE2DFB"/>
    <w:rsid w:val="00AE3061"/>
    <w:rsid w:val="00AF15BA"/>
    <w:rsid w:val="00AF1C32"/>
    <w:rsid w:val="00AF65C6"/>
    <w:rsid w:val="00B11AE3"/>
    <w:rsid w:val="00B121A6"/>
    <w:rsid w:val="00B163F5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36823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77C20"/>
    <w:rsid w:val="00C87194"/>
    <w:rsid w:val="00C90629"/>
    <w:rsid w:val="00C90C51"/>
    <w:rsid w:val="00C936F6"/>
    <w:rsid w:val="00CA3ED6"/>
    <w:rsid w:val="00CA7CF4"/>
    <w:rsid w:val="00CB0F37"/>
    <w:rsid w:val="00CB1135"/>
    <w:rsid w:val="00CB2984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34A6"/>
    <w:rsid w:val="00CF3F93"/>
    <w:rsid w:val="00D020F3"/>
    <w:rsid w:val="00D02CC3"/>
    <w:rsid w:val="00D04515"/>
    <w:rsid w:val="00D065AD"/>
    <w:rsid w:val="00D22831"/>
    <w:rsid w:val="00D35EAC"/>
    <w:rsid w:val="00D404B7"/>
    <w:rsid w:val="00D44509"/>
    <w:rsid w:val="00D448CB"/>
    <w:rsid w:val="00D47226"/>
    <w:rsid w:val="00D47ED5"/>
    <w:rsid w:val="00D61779"/>
    <w:rsid w:val="00D73DB6"/>
    <w:rsid w:val="00D809E5"/>
    <w:rsid w:val="00D81948"/>
    <w:rsid w:val="00D90819"/>
    <w:rsid w:val="00D93291"/>
    <w:rsid w:val="00D9501F"/>
    <w:rsid w:val="00DB50D5"/>
    <w:rsid w:val="00DC5537"/>
    <w:rsid w:val="00DD11EE"/>
    <w:rsid w:val="00DD52A0"/>
    <w:rsid w:val="00DE44D2"/>
    <w:rsid w:val="00DE5590"/>
    <w:rsid w:val="00DE6364"/>
    <w:rsid w:val="00DF1D9E"/>
    <w:rsid w:val="00DF3DA3"/>
    <w:rsid w:val="00DF5DA4"/>
    <w:rsid w:val="00E06492"/>
    <w:rsid w:val="00E065CE"/>
    <w:rsid w:val="00E06A00"/>
    <w:rsid w:val="00E12A54"/>
    <w:rsid w:val="00E13E03"/>
    <w:rsid w:val="00E22B99"/>
    <w:rsid w:val="00E24A9D"/>
    <w:rsid w:val="00E258D9"/>
    <w:rsid w:val="00E35B8C"/>
    <w:rsid w:val="00E439CA"/>
    <w:rsid w:val="00E46DDB"/>
    <w:rsid w:val="00E473F3"/>
    <w:rsid w:val="00E51C7A"/>
    <w:rsid w:val="00E5219B"/>
    <w:rsid w:val="00E56905"/>
    <w:rsid w:val="00E64BE4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C60"/>
    <w:rsid w:val="00ED3D26"/>
    <w:rsid w:val="00ED5218"/>
    <w:rsid w:val="00EE1D9D"/>
    <w:rsid w:val="00EF0BCB"/>
    <w:rsid w:val="00EF0E74"/>
    <w:rsid w:val="00EF2549"/>
    <w:rsid w:val="00F00E8A"/>
    <w:rsid w:val="00F16242"/>
    <w:rsid w:val="00F17FCB"/>
    <w:rsid w:val="00F226CC"/>
    <w:rsid w:val="00F24D71"/>
    <w:rsid w:val="00F2691E"/>
    <w:rsid w:val="00F279DD"/>
    <w:rsid w:val="00F3242E"/>
    <w:rsid w:val="00F33650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6CD"/>
    <w:rsid w:val="00F941F0"/>
    <w:rsid w:val="00F97FF5"/>
    <w:rsid w:val="00FA7CE6"/>
    <w:rsid w:val="00FB1313"/>
    <w:rsid w:val="00FB24A9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3894B"/>
  <w15:docId w15:val="{A116D783-485C-4F08-931D-7C391A7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AC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9233-7A97-45E5-AC46-B271335E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8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7</cp:revision>
  <dcterms:created xsi:type="dcterms:W3CDTF">2019-07-24T14:28:00Z</dcterms:created>
  <dcterms:modified xsi:type="dcterms:W3CDTF">2019-12-06T17:20:00Z</dcterms:modified>
</cp:coreProperties>
</file>