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BAAC3"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fr"/>
        </w:rPr>
        <w:t>Aperçu et justification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6483"/>
        <w:gridCol w:w="1434"/>
      </w:tblGrid>
      <w:tr w:rsidR="005473CF" w:rsidRPr="00A95644" w14:paraId="7DA15EE5" w14:textId="77777777" w:rsidTr="00AC6A66">
        <w:trPr>
          <w:cantSplit/>
        </w:trPr>
        <w:tc>
          <w:tcPr>
            <w:tcW w:w="786" w:type="pct"/>
            <w:shd w:val="clear" w:color="auto" w:fill="auto"/>
          </w:tcPr>
          <w:p w14:paraId="21B2D7D4" w14:textId="77777777" w:rsidR="005473CF" w:rsidRPr="00F866CD" w:rsidRDefault="005B0FE5" w:rsidP="00DA2ECC">
            <w:pPr>
              <w:spacing w:before="120"/>
              <w:rPr>
                <w:rFonts w:ascii="Arial" w:hAnsi="Arial" w:cs="Arial"/>
                <w:b/>
                <w:szCs w:val="22"/>
              </w:rPr>
            </w:pPr>
            <w:r>
              <w:rPr>
                <w:rFonts w:ascii="Arial" w:hAnsi="Arial" w:cs="Arial"/>
                <w:b/>
                <w:bCs/>
                <w:szCs w:val="22"/>
                <w:lang w:val="fr"/>
              </w:rPr>
              <w:t>Indicateur</w:t>
            </w:r>
          </w:p>
        </w:tc>
        <w:tc>
          <w:tcPr>
            <w:tcW w:w="4214" w:type="pct"/>
            <w:gridSpan w:val="2"/>
            <w:shd w:val="clear" w:color="auto" w:fill="auto"/>
          </w:tcPr>
          <w:p w14:paraId="650EA373" w14:textId="77777777" w:rsidR="005473CF" w:rsidRPr="00DC6795" w:rsidRDefault="005510BE" w:rsidP="005510BE">
            <w:pPr>
              <w:keepLines/>
              <w:spacing w:before="120"/>
              <w:ind w:left="567" w:hanging="567"/>
              <w:rPr>
                <w:rFonts w:ascii="Arial" w:hAnsi="Arial" w:cs="Arial"/>
                <w:b/>
                <w:szCs w:val="22"/>
                <w:lang w:val="fr-FR"/>
              </w:rPr>
            </w:pPr>
            <w:r>
              <w:rPr>
                <w:rFonts w:ascii="Arial" w:hAnsi="Arial" w:cs="Arial"/>
                <w:b/>
                <w:bCs/>
                <w:szCs w:val="22"/>
                <w:lang w:val="fr"/>
              </w:rPr>
              <w:t>19.</w:t>
            </w:r>
            <w:r>
              <w:rPr>
                <w:rFonts w:ascii="Arial" w:hAnsi="Arial" w:cs="Arial"/>
                <w:b/>
                <w:bCs/>
                <w:szCs w:val="22"/>
                <w:lang w:val="fr"/>
              </w:rPr>
              <w:tab/>
              <w:t>Mesure dans laquelle les actions d’information du public sensibilisent à l’importance du PCI et à sa sauvegarde et promeuvent la compréhension et le respect mutuel</w:t>
            </w:r>
          </w:p>
        </w:tc>
      </w:tr>
      <w:tr w:rsidR="005B0FE5" w:rsidRPr="00A95644" w14:paraId="012B5BE8" w14:textId="77777777" w:rsidTr="00AC6A66">
        <w:trPr>
          <w:cantSplit/>
        </w:trPr>
        <w:tc>
          <w:tcPr>
            <w:tcW w:w="786" w:type="pct"/>
            <w:vMerge w:val="restart"/>
            <w:shd w:val="clear" w:color="auto" w:fill="auto"/>
          </w:tcPr>
          <w:p w14:paraId="32C27B84" w14:textId="08171BCF" w:rsidR="005B0FE5" w:rsidRPr="00F866CD" w:rsidRDefault="005B0FE5" w:rsidP="00DA2ECC">
            <w:pPr>
              <w:spacing w:before="120"/>
              <w:rPr>
                <w:rFonts w:ascii="Arial" w:hAnsi="Arial" w:cs="Arial"/>
                <w:b/>
                <w:szCs w:val="22"/>
              </w:rPr>
            </w:pPr>
            <w:r>
              <w:rPr>
                <w:rFonts w:ascii="Arial" w:hAnsi="Arial" w:cs="Arial"/>
                <w:b/>
                <w:bCs/>
                <w:szCs w:val="22"/>
                <w:lang w:val="fr"/>
              </w:rPr>
              <w:t>Facteurs d'</w:t>
            </w:r>
            <w:r w:rsidR="00673D47" w:rsidRPr="00673D47">
              <w:rPr>
                <w:rFonts w:ascii="Arial" w:hAnsi="Arial" w:cs="Arial"/>
                <w:b/>
                <w:bCs/>
                <w:szCs w:val="22"/>
                <w:lang w:val="fr"/>
              </w:rPr>
              <w:t>appréciation</w:t>
            </w:r>
          </w:p>
        </w:tc>
        <w:tc>
          <w:tcPr>
            <w:tcW w:w="4214" w:type="pct"/>
            <w:gridSpan w:val="2"/>
            <w:shd w:val="clear" w:color="auto" w:fill="auto"/>
          </w:tcPr>
          <w:p w14:paraId="6A094866" w14:textId="77777777" w:rsidR="005B0FE5" w:rsidRPr="00DC6795" w:rsidRDefault="005B0FE5" w:rsidP="00946D71">
            <w:pPr>
              <w:keepLines/>
              <w:spacing w:before="120"/>
              <w:jc w:val="both"/>
              <w:rPr>
                <w:rFonts w:ascii="Arial" w:hAnsi="Arial" w:cs="Arial"/>
                <w:b/>
                <w:szCs w:val="22"/>
                <w:lang w:val="fr-FR"/>
              </w:rPr>
            </w:pPr>
            <w:r>
              <w:rPr>
                <w:rFonts w:ascii="Arial" w:hAnsi="Arial" w:cs="Arial"/>
                <w:szCs w:val="22"/>
                <w:lang w:val="fr"/>
              </w:rPr>
              <w:t>Cet indicateur est évalué sur la base de quatre facteurs nationaux suivis et rapportés par chaque État partie :</w:t>
            </w:r>
          </w:p>
        </w:tc>
      </w:tr>
      <w:tr w:rsidR="005510BE" w:rsidRPr="00F866CD" w14:paraId="327A8E85" w14:textId="77777777" w:rsidTr="00AC6A66">
        <w:trPr>
          <w:cantSplit/>
        </w:trPr>
        <w:tc>
          <w:tcPr>
            <w:tcW w:w="786" w:type="pct"/>
            <w:vMerge/>
            <w:shd w:val="clear" w:color="auto" w:fill="auto"/>
          </w:tcPr>
          <w:p w14:paraId="77718781" w14:textId="77777777" w:rsidR="005510BE" w:rsidRPr="00DC6795" w:rsidRDefault="005510BE" w:rsidP="005510BE">
            <w:pPr>
              <w:spacing w:before="120"/>
              <w:rPr>
                <w:rFonts w:ascii="Arial" w:hAnsi="Arial" w:cs="Arial"/>
                <w:b/>
                <w:szCs w:val="22"/>
                <w:lang w:val="fr-FR"/>
              </w:rPr>
            </w:pPr>
          </w:p>
        </w:tc>
        <w:tc>
          <w:tcPr>
            <w:tcW w:w="3418" w:type="pct"/>
            <w:shd w:val="clear" w:color="auto" w:fill="auto"/>
            <w:vAlign w:val="center"/>
          </w:tcPr>
          <w:p w14:paraId="58766575" w14:textId="41CFC809" w:rsidR="005510BE" w:rsidRPr="00DC6795" w:rsidRDefault="005510BE" w:rsidP="004D6FDE">
            <w:pPr>
              <w:pStyle w:val="Paragraphedeliste"/>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fr"/>
              </w:rPr>
              <w:t xml:space="preserve">Les praticiens et les détenteurs du PCI sont reconnus publiquement, sur une base inclusive, à travers des politiques et des programmes. </w:t>
            </w:r>
          </w:p>
        </w:tc>
        <w:tc>
          <w:tcPr>
            <w:tcW w:w="796" w:type="pct"/>
            <w:shd w:val="clear" w:color="auto" w:fill="auto"/>
            <w:vAlign w:val="center"/>
          </w:tcPr>
          <w:p w14:paraId="511F227A" w14:textId="77777777" w:rsidR="005510BE" w:rsidRPr="0074360F" w:rsidRDefault="005510BE" w:rsidP="005510BE">
            <w:pPr>
              <w:keepLines/>
              <w:spacing w:before="120"/>
              <w:rPr>
                <w:rFonts w:ascii="Arial" w:hAnsi="Arial" w:cs="Arial"/>
                <w:sz w:val="20"/>
                <w:szCs w:val="20"/>
              </w:rPr>
            </w:pPr>
            <w:r>
              <w:rPr>
                <w:rFonts w:ascii="Arial" w:hAnsi="Arial" w:cs="Arial"/>
                <w:sz w:val="20"/>
                <w:szCs w:val="20"/>
                <w:lang w:val="fr"/>
              </w:rPr>
              <w:t>DO 105(d)</w:t>
            </w:r>
          </w:p>
        </w:tc>
      </w:tr>
      <w:tr w:rsidR="005510BE" w:rsidRPr="00F866CD" w14:paraId="67D64893" w14:textId="77777777" w:rsidTr="00AC6A66">
        <w:trPr>
          <w:cantSplit/>
        </w:trPr>
        <w:tc>
          <w:tcPr>
            <w:tcW w:w="786" w:type="pct"/>
            <w:vMerge/>
            <w:shd w:val="clear" w:color="auto" w:fill="auto"/>
          </w:tcPr>
          <w:p w14:paraId="22BA42E2" w14:textId="77777777" w:rsidR="005510BE" w:rsidRPr="00F866CD" w:rsidRDefault="005510BE" w:rsidP="005510BE">
            <w:pPr>
              <w:spacing w:before="120"/>
              <w:rPr>
                <w:rFonts w:ascii="Arial" w:hAnsi="Arial" w:cs="Arial"/>
                <w:b/>
                <w:szCs w:val="22"/>
              </w:rPr>
            </w:pPr>
          </w:p>
        </w:tc>
        <w:tc>
          <w:tcPr>
            <w:tcW w:w="3418" w:type="pct"/>
            <w:shd w:val="clear" w:color="auto" w:fill="auto"/>
            <w:vAlign w:val="center"/>
          </w:tcPr>
          <w:p w14:paraId="5EA4A547" w14:textId="77777777" w:rsidR="002D0802" w:rsidRPr="00DC6795" w:rsidRDefault="005510BE" w:rsidP="004D6FDE">
            <w:pPr>
              <w:pStyle w:val="Paragraphedeliste"/>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fr"/>
              </w:rPr>
              <w:t>Des événements publics sur le PCI, son importance et sa sauvegarde, et sur la Convention, sont organisés à l’intention des communautés, des groupes et des individus, du grand public, des chercheurs, des médias et d’autres parties prenantes.</w:t>
            </w:r>
          </w:p>
        </w:tc>
        <w:tc>
          <w:tcPr>
            <w:tcW w:w="796" w:type="pct"/>
            <w:shd w:val="clear" w:color="auto" w:fill="auto"/>
            <w:vAlign w:val="center"/>
          </w:tcPr>
          <w:p w14:paraId="6D657214" w14:textId="77777777" w:rsidR="005510BE" w:rsidRPr="0074360F" w:rsidRDefault="005510BE" w:rsidP="005510BE">
            <w:pPr>
              <w:spacing w:before="60" w:after="60"/>
              <w:rPr>
                <w:rFonts w:ascii="Arial" w:hAnsi="Arial" w:cs="Arial"/>
                <w:sz w:val="20"/>
                <w:szCs w:val="20"/>
              </w:rPr>
            </w:pPr>
            <w:r>
              <w:rPr>
                <w:rFonts w:ascii="Arial" w:hAnsi="Arial" w:cs="Arial"/>
                <w:sz w:val="20"/>
                <w:szCs w:val="20"/>
                <w:lang w:val="fr"/>
              </w:rPr>
              <w:t>DO 105(b)</w:t>
            </w:r>
          </w:p>
        </w:tc>
      </w:tr>
      <w:tr w:rsidR="005510BE" w:rsidRPr="00F866CD" w14:paraId="77FE5EAD" w14:textId="77777777" w:rsidTr="00AC6A66">
        <w:trPr>
          <w:cantSplit/>
        </w:trPr>
        <w:tc>
          <w:tcPr>
            <w:tcW w:w="786" w:type="pct"/>
            <w:vMerge/>
            <w:shd w:val="clear" w:color="auto" w:fill="auto"/>
          </w:tcPr>
          <w:p w14:paraId="22AB0B0B" w14:textId="77777777" w:rsidR="005510BE" w:rsidRPr="00F866CD" w:rsidRDefault="005510BE" w:rsidP="005510BE">
            <w:pPr>
              <w:spacing w:before="120"/>
              <w:rPr>
                <w:rFonts w:ascii="Arial" w:hAnsi="Arial" w:cs="Arial"/>
                <w:b/>
                <w:szCs w:val="22"/>
              </w:rPr>
            </w:pPr>
          </w:p>
        </w:tc>
        <w:tc>
          <w:tcPr>
            <w:tcW w:w="3418" w:type="pct"/>
            <w:shd w:val="clear" w:color="auto" w:fill="auto"/>
            <w:vAlign w:val="center"/>
          </w:tcPr>
          <w:p w14:paraId="16D35E18" w14:textId="77777777" w:rsidR="002D0802" w:rsidRPr="00DC6795" w:rsidRDefault="005510BE" w:rsidP="004D6FDE">
            <w:pPr>
              <w:pStyle w:val="Paragraphedeliste"/>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fr"/>
              </w:rPr>
              <w:t>Les programmes de promotion et de diffusion de bonnes pratiques de sauvegarde sont encouragés et soutenus.</w:t>
            </w:r>
          </w:p>
        </w:tc>
        <w:tc>
          <w:tcPr>
            <w:tcW w:w="796" w:type="pct"/>
            <w:shd w:val="clear" w:color="auto" w:fill="auto"/>
            <w:vAlign w:val="center"/>
          </w:tcPr>
          <w:p w14:paraId="45CD81EE" w14:textId="77777777" w:rsidR="005510BE" w:rsidRPr="0074360F" w:rsidRDefault="005510BE" w:rsidP="005510BE">
            <w:pPr>
              <w:keepLines/>
              <w:spacing w:before="120"/>
              <w:rPr>
                <w:rFonts w:ascii="Arial" w:hAnsi="Arial" w:cs="Arial"/>
                <w:sz w:val="20"/>
                <w:szCs w:val="20"/>
              </w:rPr>
            </w:pPr>
            <w:r>
              <w:rPr>
                <w:rFonts w:ascii="Arial" w:hAnsi="Arial" w:cs="Arial"/>
                <w:sz w:val="20"/>
                <w:szCs w:val="20"/>
                <w:lang w:val="fr"/>
              </w:rPr>
              <w:t>DO 106</w:t>
            </w:r>
          </w:p>
        </w:tc>
      </w:tr>
      <w:tr w:rsidR="005510BE" w:rsidRPr="00F866CD" w14:paraId="7E939167" w14:textId="77777777" w:rsidTr="00AC6A66">
        <w:trPr>
          <w:cantSplit/>
        </w:trPr>
        <w:tc>
          <w:tcPr>
            <w:tcW w:w="786" w:type="pct"/>
            <w:vMerge/>
            <w:shd w:val="clear" w:color="auto" w:fill="auto"/>
          </w:tcPr>
          <w:p w14:paraId="7482FD2B" w14:textId="77777777" w:rsidR="005510BE" w:rsidRPr="00F866CD" w:rsidRDefault="005510BE" w:rsidP="005510BE">
            <w:pPr>
              <w:spacing w:before="120"/>
              <w:rPr>
                <w:rFonts w:ascii="Arial" w:hAnsi="Arial" w:cs="Arial"/>
                <w:b/>
                <w:szCs w:val="22"/>
              </w:rPr>
            </w:pPr>
          </w:p>
        </w:tc>
        <w:tc>
          <w:tcPr>
            <w:tcW w:w="3418" w:type="pct"/>
            <w:shd w:val="clear" w:color="auto" w:fill="auto"/>
            <w:vAlign w:val="center"/>
          </w:tcPr>
          <w:p w14:paraId="6037513B" w14:textId="77777777" w:rsidR="002D0802" w:rsidRPr="00DC6795" w:rsidRDefault="005510BE" w:rsidP="004D6FDE">
            <w:pPr>
              <w:pStyle w:val="Paragraphedeliste"/>
              <w:keepLines/>
              <w:numPr>
                <w:ilvl w:val="1"/>
                <w:numId w:val="75"/>
              </w:numPr>
              <w:spacing w:before="120" w:after="120" w:line="240" w:lineRule="auto"/>
              <w:ind w:left="583" w:hanging="567"/>
              <w:contextualSpacing w:val="0"/>
              <w:rPr>
                <w:sz w:val="20"/>
                <w:szCs w:val="20"/>
                <w:lang w:val="fr-FR"/>
              </w:rPr>
            </w:pPr>
            <w:r>
              <w:rPr>
                <w:rFonts w:ascii="Arial" w:hAnsi="Arial"/>
                <w:sz w:val="20"/>
                <w:szCs w:val="20"/>
                <w:lang w:val="fr"/>
              </w:rPr>
              <w:t>L’information du public sur le PCI promeut le respect et l’appréciation mutuels au sein et entre les communautés et les groupes.</w:t>
            </w:r>
            <w:r>
              <w:rPr>
                <w:sz w:val="20"/>
                <w:szCs w:val="20"/>
                <w:lang w:val="fr"/>
              </w:rPr>
              <w:t xml:space="preserve"> </w:t>
            </w:r>
          </w:p>
        </w:tc>
        <w:tc>
          <w:tcPr>
            <w:tcW w:w="796" w:type="pct"/>
            <w:shd w:val="clear" w:color="auto" w:fill="auto"/>
            <w:vAlign w:val="center"/>
          </w:tcPr>
          <w:p w14:paraId="453432F4" w14:textId="77777777" w:rsidR="005510BE" w:rsidRPr="0074360F" w:rsidRDefault="004D776E" w:rsidP="005510BE">
            <w:pPr>
              <w:keepLines/>
              <w:spacing w:before="120"/>
              <w:rPr>
                <w:rFonts w:ascii="Arial" w:hAnsi="Arial" w:cs="Arial"/>
                <w:sz w:val="20"/>
                <w:szCs w:val="20"/>
              </w:rPr>
            </w:pPr>
            <w:r>
              <w:rPr>
                <w:rFonts w:ascii="Arial" w:hAnsi="Arial" w:cs="Arial"/>
                <w:sz w:val="20"/>
                <w:szCs w:val="20"/>
                <w:lang w:val="fr"/>
              </w:rPr>
              <w:t>Article 14(a)(i)</w:t>
            </w:r>
          </w:p>
        </w:tc>
      </w:tr>
      <w:tr w:rsidR="005473CF" w:rsidRPr="00A95644" w14:paraId="0AF4CFC0" w14:textId="77777777" w:rsidTr="00AC6A66">
        <w:trPr>
          <w:cantSplit/>
        </w:trPr>
        <w:tc>
          <w:tcPr>
            <w:tcW w:w="786" w:type="pct"/>
            <w:shd w:val="clear" w:color="auto" w:fill="auto"/>
          </w:tcPr>
          <w:p w14:paraId="7E3E29A8" w14:textId="77777777" w:rsidR="005473CF" w:rsidRPr="00DC6795" w:rsidRDefault="005473CF" w:rsidP="005473CF">
            <w:pPr>
              <w:spacing w:before="120"/>
              <w:rPr>
                <w:rFonts w:ascii="Arial" w:hAnsi="Arial" w:cs="Arial"/>
                <w:b/>
                <w:szCs w:val="22"/>
                <w:lang w:val="fr-FR"/>
              </w:rPr>
            </w:pPr>
            <w:r>
              <w:rPr>
                <w:rFonts w:ascii="Arial" w:hAnsi="Arial" w:cs="Arial"/>
                <w:b/>
                <w:bCs/>
                <w:szCs w:val="22"/>
                <w:lang w:val="fr"/>
              </w:rPr>
              <w:t>Relation avec les ODD et autres indicateurs</w:t>
            </w:r>
          </w:p>
        </w:tc>
        <w:tc>
          <w:tcPr>
            <w:tcW w:w="4214" w:type="pct"/>
            <w:gridSpan w:val="2"/>
            <w:shd w:val="clear" w:color="auto" w:fill="auto"/>
          </w:tcPr>
          <w:p w14:paraId="31D0FB02" w14:textId="79928AAB" w:rsidR="005473CF" w:rsidRPr="00DC6795" w:rsidRDefault="005473CF" w:rsidP="005473CF">
            <w:pPr>
              <w:keepLines/>
              <w:spacing w:before="120"/>
              <w:jc w:val="both"/>
              <w:rPr>
                <w:rFonts w:ascii="Arial" w:hAnsi="Arial" w:cs="Arial"/>
                <w:szCs w:val="22"/>
                <w:lang w:val="fr-FR"/>
              </w:rPr>
            </w:pPr>
            <w:r>
              <w:rPr>
                <w:rFonts w:ascii="Arial" w:hAnsi="Arial" w:cs="Arial"/>
                <w:b/>
                <w:bCs/>
                <w:szCs w:val="22"/>
                <w:lang w:val="fr"/>
              </w:rPr>
              <w:t xml:space="preserve">Objectifs de développement durable : </w:t>
            </w:r>
            <w:r>
              <w:rPr>
                <w:rFonts w:ascii="Arial" w:hAnsi="Arial" w:cs="Arial"/>
                <w:szCs w:val="22"/>
                <w:lang w:val="fr"/>
              </w:rPr>
              <w:t>Comme tous les indicateurs, le présent indicateur soutient l</w:t>
            </w:r>
            <w:r w:rsidR="00D443DC">
              <w:rPr>
                <w:rFonts w:ascii="Arial" w:hAnsi="Arial" w:cs="Arial"/>
                <w:szCs w:val="22"/>
                <w:lang w:val="fr"/>
              </w:rPr>
              <w:t>a cible</w:t>
            </w:r>
            <w:r>
              <w:rPr>
                <w:rFonts w:ascii="Arial" w:hAnsi="Arial" w:cs="Arial"/>
                <w:szCs w:val="22"/>
                <w:lang w:val="fr"/>
              </w:rPr>
              <w:t xml:space="preserve"> 11.4 des ODD, « Renforcer les efforts pour protéger et sauvegarder le patrimoine culturel et naturel mondial. ».</w:t>
            </w:r>
          </w:p>
          <w:p w14:paraId="393A41A3" w14:textId="733F89A7" w:rsidR="002D0802" w:rsidRPr="00DC6795" w:rsidRDefault="005473CF" w:rsidP="00A33491">
            <w:pPr>
              <w:keepLines/>
              <w:spacing w:before="120"/>
              <w:jc w:val="both"/>
              <w:rPr>
                <w:rFonts w:ascii="Arial" w:hAnsi="Arial" w:cs="Arial"/>
                <w:szCs w:val="22"/>
                <w:lang w:val="fr-FR"/>
              </w:rPr>
            </w:pPr>
            <w:r>
              <w:rPr>
                <w:rFonts w:ascii="Arial" w:hAnsi="Arial" w:cs="Arial"/>
                <w:b/>
                <w:bCs/>
                <w:szCs w:val="22"/>
                <w:lang w:val="fr"/>
              </w:rPr>
              <w:t>Relation avec d'autres indicateurs :</w:t>
            </w:r>
            <w:r>
              <w:rPr>
                <w:rFonts w:ascii="Arial" w:hAnsi="Arial" w:cs="Arial"/>
                <w:szCs w:val="22"/>
                <w:lang w:val="fr"/>
              </w:rPr>
              <w:t xml:space="preserve"> Le présent indicateur examine le contenu et les objectifs des mesures de sensibilisation et d'information du public ainsi que leur impact. Il complète ainsi l'indicateur 17, qui concerne la participation active des communautés, des groupes et des individus à ces mesures, ainsi que l'indicateur 18, qui met l'accent sur le rôle des médias de masse. L'indicateur 20, en revanche, concerne la manière dont il est mis en œuvre. Le respect et l'appréciation mutuels sont également abordés dans les indicateurs 15 et 16, dans le contexte des efforts communautaires et des plans et programmes de sauvegarde. L'échange international d'informations sur les bonnes pratiques de sauvegarde figure dans l'indicateur 24. </w:t>
            </w:r>
          </w:p>
        </w:tc>
      </w:tr>
      <w:tr w:rsidR="00896177" w:rsidRPr="00A95644" w14:paraId="00E1B914" w14:textId="77777777" w:rsidTr="00AC6A66">
        <w:trPr>
          <w:cantSplit/>
        </w:trPr>
        <w:tc>
          <w:tcPr>
            <w:tcW w:w="786" w:type="pct"/>
            <w:shd w:val="clear" w:color="auto" w:fill="auto"/>
          </w:tcPr>
          <w:p w14:paraId="6CD2C1CD" w14:textId="77777777" w:rsidR="00896177" w:rsidRPr="00F866CD" w:rsidRDefault="002C28BA" w:rsidP="00A7283F">
            <w:pPr>
              <w:spacing w:before="120"/>
              <w:rPr>
                <w:rFonts w:ascii="Arial" w:hAnsi="Arial" w:cs="Arial"/>
                <w:b/>
                <w:szCs w:val="22"/>
              </w:rPr>
            </w:pPr>
            <w:r>
              <w:rPr>
                <w:rFonts w:ascii="Arial" w:hAnsi="Arial" w:cs="Arial"/>
                <w:b/>
                <w:bCs/>
                <w:szCs w:val="22"/>
                <w:lang w:val="fr"/>
              </w:rPr>
              <w:t>Justification de l'action</w:t>
            </w:r>
          </w:p>
        </w:tc>
        <w:tc>
          <w:tcPr>
            <w:tcW w:w="4214" w:type="pct"/>
            <w:gridSpan w:val="2"/>
            <w:shd w:val="clear" w:color="auto" w:fill="auto"/>
          </w:tcPr>
          <w:p w14:paraId="6C61D97E" w14:textId="41A7F97E" w:rsidR="002D0802" w:rsidRPr="00DC6795" w:rsidRDefault="007A0BF2" w:rsidP="00986956">
            <w:pPr>
              <w:keepLines/>
              <w:spacing w:before="120"/>
              <w:jc w:val="both"/>
              <w:rPr>
                <w:rFonts w:asciiTheme="minorBidi" w:hAnsiTheme="minorBidi" w:cstheme="minorBidi"/>
                <w:szCs w:val="22"/>
                <w:lang w:val="fr-FR"/>
              </w:rPr>
            </w:pPr>
            <w:r>
              <w:rPr>
                <w:rFonts w:asciiTheme="minorBidi" w:hAnsiTheme="minorBidi" w:cstheme="minorBidi"/>
                <w:szCs w:val="22"/>
                <w:lang w:val="fr"/>
              </w:rPr>
              <w:t xml:space="preserve">Comme pour les indicateurs 17 et 18, l'un des quatre </w:t>
            </w:r>
            <w:r w:rsidR="00D443DC">
              <w:rPr>
                <w:rFonts w:asciiTheme="minorBidi" w:hAnsiTheme="minorBidi" w:cstheme="minorBidi"/>
                <w:szCs w:val="22"/>
                <w:lang w:val="fr"/>
              </w:rPr>
              <w:t xml:space="preserve">buts </w:t>
            </w:r>
            <w:r>
              <w:rPr>
                <w:rFonts w:asciiTheme="minorBidi" w:hAnsiTheme="minorBidi" w:cstheme="minorBidi"/>
                <w:szCs w:val="22"/>
                <w:lang w:val="fr"/>
              </w:rPr>
              <w:t>de la Convention est de</w:t>
            </w:r>
            <w:r w:rsidR="00CF3ABF">
              <w:rPr>
                <w:rFonts w:asciiTheme="minorBidi" w:hAnsiTheme="minorBidi" w:cstheme="minorBidi"/>
                <w:szCs w:val="22"/>
                <w:lang w:val="fr"/>
              </w:rPr>
              <w:t xml:space="preserve"> « sensibiliser</w:t>
            </w:r>
            <w:r>
              <w:rPr>
                <w:rFonts w:asciiTheme="minorBidi" w:hAnsiTheme="minorBidi" w:cstheme="minorBidi"/>
                <w:szCs w:val="22"/>
                <w:lang w:val="fr"/>
              </w:rPr>
              <w:t xml:space="preserve"> aux niveaux local, national et international à l’importance du patrimoine culturel immatériel et de son appréciation mutuelle. » (Article 1(c)). L'accent est mis ici sur les efforts aux niveaux local et national, qu'ils soient entrepris directement par l'État partie, par les médias ou par d'autres acteurs. Les Directives opérationnelles ont identifié des priorités pour ces mesures d'information du public et des principes concernant la meilleure façon de les mettre en œuvre : de manière inclusive, participative et dans le but de promouvoir le respect et l'appréciation mutuels. Une attention particulière devrait être accordée à la promotion de bonnes pratiques de sauvegarde, dans l'esprit de l'Article 19. </w:t>
            </w:r>
          </w:p>
        </w:tc>
      </w:tr>
      <w:tr w:rsidR="00704766" w:rsidRPr="00F866CD" w14:paraId="693E342E" w14:textId="77777777" w:rsidTr="00AC6A66">
        <w:trPr>
          <w:cantSplit/>
        </w:trPr>
        <w:tc>
          <w:tcPr>
            <w:tcW w:w="786" w:type="pct"/>
            <w:shd w:val="clear" w:color="auto" w:fill="auto"/>
          </w:tcPr>
          <w:p w14:paraId="3417D16B"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fr"/>
              </w:rPr>
              <w:lastRenderedPageBreak/>
              <w:t>Termes clés</w:t>
            </w:r>
          </w:p>
        </w:tc>
        <w:tc>
          <w:tcPr>
            <w:tcW w:w="4214" w:type="pct"/>
            <w:gridSpan w:val="2"/>
            <w:shd w:val="clear" w:color="auto" w:fill="auto"/>
          </w:tcPr>
          <w:p w14:paraId="10C9CE5D" w14:textId="77777777" w:rsidR="00704766" w:rsidRDefault="00734461"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Praticiens et porteurs</w:t>
            </w:r>
          </w:p>
          <w:p w14:paraId="28FE8D1E" w14:textId="77777777" w:rsidR="00E12A54" w:rsidRDefault="00E12A54"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Politiques</w:t>
            </w:r>
          </w:p>
          <w:p w14:paraId="48788EBD" w14:textId="77777777" w:rsidR="00734461" w:rsidRPr="00DC6795" w:rsidRDefault="00734461"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Communautés, groupes ou, dans certains cas, individus</w:t>
            </w:r>
          </w:p>
          <w:p w14:paraId="5408D681" w14:textId="77777777" w:rsidR="00734461" w:rsidRDefault="00734461"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Parties prenantes</w:t>
            </w:r>
          </w:p>
          <w:p w14:paraId="7219F7A4" w14:textId="77777777" w:rsidR="00820AA8" w:rsidRPr="00F866CD" w:rsidRDefault="00820AA8"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Diffusion</w:t>
            </w:r>
          </w:p>
        </w:tc>
      </w:tr>
    </w:tbl>
    <w:p w14:paraId="1264AE3E" w14:textId="77777777" w:rsidR="0054175C" w:rsidRPr="00F866CD" w:rsidRDefault="0054175C" w:rsidP="0054175C">
      <w:pPr>
        <w:jc w:val="center"/>
        <w:rPr>
          <w:rFonts w:ascii="Arial" w:hAnsi="Arial" w:cs="Arial"/>
          <w:b/>
          <w:sz w:val="24"/>
        </w:rPr>
        <w:sectPr w:rsidR="0054175C" w:rsidRPr="00F866CD" w:rsidSect="000F25BA">
          <w:footerReference w:type="default" r:id="rId8"/>
          <w:pgSz w:w="11906" w:h="16838" w:code="9"/>
          <w:pgMar w:top="1418" w:right="1134" w:bottom="1134" w:left="1134" w:header="397" w:footer="284" w:gutter="0"/>
          <w:cols w:space="708"/>
          <w:docGrid w:linePitch="360"/>
        </w:sectPr>
      </w:pPr>
    </w:p>
    <w:p w14:paraId="3B7D38B8" w14:textId="77777777" w:rsidR="0054175C" w:rsidRPr="00DC6795" w:rsidRDefault="0054175C" w:rsidP="00704766">
      <w:pPr>
        <w:jc w:val="center"/>
        <w:rPr>
          <w:rFonts w:ascii="Arial" w:hAnsi="Arial" w:cs="Arial"/>
          <w:b/>
          <w:sz w:val="24"/>
          <w:lang w:val="fr-FR"/>
        </w:rPr>
      </w:pPr>
      <w:r>
        <w:rPr>
          <w:rFonts w:ascii="Arial" w:hAnsi="Arial" w:cs="Arial"/>
          <w:b/>
          <w:bCs/>
          <w:sz w:val="24"/>
          <w:lang w:val="fr"/>
        </w:rPr>
        <w:t>Orientations spécifiques sur le suivi et l'établissement de rapports périodiques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8190"/>
      </w:tblGrid>
      <w:tr w:rsidR="009C0510" w:rsidRPr="00A95644" w14:paraId="7C06FC5F" w14:textId="77777777" w:rsidTr="002B3ED2">
        <w:tc>
          <w:tcPr>
            <w:tcW w:w="747" w:type="pct"/>
            <w:shd w:val="clear" w:color="auto" w:fill="auto"/>
          </w:tcPr>
          <w:p w14:paraId="4DF5CD86" w14:textId="77777777" w:rsidR="002C28BA" w:rsidRPr="00F866CD" w:rsidRDefault="002C28BA" w:rsidP="006B0DB6">
            <w:pPr>
              <w:spacing w:before="120"/>
              <w:rPr>
                <w:rFonts w:ascii="Arial" w:hAnsi="Arial" w:cs="Arial"/>
                <w:b/>
                <w:szCs w:val="22"/>
              </w:rPr>
            </w:pPr>
            <w:r>
              <w:rPr>
                <w:rFonts w:ascii="Arial" w:hAnsi="Arial" w:cs="Arial"/>
                <w:b/>
                <w:bCs/>
                <w:szCs w:val="22"/>
                <w:lang w:val="fr"/>
              </w:rPr>
              <w:t>Avantages du suivi</w:t>
            </w:r>
          </w:p>
        </w:tc>
        <w:tc>
          <w:tcPr>
            <w:tcW w:w="4253" w:type="pct"/>
            <w:shd w:val="clear" w:color="auto" w:fill="auto"/>
          </w:tcPr>
          <w:p w14:paraId="69DA6FFC" w14:textId="21D5237A" w:rsidR="002C28BA" w:rsidRPr="00DC6795" w:rsidRDefault="00C77C20" w:rsidP="006244CB">
            <w:pPr>
              <w:keepLines/>
              <w:spacing w:before="120"/>
              <w:jc w:val="both"/>
              <w:rPr>
                <w:rFonts w:ascii="Arial" w:hAnsi="Arial" w:cs="Arial"/>
                <w:bCs/>
                <w:szCs w:val="22"/>
                <w:lang w:val="fr-FR"/>
              </w:rPr>
            </w:pPr>
            <w:r>
              <w:rPr>
                <w:rFonts w:ascii="Arial" w:hAnsi="Arial" w:cs="Arial"/>
                <w:szCs w:val="22"/>
                <w:lang w:val="fr"/>
              </w:rPr>
              <w:t>Le suivi peut aider à déterminer dans quelle mesure les mesures d'information publique permettent d'atteindre les objectifs visés et d'obtenir les résultats escomptés. Le suivi peut également alerter l'État sur le fait que les activités de sensibilisation peuvent, par inadvertance, négliger l'importance des praticiens et des porteurs ou affaiblir involontairement le respect mutuel plutôt que de le promouvoir. Au niveau mondial, le suivi peut permettre d'identifier des stratégies efficaces de sensibilisation et, si les États diffusent de bonnes pratiques de sauvegarde aux niveaux local et national, ces bonnes pratiques peuvent servir de source d'inspiration pour d'autres pays.</w:t>
            </w:r>
          </w:p>
        </w:tc>
      </w:tr>
      <w:tr w:rsidR="0054175C" w:rsidRPr="00A95644" w14:paraId="08DF9AA7" w14:textId="77777777" w:rsidTr="002B3ED2">
        <w:tc>
          <w:tcPr>
            <w:tcW w:w="747" w:type="pct"/>
            <w:shd w:val="clear" w:color="auto" w:fill="auto"/>
          </w:tcPr>
          <w:p w14:paraId="330CC2F2" w14:textId="77777777" w:rsidR="0054175C" w:rsidRPr="00DC6795" w:rsidRDefault="0054175C" w:rsidP="0054175C">
            <w:pPr>
              <w:spacing w:before="120"/>
              <w:rPr>
                <w:rFonts w:ascii="Arial" w:hAnsi="Arial" w:cs="Arial"/>
                <w:b/>
                <w:szCs w:val="22"/>
                <w:lang w:val="fr-FR"/>
              </w:rPr>
            </w:pPr>
            <w:r>
              <w:rPr>
                <w:rFonts w:ascii="Arial" w:hAnsi="Arial" w:cs="Arial"/>
                <w:b/>
                <w:bCs/>
                <w:szCs w:val="22"/>
                <w:lang w:val="fr"/>
              </w:rPr>
              <w:t>Sources et collecte des données</w:t>
            </w:r>
          </w:p>
        </w:tc>
        <w:tc>
          <w:tcPr>
            <w:tcW w:w="4253" w:type="pct"/>
            <w:shd w:val="clear" w:color="auto" w:fill="auto"/>
          </w:tcPr>
          <w:p w14:paraId="0B9F9044" w14:textId="5132EAEB" w:rsidR="0054175C" w:rsidRPr="00DC6795" w:rsidRDefault="002D0802" w:rsidP="0054175C">
            <w:pPr>
              <w:spacing w:before="120"/>
              <w:jc w:val="both"/>
              <w:rPr>
                <w:rFonts w:ascii="Arial" w:hAnsi="Arial" w:cs="Arial"/>
                <w:szCs w:val="22"/>
                <w:lang w:val="fr-FR"/>
              </w:rPr>
            </w:pPr>
            <w:r>
              <w:rPr>
                <w:rFonts w:ascii="Arial" w:hAnsi="Arial" w:cs="Arial"/>
                <w:szCs w:val="22"/>
                <w:lang w:val="fr"/>
              </w:rPr>
              <w:t>Comme pour l'indicateur 17, une source importante de données peut être détenue par les autorités responsables dans le domaine de l'information, de la communication et des médias. Ceux qui participent au suivi et à l'établissement de rapports peuvent également faire rapport sur les mesures et leurs répercussions en fonction de leur propre expérience. Si l'État dispose d'un conseil consultatif ou d'un mécanisme de coordination, il peut très bien inclure des représentants activement impliqués dans la sensibilisation qui peuvent fournir des informations supplémentaires.</w:t>
            </w:r>
          </w:p>
          <w:p w14:paraId="036E25B9" w14:textId="77777777" w:rsidR="0054175C" w:rsidRPr="00F866CD" w:rsidRDefault="00BE5B3F" w:rsidP="00704766">
            <w:pPr>
              <w:keepNext/>
              <w:spacing w:before="120" w:after="60"/>
              <w:jc w:val="both"/>
              <w:rPr>
                <w:rFonts w:ascii="Arial" w:hAnsi="Arial" w:cs="Arial"/>
                <w:b/>
                <w:szCs w:val="22"/>
              </w:rPr>
            </w:pPr>
            <w:r>
              <w:rPr>
                <w:rFonts w:ascii="Arial" w:hAnsi="Arial" w:cs="Arial"/>
                <w:b/>
                <w:bCs/>
                <w:szCs w:val="22"/>
                <w:lang w:val="fr"/>
              </w:rPr>
              <w:t>Sources de données possibles</w:t>
            </w:r>
          </w:p>
          <w:p w14:paraId="33A9D358" w14:textId="77777777" w:rsidR="0025136E" w:rsidRPr="00DC6795" w:rsidRDefault="0025136E" w:rsidP="0025136E">
            <w:pPr>
              <w:pStyle w:val="Paragraphedeliste"/>
              <w:numPr>
                <w:ilvl w:val="0"/>
                <w:numId w:val="73"/>
              </w:numPr>
              <w:spacing w:before="120"/>
              <w:jc w:val="both"/>
              <w:rPr>
                <w:rFonts w:ascii="Arial" w:hAnsi="Arial" w:cs="Arial"/>
                <w:lang w:val="fr-FR"/>
              </w:rPr>
            </w:pPr>
            <w:r>
              <w:rPr>
                <w:rFonts w:ascii="Arial" w:hAnsi="Arial" w:cs="Arial"/>
                <w:lang w:val="fr"/>
              </w:rPr>
              <w:t>Publications, rapports et collections de matériels de sensibilisation</w:t>
            </w:r>
          </w:p>
          <w:p w14:paraId="151DA619" w14:textId="77777777" w:rsidR="0025136E" w:rsidRPr="00DC6795" w:rsidRDefault="0025136E" w:rsidP="0025136E">
            <w:pPr>
              <w:pStyle w:val="Paragraphedeliste"/>
              <w:numPr>
                <w:ilvl w:val="0"/>
                <w:numId w:val="73"/>
              </w:numPr>
              <w:spacing w:before="120"/>
              <w:jc w:val="both"/>
              <w:rPr>
                <w:rFonts w:ascii="Arial" w:hAnsi="Arial" w:cs="Arial"/>
                <w:lang w:val="fr-FR"/>
              </w:rPr>
            </w:pPr>
            <w:r>
              <w:rPr>
                <w:rFonts w:ascii="Arial" w:hAnsi="Arial" w:cs="Arial"/>
                <w:lang w:val="fr"/>
              </w:rPr>
              <w:t>Sites Web et rapports d'un Ministère de l'Information et/ou d'un Ministère de la Communication</w:t>
            </w:r>
          </w:p>
          <w:p w14:paraId="2D79B95E" w14:textId="77777777" w:rsidR="0025136E" w:rsidRPr="00DC6795" w:rsidRDefault="0025136E" w:rsidP="0025136E">
            <w:pPr>
              <w:pStyle w:val="Paragraphedeliste"/>
              <w:numPr>
                <w:ilvl w:val="0"/>
                <w:numId w:val="73"/>
              </w:numPr>
              <w:spacing w:before="120"/>
              <w:jc w:val="both"/>
              <w:rPr>
                <w:rFonts w:ascii="Arial" w:hAnsi="Arial" w:cs="Arial"/>
                <w:lang w:val="fr-FR"/>
              </w:rPr>
            </w:pPr>
            <w:r>
              <w:rPr>
                <w:rFonts w:ascii="Arial" w:hAnsi="Arial" w:cs="Arial"/>
                <w:lang w:val="fr"/>
              </w:rPr>
              <w:t>Sites Web, blogs, vlogs et publications sur les réseaux sociaux</w:t>
            </w:r>
          </w:p>
          <w:p w14:paraId="31C90C0A" w14:textId="77777777" w:rsidR="0054175C" w:rsidRPr="00DC6795" w:rsidRDefault="0025136E" w:rsidP="0025136E">
            <w:pPr>
              <w:pStyle w:val="Paragraphedeliste"/>
              <w:numPr>
                <w:ilvl w:val="0"/>
                <w:numId w:val="73"/>
              </w:numPr>
              <w:spacing w:before="120"/>
              <w:jc w:val="both"/>
              <w:rPr>
                <w:rFonts w:ascii="Arial" w:hAnsi="Arial" w:cs="Arial"/>
                <w:lang w:val="fr-FR"/>
              </w:rPr>
            </w:pPr>
            <w:r>
              <w:rPr>
                <w:rFonts w:ascii="Arial" w:hAnsi="Arial" w:cs="Arial"/>
                <w:lang w:val="fr"/>
              </w:rPr>
              <w:t>Groupes et communautés de réseaux sociaux</w:t>
            </w:r>
          </w:p>
        </w:tc>
      </w:tr>
    </w:tbl>
    <w:p w14:paraId="5FADF762" w14:textId="77777777" w:rsidR="00320242" w:rsidRPr="002B3ED2" w:rsidRDefault="00320242" w:rsidP="00A5709F">
      <w:pPr>
        <w:rPr>
          <w:rFonts w:ascii="Arial" w:hAnsi="Arial" w:cs="Arial"/>
          <w:lang w:val="fr-FR"/>
        </w:rPr>
      </w:pPr>
    </w:p>
    <w:sectPr w:rsidR="00320242" w:rsidRPr="002B3ED2"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D6148" w14:textId="77777777" w:rsidR="00345E7E" w:rsidRDefault="00345E7E" w:rsidP="002938F2">
      <w:r>
        <w:separator/>
      </w:r>
    </w:p>
    <w:p w14:paraId="4449FDFE" w14:textId="77777777" w:rsidR="00345E7E" w:rsidRDefault="00345E7E"/>
  </w:endnote>
  <w:endnote w:type="continuationSeparator" w:id="0">
    <w:p w14:paraId="0CA58BC7" w14:textId="77777777" w:rsidR="00345E7E" w:rsidRDefault="00345E7E" w:rsidP="002938F2">
      <w:r>
        <w:continuationSeparator/>
      </w:r>
    </w:p>
    <w:p w14:paraId="45F0170D" w14:textId="77777777" w:rsidR="00345E7E" w:rsidRDefault="00345E7E"/>
  </w:endnote>
  <w:endnote w:type="continuationNotice" w:id="1">
    <w:p w14:paraId="75E5A9DE" w14:textId="77777777" w:rsidR="00345E7E" w:rsidRDefault="00345E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D2364" w14:textId="0CBB658F" w:rsidR="00C04344" w:rsidRPr="000A0709" w:rsidRDefault="00CB2984" w:rsidP="000A0709">
    <w:pPr>
      <w:pStyle w:val="Pieddepage"/>
      <w:jc w:val="center"/>
      <w:rPr>
        <w:rFonts w:ascii="Arial" w:hAnsi="Arial"/>
      </w:rPr>
    </w:pPr>
    <w:r>
      <w:rPr>
        <w:rFonts w:ascii="Arial" w:hAnsi="Arial" w:cs="Arial"/>
        <w:lang w:val="fr"/>
      </w:rPr>
      <w:fldChar w:fldCharType="begin"/>
    </w:r>
    <w:r>
      <w:rPr>
        <w:rFonts w:ascii="Arial" w:hAnsi="Arial" w:cs="Arial"/>
        <w:lang w:val="fr"/>
      </w:rPr>
      <w:instrText xml:space="preserve"> PAGE   \* MERGEFORMAT </w:instrText>
    </w:r>
    <w:r>
      <w:rPr>
        <w:rFonts w:ascii="Arial" w:hAnsi="Arial" w:cs="Arial"/>
        <w:lang w:val="fr"/>
      </w:rPr>
      <w:fldChar w:fldCharType="separate"/>
    </w:r>
    <w:r>
      <w:rPr>
        <w:rFonts w:ascii="Arial" w:hAnsi="Arial" w:cs="Arial"/>
        <w:noProof/>
        <w:lang w:val="fr"/>
      </w:rPr>
      <w:t>1</w:t>
    </w:r>
    <w:r>
      <w:rPr>
        <w:rFonts w:ascii="Arial" w:hAnsi="Arial" w:cs="Arial"/>
        <w:noProof/>
        <w:lang w:val="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FFFB2" w14:textId="77777777" w:rsidR="00345E7E" w:rsidRDefault="00345E7E" w:rsidP="002938F2">
      <w:r>
        <w:separator/>
      </w:r>
    </w:p>
  </w:footnote>
  <w:footnote w:type="continuationSeparator" w:id="0">
    <w:p w14:paraId="28A5C30F" w14:textId="77777777" w:rsidR="00345E7E" w:rsidRDefault="00345E7E" w:rsidP="002938F2">
      <w:r>
        <w:continuationSeparator/>
      </w:r>
    </w:p>
    <w:p w14:paraId="7A38D802" w14:textId="77777777" w:rsidR="00345E7E" w:rsidRDefault="00345E7E"/>
  </w:footnote>
  <w:footnote w:type="continuationNotice" w:id="1">
    <w:p w14:paraId="7E07D48C" w14:textId="77777777" w:rsidR="00345E7E" w:rsidRDefault="00345E7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25B28BB0"/>
    <w:lvl w:ilvl="0">
      <w:start w:val="1"/>
      <w:numFmt w:val="decimal"/>
      <w:lvlText w:val="%1"/>
      <w:lvlJc w:val="left"/>
      <w:pPr>
        <w:ind w:left="570" w:hanging="570"/>
      </w:pPr>
      <w:rPr>
        <w:rFonts w:hint="default"/>
      </w:rPr>
    </w:lvl>
    <w:lvl w:ilvl="1">
      <w:start w:val="1"/>
      <w:numFmt w:val="decimal"/>
      <w:lvlText w:val="%1.%2"/>
      <w:lvlJc w:val="left"/>
      <w:pPr>
        <w:ind w:left="570" w:hanging="57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B3952F9"/>
    <w:multiLevelType w:val="multilevel"/>
    <w:tmpl w:val="63F6707C"/>
    <w:lvl w:ilvl="0">
      <w:start w:val="19"/>
      <w:numFmt w:val="decimal"/>
      <w:lvlText w:val="%1"/>
      <w:lvlJc w:val="left"/>
      <w:pPr>
        <w:ind w:left="375" w:hanging="375"/>
      </w:pPr>
      <w:rPr>
        <w:rFonts w:hint="default"/>
      </w:rPr>
    </w:lvl>
    <w:lvl w:ilvl="1">
      <w:start w:val="1"/>
      <w:numFmt w:val="decimal"/>
      <w:lvlText w:val="%1.%2"/>
      <w:lvlJc w:val="left"/>
      <w:pPr>
        <w:ind w:left="945" w:hanging="375"/>
      </w:pPr>
      <w:rPr>
        <w:rFonts w:ascii="Arial" w:hAnsi="Arial" w:cs="Arial"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5"/>
  </w:num>
  <w:num w:numId="3">
    <w:abstractNumId w:val="11"/>
  </w:num>
  <w:num w:numId="4">
    <w:abstractNumId w:val="55"/>
  </w:num>
  <w:num w:numId="5">
    <w:abstractNumId w:val="46"/>
  </w:num>
  <w:num w:numId="6">
    <w:abstractNumId w:val="4"/>
  </w:num>
  <w:num w:numId="7">
    <w:abstractNumId w:val="15"/>
  </w:num>
  <w:num w:numId="8">
    <w:abstractNumId w:val="24"/>
  </w:num>
  <w:num w:numId="9">
    <w:abstractNumId w:val="49"/>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8"/>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3"/>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7"/>
  </w:num>
  <w:num w:numId="35">
    <w:abstractNumId w:val="20"/>
  </w:num>
  <w:num w:numId="36">
    <w:abstractNumId w:val="41"/>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8"/>
  </w:num>
  <w:num w:numId="44">
    <w:abstractNumId w:val="12"/>
  </w:num>
  <w:num w:numId="45">
    <w:abstractNumId w:val="52"/>
  </w:num>
  <w:num w:numId="46">
    <w:abstractNumId w:val="5"/>
  </w:num>
  <w:num w:numId="47">
    <w:abstractNumId w:val="35"/>
  </w:num>
  <w:num w:numId="48">
    <w:abstractNumId w:val="56"/>
  </w:num>
  <w:num w:numId="49">
    <w:abstractNumId w:val="31"/>
  </w:num>
  <w:num w:numId="50">
    <w:abstractNumId w:val="29"/>
  </w:num>
  <w:num w:numId="51">
    <w:abstractNumId w:val="26"/>
  </w:num>
  <w:num w:numId="52">
    <w:abstractNumId w:val="37"/>
  </w:num>
  <w:num w:numId="53">
    <w:abstractNumId w:val="14"/>
  </w:num>
  <w:num w:numId="54">
    <w:abstractNumId w:val="1"/>
  </w:num>
  <w:num w:numId="55">
    <w:abstractNumId w:val="33"/>
  </w:num>
  <w:num w:numId="56">
    <w:abstractNumId w:val="40"/>
  </w:num>
  <w:num w:numId="57">
    <w:abstractNumId w:val="0"/>
  </w:num>
  <w:num w:numId="58">
    <w:abstractNumId w:val="3"/>
  </w:num>
  <w:num w:numId="59">
    <w:abstractNumId w:val="44"/>
  </w:num>
  <w:num w:numId="60">
    <w:abstractNumId w:val="2"/>
  </w:num>
  <w:num w:numId="61">
    <w:abstractNumId w:val="30"/>
  </w:num>
  <w:num w:numId="62">
    <w:abstractNumId w:val="21"/>
  </w:num>
  <w:num w:numId="63">
    <w:abstractNumId w:val="48"/>
  </w:num>
  <w:num w:numId="64">
    <w:abstractNumId w:val="18"/>
  </w:num>
  <w:num w:numId="65">
    <w:abstractNumId w:val="23"/>
  </w:num>
  <w:num w:numId="66">
    <w:abstractNumId w:val="45"/>
  </w:num>
  <w:num w:numId="67">
    <w:abstractNumId w:val="36"/>
  </w:num>
  <w:num w:numId="68">
    <w:abstractNumId w:val="13"/>
  </w:num>
  <w:num w:numId="69">
    <w:abstractNumId w:val="42"/>
  </w:num>
  <w:num w:numId="70">
    <w:abstractNumId w:val="32"/>
  </w:num>
  <w:num w:numId="71">
    <w:abstractNumId w:val="27"/>
  </w:num>
  <w:num w:numId="72">
    <w:abstractNumId w:val="50"/>
  </w:num>
  <w:num w:numId="73">
    <w:abstractNumId w:val="7"/>
  </w:num>
  <w:num w:numId="74">
    <w:abstractNumId w:val="34"/>
  </w:num>
  <w:num w:numId="75">
    <w:abstractNumId w:val="3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4096" w:nlCheck="1" w:checkStyle="0"/>
  <w:activeWritingStyle w:appName="MSWord" w:lang="fr-FR" w:vendorID="64" w:dllVersion="0" w:nlCheck="1" w:checkStyle="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567"/>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BE"/>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5177"/>
    <w:rsid w:val="00047E58"/>
    <w:rsid w:val="00054FDC"/>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301DF"/>
    <w:rsid w:val="001359F2"/>
    <w:rsid w:val="001412DE"/>
    <w:rsid w:val="00142D78"/>
    <w:rsid w:val="00144A4D"/>
    <w:rsid w:val="00151351"/>
    <w:rsid w:val="00156788"/>
    <w:rsid w:val="001609A1"/>
    <w:rsid w:val="00162554"/>
    <w:rsid w:val="00163986"/>
    <w:rsid w:val="00163F68"/>
    <w:rsid w:val="00173B50"/>
    <w:rsid w:val="00173E0E"/>
    <w:rsid w:val="00174B39"/>
    <w:rsid w:val="00183F6C"/>
    <w:rsid w:val="00194802"/>
    <w:rsid w:val="00194AEB"/>
    <w:rsid w:val="001A431C"/>
    <w:rsid w:val="001A5519"/>
    <w:rsid w:val="001A7C3A"/>
    <w:rsid w:val="001B5C26"/>
    <w:rsid w:val="001C08BC"/>
    <w:rsid w:val="001C56BA"/>
    <w:rsid w:val="001C6D7D"/>
    <w:rsid w:val="001D00B5"/>
    <w:rsid w:val="001D1D5D"/>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136E"/>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3ED2"/>
    <w:rsid w:val="002B43D6"/>
    <w:rsid w:val="002B6B98"/>
    <w:rsid w:val="002C28BA"/>
    <w:rsid w:val="002C3B8F"/>
    <w:rsid w:val="002C444C"/>
    <w:rsid w:val="002C5021"/>
    <w:rsid w:val="002C5280"/>
    <w:rsid w:val="002C5C29"/>
    <w:rsid w:val="002D0802"/>
    <w:rsid w:val="002D396D"/>
    <w:rsid w:val="002D71D4"/>
    <w:rsid w:val="002D7C8D"/>
    <w:rsid w:val="002E113D"/>
    <w:rsid w:val="002F17E1"/>
    <w:rsid w:val="003043A9"/>
    <w:rsid w:val="0030454E"/>
    <w:rsid w:val="00320242"/>
    <w:rsid w:val="00322A3A"/>
    <w:rsid w:val="00324A32"/>
    <w:rsid w:val="00325D6E"/>
    <w:rsid w:val="00334977"/>
    <w:rsid w:val="00337194"/>
    <w:rsid w:val="00342EE8"/>
    <w:rsid w:val="00344D78"/>
    <w:rsid w:val="00345E7E"/>
    <w:rsid w:val="00346517"/>
    <w:rsid w:val="00351CCB"/>
    <w:rsid w:val="0035648A"/>
    <w:rsid w:val="00362B41"/>
    <w:rsid w:val="00363995"/>
    <w:rsid w:val="00364E5E"/>
    <w:rsid w:val="00370E9B"/>
    <w:rsid w:val="00373F8C"/>
    <w:rsid w:val="00377E4B"/>
    <w:rsid w:val="00383BA9"/>
    <w:rsid w:val="003845B0"/>
    <w:rsid w:val="00385B34"/>
    <w:rsid w:val="00386C08"/>
    <w:rsid w:val="00387D88"/>
    <w:rsid w:val="0039446E"/>
    <w:rsid w:val="003A260A"/>
    <w:rsid w:val="003A2BC4"/>
    <w:rsid w:val="003B31BE"/>
    <w:rsid w:val="003B504D"/>
    <w:rsid w:val="003B53BC"/>
    <w:rsid w:val="003C7065"/>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30ED2"/>
    <w:rsid w:val="00434773"/>
    <w:rsid w:val="004367F5"/>
    <w:rsid w:val="004458C9"/>
    <w:rsid w:val="00447C66"/>
    <w:rsid w:val="00453D45"/>
    <w:rsid w:val="00462F38"/>
    <w:rsid w:val="00471B34"/>
    <w:rsid w:val="00474AFE"/>
    <w:rsid w:val="00477E66"/>
    <w:rsid w:val="00480809"/>
    <w:rsid w:val="004831C7"/>
    <w:rsid w:val="00483520"/>
    <w:rsid w:val="00486A5E"/>
    <w:rsid w:val="00493F92"/>
    <w:rsid w:val="004A0C2B"/>
    <w:rsid w:val="004A610E"/>
    <w:rsid w:val="004C20E2"/>
    <w:rsid w:val="004D24FB"/>
    <w:rsid w:val="004D54E3"/>
    <w:rsid w:val="004D6FDE"/>
    <w:rsid w:val="004D776E"/>
    <w:rsid w:val="004E056C"/>
    <w:rsid w:val="004E2817"/>
    <w:rsid w:val="004E2AE8"/>
    <w:rsid w:val="004E418A"/>
    <w:rsid w:val="005016FB"/>
    <w:rsid w:val="00504256"/>
    <w:rsid w:val="00511D17"/>
    <w:rsid w:val="005157E2"/>
    <w:rsid w:val="0051699F"/>
    <w:rsid w:val="00516DE3"/>
    <w:rsid w:val="005300BF"/>
    <w:rsid w:val="0053176A"/>
    <w:rsid w:val="00532631"/>
    <w:rsid w:val="005414A1"/>
    <w:rsid w:val="0054175C"/>
    <w:rsid w:val="005473CF"/>
    <w:rsid w:val="005510BE"/>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D358A"/>
    <w:rsid w:val="005E3A3E"/>
    <w:rsid w:val="005E6A2B"/>
    <w:rsid w:val="005E7C7C"/>
    <w:rsid w:val="00601DD6"/>
    <w:rsid w:val="006032AE"/>
    <w:rsid w:val="00603F71"/>
    <w:rsid w:val="00605202"/>
    <w:rsid w:val="00621092"/>
    <w:rsid w:val="00621208"/>
    <w:rsid w:val="006244CB"/>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47"/>
    <w:rsid w:val="00673D90"/>
    <w:rsid w:val="00676C1E"/>
    <w:rsid w:val="00686D60"/>
    <w:rsid w:val="00691869"/>
    <w:rsid w:val="006A0D86"/>
    <w:rsid w:val="006A49AE"/>
    <w:rsid w:val="006A56C0"/>
    <w:rsid w:val="006C0911"/>
    <w:rsid w:val="006C737A"/>
    <w:rsid w:val="006D46FB"/>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4461"/>
    <w:rsid w:val="007368A2"/>
    <w:rsid w:val="007418AE"/>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90C65"/>
    <w:rsid w:val="0079316B"/>
    <w:rsid w:val="007A0565"/>
    <w:rsid w:val="007A0BF2"/>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0A8A"/>
    <w:rsid w:val="008029A6"/>
    <w:rsid w:val="008147BA"/>
    <w:rsid w:val="008155F3"/>
    <w:rsid w:val="008202BC"/>
    <w:rsid w:val="00820AA8"/>
    <w:rsid w:val="008269B0"/>
    <w:rsid w:val="0083067E"/>
    <w:rsid w:val="00832357"/>
    <w:rsid w:val="0083488D"/>
    <w:rsid w:val="008466C3"/>
    <w:rsid w:val="00846809"/>
    <w:rsid w:val="00851458"/>
    <w:rsid w:val="00861A47"/>
    <w:rsid w:val="008707FF"/>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7F60"/>
    <w:rsid w:val="008D3BF7"/>
    <w:rsid w:val="008D5918"/>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3A84"/>
    <w:rsid w:val="00946D71"/>
    <w:rsid w:val="009577E1"/>
    <w:rsid w:val="00971CA1"/>
    <w:rsid w:val="0097349C"/>
    <w:rsid w:val="009814C2"/>
    <w:rsid w:val="00982FFD"/>
    <w:rsid w:val="00985265"/>
    <w:rsid w:val="00985856"/>
    <w:rsid w:val="00986956"/>
    <w:rsid w:val="009A4969"/>
    <w:rsid w:val="009B066D"/>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50C7"/>
    <w:rsid w:val="00A2307A"/>
    <w:rsid w:val="00A33491"/>
    <w:rsid w:val="00A462C6"/>
    <w:rsid w:val="00A519A2"/>
    <w:rsid w:val="00A51BDC"/>
    <w:rsid w:val="00A535B7"/>
    <w:rsid w:val="00A5709F"/>
    <w:rsid w:val="00A616C4"/>
    <w:rsid w:val="00A61F20"/>
    <w:rsid w:val="00A64796"/>
    <w:rsid w:val="00A66CD4"/>
    <w:rsid w:val="00A70883"/>
    <w:rsid w:val="00A73680"/>
    <w:rsid w:val="00A77AEB"/>
    <w:rsid w:val="00A81F0A"/>
    <w:rsid w:val="00A85C7A"/>
    <w:rsid w:val="00A86042"/>
    <w:rsid w:val="00A95644"/>
    <w:rsid w:val="00AA36F9"/>
    <w:rsid w:val="00AA444A"/>
    <w:rsid w:val="00AB1528"/>
    <w:rsid w:val="00AC6A66"/>
    <w:rsid w:val="00AD6BD4"/>
    <w:rsid w:val="00AE1B18"/>
    <w:rsid w:val="00AE1D83"/>
    <w:rsid w:val="00AE2DFB"/>
    <w:rsid w:val="00AE3061"/>
    <w:rsid w:val="00AF15BA"/>
    <w:rsid w:val="00AF1C32"/>
    <w:rsid w:val="00AF65C6"/>
    <w:rsid w:val="00B11AE3"/>
    <w:rsid w:val="00B121A6"/>
    <w:rsid w:val="00B163F5"/>
    <w:rsid w:val="00B300B8"/>
    <w:rsid w:val="00B32A28"/>
    <w:rsid w:val="00B33904"/>
    <w:rsid w:val="00B3751E"/>
    <w:rsid w:val="00B427FE"/>
    <w:rsid w:val="00B51737"/>
    <w:rsid w:val="00B6102A"/>
    <w:rsid w:val="00B6167A"/>
    <w:rsid w:val="00B62ED0"/>
    <w:rsid w:val="00B64196"/>
    <w:rsid w:val="00B66A7A"/>
    <w:rsid w:val="00B70266"/>
    <w:rsid w:val="00B74304"/>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17FE4"/>
    <w:rsid w:val="00C21897"/>
    <w:rsid w:val="00C276EE"/>
    <w:rsid w:val="00C36823"/>
    <w:rsid w:val="00C43146"/>
    <w:rsid w:val="00C43757"/>
    <w:rsid w:val="00C43BCE"/>
    <w:rsid w:val="00C47CF1"/>
    <w:rsid w:val="00C52006"/>
    <w:rsid w:val="00C53AB4"/>
    <w:rsid w:val="00C542F1"/>
    <w:rsid w:val="00C572B3"/>
    <w:rsid w:val="00C57CA1"/>
    <w:rsid w:val="00C6300B"/>
    <w:rsid w:val="00C6426B"/>
    <w:rsid w:val="00C6478B"/>
    <w:rsid w:val="00C77C20"/>
    <w:rsid w:val="00C87194"/>
    <w:rsid w:val="00C90629"/>
    <w:rsid w:val="00C90C51"/>
    <w:rsid w:val="00C936F6"/>
    <w:rsid w:val="00CA3ED6"/>
    <w:rsid w:val="00CA7CF4"/>
    <w:rsid w:val="00CB0F37"/>
    <w:rsid w:val="00CB1135"/>
    <w:rsid w:val="00CB2984"/>
    <w:rsid w:val="00CB590B"/>
    <w:rsid w:val="00CC02C5"/>
    <w:rsid w:val="00CC2BC6"/>
    <w:rsid w:val="00CC3AAB"/>
    <w:rsid w:val="00CD324E"/>
    <w:rsid w:val="00CD4A28"/>
    <w:rsid w:val="00CD54BD"/>
    <w:rsid w:val="00CD6C36"/>
    <w:rsid w:val="00CE2586"/>
    <w:rsid w:val="00CF05D7"/>
    <w:rsid w:val="00CF34A6"/>
    <w:rsid w:val="00CF3ABF"/>
    <w:rsid w:val="00CF3F93"/>
    <w:rsid w:val="00D020F3"/>
    <w:rsid w:val="00D02CC3"/>
    <w:rsid w:val="00D04515"/>
    <w:rsid w:val="00D065AD"/>
    <w:rsid w:val="00D22831"/>
    <w:rsid w:val="00D35EAC"/>
    <w:rsid w:val="00D404B7"/>
    <w:rsid w:val="00D443DC"/>
    <w:rsid w:val="00D44509"/>
    <w:rsid w:val="00D448CB"/>
    <w:rsid w:val="00D47226"/>
    <w:rsid w:val="00D47ED5"/>
    <w:rsid w:val="00D61779"/>
    <w:rsid w:val="00D73DB6"/>
    <w:rsid w:val="00D809E5"/>
    <w:rsid w:val="00D81948"/>
    <w:rsid w:val="00D90819"/>
    <w:rsid w:val="00D93291"/>
    <w:rsid w:val="00D9501F"/>
    <w:rsid w:val="00DB50D5"/>
    <w:rsid w:val="00DC5537"/>
    <w:rsid w:val="00DC6795"/>
    <w:rsid w:val="00DD11EE"/>
    <w:rsid w:val="00DD52A0"/>
    <w:rsid w:val="00DE44D2"/>
    <w:rsid w:val="00DE5590"/>
    <w:rsid w:val="00DE6364"/>
    <w:rsid w:val="00DE68C1"/>
    <w:rsid w:val="00DF1D9E"/>
    <w:rsid w:val="00DF3DA3"/>
    <w:rsid w:val="00DF5DA4"/>
    <w:rsid w:val="00E06492"/>
    <w:rsid w:val="00E065CE"/>
    <w:rsid w:val="00E06A00"/>
    <w:rsid w:val="00E12A54"/>
    <w:rsid w:val="00E13E03"/>
    <w:rsid w:val="00E22B99"/>
    <w:rsid w:val="00E24A9D"/>
    <w:rsid w:val="00E258D9"/>
    <w:rsid w:val="00E35B8C"/>
    <w:rsid w:val="00E439CA"/>
    <w:rsid w:val="00E46DDB"/>
    <w:rsid w:val="00E473F3"/>
    <w:rsid w:val="00E5219B"/>
    <w:rsid w:val="00E56905"/>
    <w:rsid w:val="00E64BE4"/>
    <w:rsid w:val="00E85565"/>
    <w:rsid w:val="00E87F91"/>
    <w:rsid w:val="00E94BC6"/>
    <w:rsid w:val="00EA0563"/>
    <w:rsid w:val="00EA198F"/>
    <w:rsid w:val="00EA2EA1"/>
    <w:rsid w:val="00EA3CB9"/>
    <w:rsid w:val="00EA59EB"/>
    <w:rsid w:val="00EA67F3"/>
    <w:rsid w:val="00EB48F8"/>
    <w:rsid w:val="00ED0C60"/>
    <w:rsid w:val="00ED3D26"/>
    <w:rsid w:val="00ED5218"/>
    <w:rsid w:val="00EE1D9D"/>
    <w:rsid w:val="00EF0BCB"/>
    <w:rsid w:val="00EF0E74"/>
    <w:rsid w:val="00EF2549"/>
    <w:rsid w:val="00F00E8A"/>
    <w:rsid w:val="00F16242"/>
    <w:rsid w:val="00F17FCB"/>
    <w:rsid w:val="00F226CC"/>
    <w:rsid w:val="00F24D71"/>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941F0"/>
    <w:rsid w:val="00F97FF5"/>
    <w:rsid w:val="00FA7CE6"/>
    <w:rsid w:val="00FB1313"/>
    <w:rsid w:val="00FB24A9"/>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63894B"/>
  <w15:docId w15:val="{A116D783-485C-4F08-931D-7C391A71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spacing w:after="0"/>
    </w:pPr>
  </w:style>
  <w:style w:type="character" w:customStyle="1" w:styleId="En-tteCar">
    <w:name w:val="En-tête Car"/>
    <w:link w:val="En-tte"/>
    <w:uiPriority w:val="99"/>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uiPriority w:val="99"/>
    <w:rsid w:val="00B11AE3"/>
    <w:rPr>
      <w:sz w:val="16"/>
      <w:szCs w:val="16"/>
    </w:rPr>
  </w:style>
  <w:style w:type="paragraph" w:styleId="Commentaire">
    <w:name w:val="annotation text"/>
    <w:basedOn w:val="Normal"/>
    <w:link w:val="CommentaireCar"/>
    <w:uiPriority w:val="99"/>
    <w:rsid w:val="00B11AE3"/>
    <w:rPr>
      <w:sz w:val="20"/>
      <w:szCs w:val="20"/>
    </w:rPr>
  </w:style>
  <w:style w:type="character" w:customStyle="1" w:styleId="CommentaireCar">
    <w:name w:val="Commentaire Car"/>
    <w:link w:val="Commentaire"/>
    <w:uiPriority w:val="99"/>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uiPriority w:val="99"/>
    <w:rsid w:val="00B11AE3"/>
    <w:rPr>
      <w:b/>
      <w:bCs/>
    </w:rPr>
  </w:style>
  <w:style w:type="character" w:customStyle="1" w:styleId="ObjetducommentaireCar">
    <w:name w:val="Objet du commentaire Car"/>
    <w:link w:val="Objetducommentaire"/>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Lienhypertexte">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Notedebasdepage">
    <w:name w:val="footnote text"/>
    <w:basedOn w:val="Normal"/>
    <w:link w:val="NotedebasdepageCar"/>
    <w:uiPriority w:val="99"/>
    <w:unhideWhenUsed/>
    <w:rsid w:val="00210CBC"/>
    <w:pPr>
      <w:spacing w:after="0"/>
    </w:pPr>
    <w:rPr>
      <w:sz w:val="20"/>
      <w:szCs w:val="20"/>
    </w:rPr>
  </w:style>
  <w:style w:type="character" w:customStyle="1" w:styleId="NotedebasdepageCar">
    <w:name w:val="Note de bas de page Car"/>
    <w:link w:val="Notedebasdepage"/>
    <w:uiPriority w:val="99"/>
    <w:rsid w:val="00210CBC"/>
    <w:rPr>
      <w:rFonts w:ascii="Times New Roman" w:eastAsia="Times New Roman" w:hAnsi="Times New Roman"/>
      <w:lang w:val="en-GB"/>
    </w:rPr>
  </w:style>
  <w:style w:type="character" w:styleId="Appelnotedebasdep">
    <w:name w:val="footnote reference"/>
    <w:uiPriority w:val="99"/>
    <w:semiHidden/>
    <w:unhideWhenUsed/>
    <w:rsid w:val="00210CBC"/>
    <w:rPr>
      <w:vertAlign w:val="superscript"/>
    </w:rPr>
  </w:style>
  <w:style w:type="character" w:styleId="Lienhypertextesuivivisit">
    <w:name w:val="FollowedHyperlink"/>
    <w:semiHidden/>
    <w:unhideWhenUsed/>
    <w:rsid w:val="00B62ED0"/>
    <w:rPr>
      <w:color w:val="800080"/>
      <w:u w:val="single"/>
    </w:rPr>
  </w:style>
  <w:style w:type="paragraph" w:styleId="R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Paragraphedeliste">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auNormal"/>
    <w:next w:val="Grilledutableau"/>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47226"/>
    <w:pPr>
      <w:spacing w:after="0"/>
    </w:pPr>
    <w:rPr>
      <w:rFonts w:ascii="Calibri" w:eastAsia="Calibri" w:hAnsi="Calibri"/>
      <w:sz w:val="20"/>
      <w:szCs w:val="20"/>
      <w:lang w:val="en-US" w:eastAsia="en-US"/>
    </w:rPr>
  </w:style>
  <w:style w:type="character" w:customStyle="1" w:styleId="NotedefinCar">
    <w:name w:val="Note de fin Car"/>
    <w:link w:val="Notedefin"/>
    <w:uiPriority w:val="99"/>
    <w:semiHidden/>
    <w:rsid w:val="00D47226"/>
    <w:rPr>
      <w:rFonts w:ascii="Calibri" w:eastAsia="Calibri" w:hAnsi="Calibri" w:cs="Times New Roman"/>
      <w:lang w:val="en-US" w:eastAsia="en-US"/>
    </w:rPr>
  </w:style>
  <w:style w:type="character" w:styleId="Appeldenotedefin">
    <w:name w:val="endnote reference"/>
    <w:uiPriority w:val="99"/>
    <w:semiHidden/>
    <w:unhideWhenUsed/>
    <w:rsid w:val="00D47226"/>
    <w:rPr>
      <w:vertAlign w:val="superscript"/>
    </w:rPr>
  </w:style>
  <w:style w:type="character" w:customStyle="1" w:styleId="UnresolvedMention1">
    <w:name w:val="Unresolved Mention1"/>
    <w:basedOn w:val="Policepardfaut"/>
    <w:uiPriority w:val="99"/>
    <w:semiHidden/>
    <w:unhideWhenUsed/>
    <w:rsid w:val="009C0510"/>
    <w:rPr>
      <w:color w:val="605E5C"/>
      <w:shd w:val="clear" w:color="auto" w:fill="E1DFDD"/>
    </w:rPr>
  </w:style>
  <w:style w:type="character" w:customStyle="1" w:styleId="UnresolvedMention2">
    <w:name w:val="Unresolved Mention2"/>
    <w:basedOn w:val="Policepardfaut"/>
    <w:uiPriority w:val="99"/>
    <w:semiHidden/>
    <w:unhideWhenUsed/>
    <w:rsid w:val="00704766"/>
    <w:rPr>
      <w:color w:val="605E5C"/>
      <w:shd w:val="clear" w:color="auto" w:fill="E1DFDD"/>
    </w:rPr>
  </w:style>
  <w:style w:type="paragraph" w:customStyle="1" w:styleId="Footnote">
    <w:name w:val="Footnote"/>
    <w:basedOn w:val="Notedefin"/>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Policepardfaut"/>
    <w:uiPriority w:val="99"/>
    <w:semiHidden/>
    <w:unhideWhenUsed/>
    <w:rsid w:val="00AC6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D662A-8B41-4EE4-A9E1-B23812ED3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template_20190423.dotx</Template>
  <TotalTime>0</TotalTime>
  <Pages>2</Pages>
  <Words>719</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Shabanaj, Adelaida</cp:lastModifiedBy>
  <cp:revision>6</cp:revision>
  <dcterms:created xsi:type="dcterms:W3CDTF">2021-05-10T14:41:00Z</dcterms:created>
  <dcterms:modified xsi:type="dcterms:W3CDTF">2021-07-27T13:20:00Z</dcterms:modified>
</cp:coreProperties>
</file>