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891B9" w14:textId="5C26CBB1" w:rsidR="000A0709" w:rsidRPr="003E535D" w:rsidRDefault="005B14AB" w:rsidP="00E4340C">
      <w:pPr>
        <w:pageBreakBefore/>
        <w:tabs>
          <w:tab w:val="right" w:pos="7118"/>
        </w:tabs>
        <w:bidi/>
        <w:jc w:val="center"/>
        <w:rPr>
          <w:rFonts w:asciiTheme="majorBidi" w:hAnsiTheme="majorBidi" w:cstheme="majorBidi"/>
          <w:b/>
          <w:bCs/>
          <w:sz w:val="24"/>
          <w:szCs w:val="28"/>
          <w:lang w:val="en-US"/>
        </w:rPr>
      </w:pPr>
      <w:r w:rsidRPr="00FA4B21">
        <w:rPr>
          <w:rFonts w:asciiTheme="majorBidi" w:hAnsiTheme="majorBidi" w:cstheme="majorBidi"/>
          <w:b/>
          <w:bCs/>
          <w:sz w:val="24"/>
          <w:szCs w:val="28"/>
          <w:rtl/>
        </w:rPr>
        <w:t>اللمحة العامة والأسس المنطقية</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3"/>
        <w:gridCol w:w="6582"/>
        <w:gridCol w:w="1533"/>
      </w:tblGrid>
      <w:tr w:rsidR="005473CF" w:rsidRPr="00EC4F3D" w14:paraId="55AC04EF" w14:textId="77777777" w:rsidTr="00652A6F">
        <w:trPr>
          <w:cantSplit/>
        </w:trPr>
        <w:tc>
          <w:tcPr>
            <w:tcW w:w="786" w:type="pct"/>
            <w:shd w:val="clear" w:color="auto" w:fill="auto"/>
          </w:tcPr>
          <w:p w14:paraId="0F8B3A21" w14:textId="48D4019F" w:rsidR="005473CF" w:rsidRPr="006E2325" w:rsidRDefault="005B14AB" w:rsidP="00E4340C">
            <w:pPr>
              <w:bidi/>
              <w:spacing w:before="120"/>
              <w:rPr>
                <w:rFonts w:asciiTheme="majorBidi" w:hAnsiTheme="majorBidi" w:cstheme="majorBidi"/>
                <w:bCs/>
                <w:sz w:val="24"/>
              </w:rPr>
            </w:pPr>
            <w:r w:rsidRPr="006E2325">
              <w:rPr>
                <w:rFonts w:asciiTheme="majorBidi" w:hAnsiTheme="majorBidi" w:cstheme="majorBidi"/>
                <w:bCs/>
                <w:sz w:val="24"/>
                <w:rtl/>
              </w:rPr>
              <w:t>المؤشر</w:t>
            </w:r>
          </w:p>
        </w:tc>
        <w:tc>
          <w:tcPr>
            <w:tcW w:w="4214" w:type="pct"/>
            <w:gridSpan w:val="2"/>
            <w:shd w:val="clear" w:color="auto" w:fill="auto"/>
          </w:tcPr>
          <w:p w14:paraId="6B41C83F" w14:textId="350FD797" w:rsidR="007D049C" w:rsidRPr="006E2325" w:rsidRDefault="00EC4F3D" w:rsidP="00E4340C">
            <w:pPr>
              <w:pStyle w:val="ListParagraph"/>
              <w:keepLines/>
              <w:numPr>
                <w:ilvl w:val="0"/>
                <w:numId w:val="76"/>
              </w:numPr>
              <w:bidi/>
              <w:spacing w:before="120"/>
              <w:jc w:val="both"/>
              <w:rPr>
                <w:rFonts w:asciiTheme="majorBidi" w:hAnsiTheme="majorBidi" w:cstheme="majorBidi"/>
                <w:b/>
                <w:bCs/>
                <w:sz w:val="24"/>
                <w:szCs w:val="24"/>
                <w:lang w:val="en-GB"/>
              </w:rPr>
            </w:pPr>
            <w:r w:rsidRPr="006E2325">
              <w:rPr>
                <w:rFonts w:asciiTheme="majorBidi" w:hAnsiTheme="majorBidi"/>
                <w:b/>
                <w:bCs/>
                <w:sz w:val="24"/>
                <w:szCs w:val="24"/>
                <w:rtl/>
              </w:rPr>
              <w:t>مدى دعم البرامج لتعزيز القدرات البشرية لتشجيع صون التراث الثقافي غير المادي وإدارته</w:t>
            </w:r>
          </w:p>
        </w:tc>
      </w:tr>
      <w:tr w:rsidR="005B0FE5" w:rsidRPr="00EC4F3D" w14:paraId="1D753E4A" w14:textId="77777777" w:rsidTr="00652A6F">
        <w:trPr>
          <w:cantSplit/>
        </w:trPr>
        <w:tc>
          <w:tcPr>
            <w:tcW w:w="786" w:type="pct"/>
            <w:vMerge w:val="restart"/>
            <w:shd w:val="clear" w:color="auto" w:fill="auto"/>
          </w:tcPr>
          <w:p w14:paraId="43461BF7" w14:textId="1D53553C" w:rsidR="005B0FE5" w:rsidRPr="006E2325" w:rsidRDefault="005B14AB" w:rsidP="00E4340C">
            <w:pPr>
              <w:bidi/>
              <w:spacing w:before="120"/>
              <w:rPr>
                <w:rFonts w:asciiTheme="majorBidi" w:hAnsiTheme="majorBidi" w:cstheme="majorBidi"/>
                <w:bCs/>
                <w:sz w:val="24"/>
              </w:rPr>
            </w:pPr>
            <w:r w:rsidRPr="006E2325">
              <w:rPr>
                <w:rFonts w:asciiTheme="majorBidi" w:hAnsiTheme="majorBidi" w:cstheme="majorBidi"/>
                <w:bCs/>
                <w:sz w:val="24"/>
                <w:rtl/>
              </w:rPr>
              <w:t>عوامل التقييم الشامل</w:t>
            </w:r>
          </w:p>
        </w:tc>
        <w:tc>
          <w:tcPr>
            <w:tcW w:w="4214" w:type="pct"/>
            <w:gridSpan w:val="2"/>
            <w:shd w:val="clear" w:color="auto" w:fill="auto"/>
          </w:tcPr>
          <w:p w14:paraId="73ABB615" w14:textId="54CABABB" w:rsidR="005B0FE5" w:rsidRPr="006E2325" w:rsidRDefault="00E02099" w:rsidP="00E4340C">
            <w:pPr>
              <w:keepLines/>
              <w:bidi/>
              <w:spacing w:before="120"/>
              <w:jc w:val="both"/>
              <w:rPr>
                <w:rFonts w:asciiTheme="majorBidi" w:hAnsiTheme="majorBidi" w:cstheme="majorBidi"/>
                <w:b/>
                <w:sz w:val="24"/>
              </w:rPr>
            </w:pPr>
            <w:r w:rsidRPr="006E2325">
              <w:rPr>
                <w:rFonts w:asciiTheme="majorBidi" w:hAnsiTheme="majorBidi" w:cstheme="majorBidi"/>
                <w:sz w:val="24"/>
                <w:rtl/>
              </w:rPr>
              <w:t>يتم تقييم هذا المؤشر على أساس ثلاثة عوامل على ال</w:t>
            </w:r>
            <w:r w:rsidR="001C58BF" w:rsidRPr="006E2325">
              <w:rPr>
                <w:rFonts w:asciiTheme="majorBidi" w:hAnsiTheme="majorBidi" w:cstheme="majorBidi" w:hint="cs"/>
                <w:sz w:val="24"/>
                <w:rtl/>
              </w:rPr>
              <w:t>صعيد</w:t>
            </w:r>
            <w:r w:rsidRPr="006E2325">
              <w:rPr>
                <w:rFonts w:asciiTheme="majorBidi" w:hAnsiTheme="majorBidi" w:cstheme="majorBidi"/>
                <w:sz w:val="24"/>
                <w:rtl/>
              </w:rPr>
              <w:t xml:space="preserve"> القطري ترصدها كل دولة طرف و</w:t>
            </w:r>
            <w:r w:rsidR="00FB0B5B" w:rsidRPr="006E2325">
              <w:rPr>
                <w:rFonts w:asciiTheme="majorBidi" w:hAnsiTheme="majorBidi" w:cstheme="majorBidi" w:hint="cs"/>
                <w:sz w:val="24"/>
                <w:rtl/>
                <w:lang w:bidi="ar-EG"/>
              </w:rPr>
              <w:t>ت</w:t>
            </w:r>
            <w:r w:rsidR="008E7410">
              <w:rPr>
                <w:rFonts w:asciiTheme="majorBidi" w:hAnsiTheme="majorBidi" w:cstheme="majorBidi" w:hint="cs"/>
                <w:sz w:val="24"/>
                <w:rtl/>
                <w:lang w:bidi="ar-EG"/>
              </w:rPr>
              <w:t>عد التقرير</w:t>
            </w:r>
            <w:r w:rsidR="00FB0B5B" w:rsidRPr="006E2325">
              <w:rPr>
                <w:rFonts w:asciiTheme="majorBidi" w:hAnsiTheme="majorBidi" w:cstheme="majorBidi" w:hint="cs"/>
                <w:sz w:val="24"/>
                <w:rtl/>
                <w:lang w:bidi="ar-EG"/>
              </w:rPr>
              <w:t xml:space="preserve"> عنها</w:t>
            </w:r>
            <w:r w:rsidRPr="006E2325">
              <w:rPr>
                <w:rFonts w:asciiTheme="majorBidi" w:hAnsiTheme="majorBidi" w:cstheme="majorBidi"/>
                <w:sz w:val="24"/>
                <w:rtl/>
              </w:rPr>
              <w:t>:</w:t>
            </w:r>
          </w:p>
        </w:tc>
      </w:tr>
      <w:tr w:rsidR="00DD1FAF" w:rsidRPr="00EC4F3D" w14:paraId="09968D5D" w14:textId="77777777" w:rsidTr="00652A6F">
        <w:trPr>
          <w:cantSplit/>
        </w:trPr>
        <w:tc>
          <w:tcPr>
            <w:tcW w:w="786" w:type="pct"/>
            <w:vMerge/>
            <w:shd w:val="clear" w:color="auto" w:fill="auto"/>
          </w:tcPr>
          <w:p w14:paraId="35E35DB2" w14:textId="77777777" w:rsidR="00DD1FAF" w:rsidRPr="006E2325" w:rsidRDefault="00DD1FAF" w:rsidP="00E4340C">
            <w:pPr>
              <w:bidi/>
              <w:spacing w:before="120"/>
              <w:rPr>
                <w:rFonts w:asciiTheme="majorBidi" w:hAnsiTheme="majorBidi" w:cstheme="majorBidi"/>
                <w:bCs/>
                <w:sz w:val="24"/>
              </w:rPr>
            </w:pPr>
          </w:p>
        </w:tc>
        <w:tc>
          <w:tcPr>
            <w:tcW w:w="3418" w:type="pct"/>
            <w:shd w:val="clear" w:color="auto" w:fill="auto"/>
            <w:vAlign w:val="center"/>
          </w:tcPr>
          <w:p w14:paraId="6E8E5412" w14:textId="10600707" w:rsidR="00D43343" w:rsidRPr="006E2325" w:rsidRDefault="00EC4F3D" w:rsidP="00E4340C">
            <w:pPr>
              <w:keepLines/>
              <w:bidi/>
              <w:spacing w:before="120"/>
              <w:jc w:val="both"/>
              <w:rPr>
                <w:rFonts w:asciiTheme="majorBidi" w:hAnsiTheme="majorBidi" w:cstheme="majorBidi"/>
                <w:sz w:val="24"/>
              </w:rPr>
            </w:pPr>
            <w:r w:rsidRPr="006E2325">
              <w:rPr>
                <w:rFonts w:asciiTheme="majorBidi" w:hAnsiTheme="majorBidi" w:hint="cs"/>
                <w:sz w:val="24"/>
                <w:rtl/>
              </w:rPr>
              <w:t>2</w:t>
            </w:r>
            <w:r w:rsidRPr="006E2325">
              <w:rPr>
                <w:rFonts w:asciiTheme="majorBidi" w:hAnsiTheme="majorBidi"/>
                <w:sz w:val="24"/>
                <w:rtl/>
              </w:rPr>
              <w:t>-1 تقديم مؤسّسات التعليم الجامعي لمناهج وشهادات في صون التراث الثقافي غير المادي وإدارته على أساس شامل.</w:t>
            </w:r>
          </w:p>
        </w:tc>
        <w:tc>
          <w:tcPr>
            <w:tcW w:w="796" w:type="pct"/>
            <w:shd w:val="clear" w:color="auto" w:fill="auto"/>
            <w:vAlign w:val="center"/>
          </w:tcPr>
          <w:p w14:paraId="22FB3169" w14:textId="28B26461" w:rsidR="00B84C65" w:rsidRPr="006E2325" w:rsidRDefault="00B84C65" w:rsidP="00E4340C">
            <w:pPr>
              <w:keepLines/>
              <w:bidi/>
              <w:spacing w:before="120"/>
              <w:jc w:val="both"/>
              <w:rPr>
                <w:rFonts w:asciiTheme="majorBidi" w:hAnsiTheme="majorBidi" w:cstheme="majorBidi"/>
                <w:sz w:val="24"/>
                <w:rtl/>
              </w:rPr>
            </w:pPr>
            <w:r w:rsidRPr="006E2325">
              <w:rPr>
                <w:rFonts w:asciiTheme="majorBidi" w:hAnsiTheme="majorBidi" w:cstheme="majorBidi"/>
                <w:sz w:val="24"/>
                <w:rtl/>
              </w:rPr>
              <w:t>المادة 14 (أ) (3)</w:t>
            </w:r>
          </w:p>
          <w:p w14:paraId="51497190" w14:textId="2D6826B1" w:rsidR="00DD1FAF" w:rsidRPr="006E2325" w:rsidRDefault="00B84C65" w:rsidP="00E4340C">
            <w:pPr>
              <w:keepLines/>
              <w:bidi/>
              <w:spacing w:before="120"/>
              <w:jc w:val="both"/>
              <w:rPr>
                <w:rFonts w:asciiTheme="majorBidi" w:hAnsiTheme="majorBidi" w:cstheme="majorBidi"/>
                <w:sz w:val="24"/>
              </w:rPr>
            </w:pPr>
            <w:r w:rsidRPr="006E2325">
              <w:rPr>
                <w:rFonts w:asciiTheme="majorBidi" w:hAnsiTheme="majorBidi" w:cstheme="majorBidi"/>
                <w:sz w:val="24"/>
                <w:rtl/>
              </w:rPr>
              <w:t xml:space="preserve">التوجيه </w:t>
            </w:r>
            <w:r w:rsidR="000D2B91" w:rsidRPr="006E2325">
              <w:rPr>
                <w:rFonts w:asciiTheme="majorBidi" w:hAnsiTheme="majorBidi" w:cstheme="majorBidi" w:hint="cs"/>
                <w:sz w:val="24"/>
                <w:rtl/>
              </w:rPr>
              <w:t>التنفيذي</w:t>
            </w:r>
            <w:r w:rsidRPr="006E2325">
              <w:rPr>
                <w:rFonts w:asciiTheme="majorBidi" w:hAnsiTheme="majorBidi" w:cstheme="majorBidi"/>
                <w:sz w:val="24"/>
                <w:rtl/>
              </w:rPr>
              <w:t xml:space="preserve"> 107 (ك)</w:t>
            </w:r>
          </w:p>
        </w:tc>
      </w:tr>
      <w:tr w:rsidR="00DD1FAF" w:rsidRPr="00EC4F3D" w14:paraId="6AC7F934" w14:textId="77777777" w:rsidTr="00652A6F">
        <w:trPr>
          <w:cantSplit/>
        </w:trPr>
        <w:tc>
          <w:tcPr>
            <w:tcW w:w="786" w:type="pct"/>
            <w:vMerge/>
            <w:shd w:val="clear" w:color="auto" w:fill="auto"/>
          </w:tcPr>
          <w:p w14:paraId="6FB9D969" w14:textId="77777777" w:rsidR="00DD1FAF" w:rsidRPr="006E2325" w:rsidRDefault="00DD1FAF" w:rsidP="00E4340C">
            <w:pPr>
              <w:bidi/>
              <w:spacing w:before="120"/>
              <w:rPr>
                <w:rFonts w:asciiTheme="majorBidi" w:hAnsiTheme="majorBidi" w:cstheme="majorBidi"/>
                <w:bCs/>
                <w:sz w:val="24"/>
              </w:rPr>
            </w:pPr>
          </w:p>
        </w:tc>
        <w:tc>
          <w:tcPr>
            <w:tcW w:w="3418" w:type="pct"/>
            <w:shd w:val="clear" w:color="auto" w:fill="auto"/>
            <w:vAlign w:val="center"/>
          </w:tcPr>
          <w:p w14:paraId="47D68CED" w14:textId="50906705" w:rsidR="00933CE8" w:rsidRPr="006E2325" w:rsidRDefault="00EC4F3D" w:rsidP="00E4340C">
            <w:pPr>
              <w:keepLines/>
              <w:bidi/>
              <w:spacing w:before="120"/>
              <w:jc w:val="both"/>
              <w:rPr>
                <w:rFonts w:asciiTheme="majorBidi" w:hAnsiTheme="majorBidi" w:cstheme="majorBidi"/>
                <w:sz w:val="24"/>
              </w:rPr>
            </w:pPr>
            <w:r w:rsidRPr="006E2325">
              <w:rPr>
                <w:rFonts w:asciiTheme="majorBidi" w:hAnsiTheme="majorBidi"/>
                <w:sz w:val="24"/>
                <w:rtl/>
              </w:rPr>
              <w:t>2-2 توفير المؤسّسات والمراكز والهيئات الحكومية الأخرى للتدريب على صون التراث الثقافي غير المادي وإدارته على أساس شامل.</w:t>
            </w:r>
          </w:p>
        </w:tc>
        <w:tc>
          <w:tcPr>
            <w:tcW w:w="796" w:type="pct"/>
            <w:shd w:val="clear" w:color="auto" w:fill="auto"/>
            <w:vAlign w:val="center"/>
          </w:tcPr>
          <w:p w14:paraId="0CE93CA3" w14:textId="1EE24565" w:rsidR="00DD1FAF" w:rsidRPr="006E2325" w:rsidRDefault="00B84C65" w:rsidP="00E4340C">
            <w:pPr>
              <w:keepLines/>
              <w:bidi/>
              <w:spacing w:before="120"/>
              <w:jc w:val="both"/>
              <w:rPr>
                <w:rFonts w:asciiTheme="majorBidi" w:hAnsiTheme="majorBidi" w:cstheme="majorBidi"/>
                <w:sz w:val="24"/>
                <w:lang w:val="en-US"/>
              </w:rPr>
            </w:pPr>
            <w:r w:rsidRPr="006E2325">
              <w:rPr>
                <w:rFonts w:asciiTheme="majorBidi" w:hAnsiTheme="majorBidi" w:cstheme="majorBidi"/>
                <w:sz w:val="24"/>
                <w:rtl/>
              </w:rPr>
              <w:t>المادة 14 (أ) (3)</w:t>
            </w:r>
          </w:p>
        </w:tc>
      </w:tr>
      <w:tr w:rsidR="00DD1FAF" w:rsidRPr="00EC4F3D" w14:paraId="059AAAB8" w14:textId="77777777" w:rsidTr="00652A6F">
        <w:trPr>
          <w:cantSplit/>
        </w:trPr>
        <w:tc>
          <w:tcPr>
            <w:tcW w:w="786" w:type="pct"/>
            <w:vMerge/>
            <w:shd w:val="clear" w:color="auto" w:fill="auto"/>
          </w:tcPr>
          <w:p w14:paraId="14B01E61" w14:textId="77777777" w:rsidR="00DD1FAF" w:rsidRPr="006E2325" w:rsidRDefault="00DD1FAF" w:rsidP="00E4340C">
            <w:pPr>
              <w:bidi/>
              <w:spacing w:before="120"/>
              <w:rPr>
                <w:rFonts w:asciiTheme="majorBidi" w:hAnsiTheme="majorBidi" w:cstheme="majorBidi"/>
                <w:bCs/>
                <w:sz w:val="24"/>
              </w:rPr>
            </w:pPr>
          </w:p>
        </w:tc>
        <w:tc>
          <w:tcPr>
            <w:tcW w:w="3418" w:type="pct"/>
            <w:shd w:val="clear" w:color="auto" w:fill="auto"/>
            <w:vAlign w:val="center"/>
          </w:tcPr>
          <w:p w14:paraId="438A24AA" w14:textId="1534B082" w:rsidR="005E51FF" w:rsidRPr="006E2325" w:rsidRDefault="00EC4F3D" w:rsidP="00E4340C">
            <w:pPr>
              <w:keepLines/>
              <w:bidi/>
              <w:spacing w:before="120"/>
              <w:jc w:val="both"/>
              <w:rPr>
                <w:rFonts w:asciiTheme="majorBidi" w:hAnsiTheme="majorBidi" w:cstheme="majorBidi"/>
                <w:sz w:val="24"/>
              </w:rPr>
            </w:pPr>
            <w:r w:rsidRPr="006E2325">
              <w:rPr>
                <w:rFonts w:asciiTheme="majorBidi" w:hAnsiTheme="majorBidi" w:cstheme="majorBidi"/>
                <w:color w:val="000000" w:themeColor="text1"/>
                <w:kern w:val="24"/>
                <w:sz w:val="24"/>
                <w:rtl/>
                <w:lang w:bidi="ar-EG"/>
              </w:rPr>
              <w:t>2-3 تقديم مبادرات الجماعات أو المنظمات غير الحكومية للتدريب على صون التراث الثقافي غير المادي وإدارته على أساس شامل.</w:t>
            </w:r>
          </w:p>
        </w:tc>
        <w:tc>
          <w:tcPr>
            <w:tcW w:w="796" w:type="pct"/>
            <w:shd w:val="clear" w:color="auto" w:fill="auto"/>
            <w:vAlign w:val="center"/>
          </w:tcPr>
          <w:p w14:paraId="25AD54CB" w14:textId="7B29432B" w:rsidR="00DD1FAF" w:rsidRPr="006E2325" w:rsidRDefault="00B84C65" w:rsidP="00E4340C">
            <w:pPr>
              <w:keepLines/>
              <w:bidi/>
              <w:spacing w:before="120"/>
              <w:jc w:val="both"/>
              <w:rPr>
                <w:rFonts w:asciiTheme="majorBidi" w:hAnsiTheme="majorBidi" w:cstheme="majorBidi"/>
                <w:sz w:val="24"/>
              </w:rPr>
            </w:pPr>
            <w:r w:rsidRPr="006E2325">
              <w:rPr>
                <w:rFonts w:asciiTheme="majorBidi" w:hAnsiTheme="majorBidi" w:cstheme="majorBidi"/>
                <w:sz w:val="24"/>
                <w:rtl/>
              </w:rPr>
              <w:t>المادة 14 (أ) (3)</w:t>
            </w:r>
          </w:p>
        </w:tc>
      </w:tr>
      <w:tr w:rsidR="005473CF" w:rsidRPr="00EC4F3D" w14:paraId="5DB3A022" w14:textId="77777777" w:rsidTr="00652A6F">
        <w:trPr>
          <w:cantSplit/>
        </w:trPr>
        <w:tc>
          <w:tcPr>
            <w:tcW w:w="786" w:type="pct"/>
            <w:shd w:val="clear" w:color="auto" w:fill="auto"/>
          </w:tcPr>
          <w:p w14:paraId="19940673" w14:textId="1416FFFD" w:rsidR="005473CF" w:rsidRPr="006E2325" w:rsidRDefault="005B14AB" w:rsidP="00E4340C">
            <w:pPr>
              <w:bidi/>
              <w:spacing w:before="120"/>
              <w:rPr>
                <w:rFonts w:asciiTheme="majorBidi" w:hAnsiTheme="majorBidi" w:cstheme="majorBidi"/>
                <w:bCs/>
                <w:sz w:val="24"/>
              </w:rPr>
            </w:pPr>
            <w:r w:rsidRPr="006E2325">
              <w:rPr>
                <w:rFonts w:asciiTheme="majorBidi" w:hAnsiTheme="majorBidi" w:cstheme="majorBidi"/>
                <w:bCs/>
                <w:sz w:val="24"/>
                <w:rtl/>
              </w:rPr>
              <w:t>العلاقة مع أهداف التنمية المستدامة والمؤشرات الأخرى</w:t>
            </w:r>
          </w:p>
        </w:tc>
        <w:tc>
          <w:tcPr>
            <w:tcW w:w="4214" w:type="pct"/>
            <w:gridSpan w:val="2"/>
            <w:shd w:val="clear" w:color="auto" w:fill="auto"/>
          </w:tcPr>
          <w:p w14:paraId="61118D3E" w14:textId="198AFA8F" w:rsidR="00FA4B21" w:rsidRPr="006E2325" w:rsidRDefault="00FA4B21" w:rsidP="00E4340C">
            <w:pPr>
              <w:keepLines/>
              <w:bidi/>
              <w:spacing w:before="120"/>
              <w:jc w:val="both"/>
              <w:rPr>
                <w:rFonts w:asciiTheme="majorBidi" w:hAnsiTheme="majorBidi" w:cstheme="majorBidi"/>
                <w:sz w:val="24"/>
                <w:rtl/>
              </w:rPr>
            </w:pPr>
            <w:r w:rsidRPr="006E2325">
              <w:rPr>
                <w:rFonts w:asciiTheme="majorBidi" w:hAnsiTheme="majorBidi" w:cstheme="majorBidi"/>
                <w:b/>
                <w:bCs/>
                <w:sz w:val="24"/>
                <w:rtl/>
              </w:rPr>
              <w:t xml:space="preserve">أهداف التنمية المستدامة: </w:t>
            </w:r>
            <w:r w:rsidRPr="006E2325">
              <w:rPr>
                <w:rFonts w:asciiTheme="majorBidi" w:hAnsiTheme="majorBidi" w:cstheme="majorBidi"/>
                <w:sz w:val="24"/>
                <w:rtl/>
              </w:rPr>
              <w:t>يستجيب هذا المؤشر برمته ل</w:t>
            </w:r>
            <w:r w:rsidR="0080763D" w:rsidRPr="006E2325">
              <w:rPr>
                <w:rFonts w:asciiTheme="majorBidi" w:hAnsiTheme="majorBidi" w:cstheme="majorBidi" w:hint="cs"/>
                <w:sz w:val="24"/>
                <w:rtl/>
              </w:rPr>
              <w:t>ل</w:t>
            </w:r>
            <w:r w:rsidRPr="006E2325">
              <w:rPr>
                <w:rFonts w:asciiTheme="majorBidi" w:hAnsiTheme="majorBidi" w:cstheme="majorBidi"/>
                <w:sz w:val="24"/>
                <w:rtl/>
              </w:rPr>
              <w:t>غاية 11-4</w:t>
            </w:r>
            <w:r w:rsidR="0080763D" w:rsidRPr="006E2325">
              <w:rPr>
                <w:rFonts w:asciiTheme="majorBidi" w:hAnsiTheme="majorBidi" w:cstheme="majorBidi" w:hint="cs"/>
                <w:sz w:val="24"/>
                <w:rtl/>
              </w:rPr>
              <w:t xml:space="preserve"> </w:t>
            </w:r>
            <w:r w:rsidR="0080763D" w:rsidRPr="006E2325">
              <w:rPr>
                <w:rFonts w:asciiTheme="majorBidi" w:hAnsiTheme="majorBidi"/>
                <w:sz w:val="24"/>
                <w:rtl/>
              </w:rPr>
              <w:t>من أهداف التنمية المستدامة</w:t>
            </w:r>
            <w:r w:rsidRPr="006E2325">
              <w:rPr>
                <w:rFonts w:asciiTheme="majorBidi" w:hAnsiTheme="majorBidi" w:cstheme="majorBidi"/>
                <w:sz w:val="24"/>
                <w:rtl/>
              </w:rPr>
              <w:t>، "تعزيز الجهود الرامية إلى حماية وصون التراث الثقافي والطبيعي العالمي" في حالة استفادة دولة طرف نامية من الدعم الدولي لجهودها في مجال بناء القدرات. كما يستجيب هذا المؤشر ل</w:t>
            </w:r>
            <w:r w:rsidR="003F73AF" w:rsidRPr="006E2325">
              <w:rPr>
                <w:rFonts w:asciiTheme="majorBidi" w:hAnsiTheme="majorBidi" w:cstheme="majorBidi" w:hint="cs"/>
                <w:sz w:val="24"/>
                <w:rtl/>
                <w:lang w:bidi="ar-EG"/>
              </w:rPr>
              <w:t>ل</w:t>
            </w:r>
            <w:r w:rsidRPr="006E2325">
              <w:rPr>
                <w:rFonts w:asciiTheme="majorBidi" w:hAnsiTheme="majorBidi" w:cstheme="majorBidi"/>
                <w:sz w:val="24"/>
                <w:rtl/>
              </w:rPr>
              <w:t>غاية 17-9</w:t>
            </w:r>
            <w:r w:rsidR="0080763D" w:rsidRPr="006E2325">
              <w:rPr>
                <w:rFonts w:asciiTheme="majorBidi" w:hAnsiTheme="majorBidi" w:cstheme="majorBidi" w:hint="cs"/>
                <w:sz w:val="24"/>
                <w:rtl/>
              </w:rPr>
              <w:t xml:space="preserve"> </w:t>
            </w:r>
            <w:r w:rsidR="0080763D" w:rsidRPr="006E2325">
              <w:rPr>
                <w:rFonts w:asciiTheme="majorBidi" w:hAnsiTheme="majorBidi"/>
                <w:sz w:val="24"/>
                <w:rtl/>
              </w:rPr>
              <w:t>من أهداف التنمية المستدامة</w:t>
            </w:r>
            <w:r w:rsidRPr="006E2325">
              <w:rPr>
                <w:rFonts w:asciiTheme="majorBidi" w:hAnsiTheme="majorBidi" w:cstheme="majorBidi"/>
                <w:sz w:val="24"/>
                <w:rtl/>
              </w:rPr>
              <w:t>، والتي تركز على "الدعم الدولي لتنفيذ بناء القدرات في البلدان النامية تنفيذًا فعالًا ومحدد الأهداف" لتعزيز التنفيذ الوطني لأهداف التنمية المستدامة. كما أنه يكمل الغاية 4-7 من أهداف التنمية المست</w:t>
            </w:r>
            <w:r w:rsidR="002330F3" w:rsidRPr="006E2325">
              <w:rPr>
                <w:rFonts w:asciiTheme="majorBidi" w:hAnsiTheme="majorBidi" w:cstheme="majorBidi"/>
                <w:sz w:val="24"/>
                <w:rtl/>
              </w:rPr>
              <w:t>دامة، وال</w:t>
            </w:r>
            <w:r w:rsidR="002330F3" w:rsidRPr="006E2325">
              <w:rPr>
                <w:rFonts w:asciiTheme="majorBidi" w:hAnsiTheme="majorBidi" w:cstheme="majorBidi" w:hint="cs"/>
                <w:sz w:val="24"/>
                <w:rtl/>
              </w:rPr>
              <w:t>ت</w:t>
            </w:r>
            <w:r w:rsidR="002330F3" w:rsidRPr="006E2325">
              <w:rPr>
                <w:rFonts w:asciiTheme="majorBidi" w:hAnsiTheme="majorBidi" w:cstheme="majorBidi"/>
                <w:sz w:val="24"/>
                <w:rtl/>
              </w:rPr>
              <w:t xml:space="preserve">ي </w:t>
            </w:r>
            <w:r w:rsidR="002330F3" w:rsidRPr="006E2325">
              <w:rPr>
                <w:rFonts w:asciiTheme="majorBidi" w:hAnsiTheme="majorBidi" w:cstheme="majorBidi" w:hint="cs"/>
                <w:sz w:val="24"/>
                <w:rtl/>
              </w:rPr>
              <w:t>ت</w:t>
            </w:r>
            <w:r w:rsidRPr="006E2325">
              <w:rPr>
                <w:rFonts w:asciiTheme="majorBidi" w:hAnsiTheme="majorBidi" w:cstheme="majorBidi"/>
                <w:sz w:val="24"/>
                <w:rtl/>
              </w:rPr>
              <w:t>شير إلى اكتساب المتعلمين "المعارف والمهارات اللازمة لدعم التنمية المستدامة ... [ولا سيما] تقدير مساهمة الثقافة في التنمية المستدامة".</w:t>
            </w:r>
          </w:p>
          <w:p w14:paraId="3F8147FE" w14:textId="24B806D4" w:rsidR="005473CF" w:rsidRPr="006E2325" w:rsidRDefault="00273FED" w:rsidP="00E4340C">
            <w:pPr>
              <w:keepLines/>
              <w:bidi/>
              <w:spacing w:before="120"/>
              <w:jc w:val="both"/>
              <w:rPr>
                <w:rFonts w:asciiTheme="majorBidi" w:hAnsiTheme="majorBidi" w:cstheme="majorBidi"/>
                <w:bCs/>
                <w:sz w:val="24"/>
              </w:rPr>
            </w:pPr>
            <w:r w:rsidRPr="006E2325">
              <w:rPr>
                <w:rFonts w:asciiTheme="majorBidi" w:hAnsiTheme="majorBidi"/>
                <w:bCs/>
                <w:sz w:val="24"/>
                <w:rtl/>
              </w:rPr>
              <w:t>العلاقة بالمؤشرات الأخرى:</w:t>
            </w:r>
            <w:r w:rsidRPr="006E2325">
              <w:rPr>
                <w:rFonts w:asciiTheme="majorBidi" w:hAnsiTheme="majorBidi"/>
                <w:b/>
                <w:sz w:val="24"/>
                <w:rtl/>
              </w:rPr>
              <w:t xml:space="preserve"> يتعلق هذا المؤشر بالتدريب المتخصص حول </w:t>
            </w:r>
            <w:r w:rsidR="00287AB9" w:rsidRPr="006E2325">
              <w:rPr>
                <w:rFonts w:asciiTheme="majorBidi" w:hAnsiTheme="majorBidi" w:hint="cs"/>
                <w:b/>
                <w:sz w:val="24"/>
                <w:rtl/>
              </w:rPr>
              <w:t>صون</w:t>
            </w:r>
            <w:r w:rsidRPr="006E2325">
              <w:rPr>
                <w:rFonts w:asciiTheme="majorBidi" w:hAnsiTheme="majorBidi"/>
                <w:b/>
                <w:sz w:val="24"/>
                <w:rtl/>
              </w:rPr>
              <w:t xml:space="preserve"> التراث الثقافي غير المادي وإدارته في مرحلة ما بعد المرحلة الثانوية، فضلاً عن فرص التدريب قصيرة الأجل التي قد لا تؤدي في نهاية المطاف إلى</w:t>
            </w:r>
            <w:r w:rsidR="003E535D" w:rsidRPr="006E2325">
              <w:rPr>
                <w:rFonts w:asciiTheme="majorBidi" w:hAnsiTheme="majorBidi" w:hint="cs"/>
                <w:b/>
                <w:sz w:val="24"/>
                <w:rtl/>
                <w:lang w:bidi="ar-EG"/>
              </w:rPr>
              <w:t xml:space="preserve"> شهادة</w:t>
            </w:r>
            <w:r w:rsidRPr="006E2325">
              <w:rPr>
                <w:rFonts w:asciiTheme="majorBidi" w:hAnsiTheme="majorBidi"/>
                <w:b/>
                <w:sz w:val="24"/>
                <w:rtl/>
              </w:rPr>
              <w:t xml:space="preserve">، مع التركيز على توافر </w:t>
            </w:r>
            <w:r w:rsidR="003E535D" w:rsidRPr="006E2325">
              <w:rPr>
                <w:rFonts w:asciiTheme="majorBidi" w:hAnsiTheme="majorBidi" w:hint="cs"/>
                <w:b/>
                <w:sz w:val="24"/>
                <w:rtl/>
              </w:rPr>
              <w:t>نطاق</w:t>
            </w:r>
            <w:r w:rsidRPr="006E2325">
              <w:rPr>
                <w:rFonts w:asciiTheme="majorBidi" w:hAnsiTheme="majorBidi"/>
                <w:b/>
                <w:sz w:val="24"/>
                <w:rtl/>
              </w:rPr>
              <w:t xml:space="preserve"> متنوع من هذه الفرص. يستهدف المؤشر 3 جمهور هذه البرامج التدريبية وفعاليتها. </w:t>
            </w:r>
            <w:r w:rsidR="008003ED" w:rsidRPr="006E2325">
              <w:rPr>
                <w:rFonts w:asciiTheme="majorBidi" w:hAnsiTheme="majorBidi" w:hint="cs"/>
                <w:b/>
                <w:sz w:val="24"/>
                <w:rtl/>
              </w:rPr>
              <w:t>تتناول</w:t>
            </w:r>
            <w:r w:rsidRPr="006E2325">
              <w:rPr>
                <w:rFonts w:asciiTheme="majorBidi" w:hAnsiTheme="majorBidi"/>
                <w:b/>
                <w:sz w:val="24"/>
                <w:rtl/>
              </w:rPr>
              <w:t xml:space="preserve"> المؤشرات 4</w:t>
            </w:r>
            <w:r w:rsidR="003E535D" w:rsidRPr="006E2325">
              <w:rPr>
                <w:rFonts w:asciiTheme="majorBidi" w:hAnsiTheme="majorBidi" w:hint="cs"/>
                <w:b/>
                <w:sz w:val="24"/>
                <w:rtl/>
              </w:rPr>
              <w:t>،</w:t>
            </w:r>
            <w:r w:rsidRPr="006E2325">
              <w:rPr>
                <w:rFonts w:asciiTheme="majorBidi" w:hAnsiTheme="majorBidi"/>
                <w:b/>
                <w:sz w:val="24"/>
                <w:rtl/>
              </w:rPr>
              <w:t xml:space="preserve"> و5</w:t>
            </w:r>
            <w:r w:rsidR="003E535D" w:rsidRPr="006E2325">
              <w:rPr>
                <w:rFonts w:asciiTheme="majorBidi" w:hAnsiTheme="majorBidi" w:hint="cs"/>
                <w:b/>
                <w:sz w:val="24"/>
                <w:rtl/>
              </w:rPr>
              <w:t>،</w:t>
            </w:r>
            <w:r w:rsidRPr="006E2325">
              <w:rPr>
                <w:rFonts w:asciiTheme="majorBidi" w:hAnsiTheme="majorBidi"/>
                <w:b/>
                <w:sz w:val="24"/>
                <w:rtl/>
              </w:rPr>
              <w:t xml:space="preserve"> و6 البرامج التعليمية في المراحل الابتدائية، والثانوية، وما بعد الثانوية التي عادة ما لا تركز على صون التراث الثقافي غير المادي وإ</w:t>
            </w:r>
            <w:r w:rsidR="006B543D" w:rsidRPr="006E2325">
              <w:rPr>
                <w:rFonts w:asciiTheme="majorBidi" w:hAnsiTheme="majorBidi"/>
                <w:b/>
                <w:sz w:val="24"/>
                <w:rtl/>
              </w:rPr>
              <w:t>دارته، ولكن</w:t>
            </w:r>
            <w:r w:rsidR="003E535D" w:rsidRPr="006E2325">
              <w:rPr>
                <w:rFonts w:asciiTheme="majorBidi" w:hAnsiTheme="majorBidi" w:hint="cs"/>
                <w:b/>
                <w:sz w:val="24"/>
                <w:rtl/>
              </w:rPr>
              <w:t>ها</w:t>
            </w:r>
            <w:r w:rsidR="006B543D" w:rsidRPr="006E2325">
              <w:rPr>
                <w:rFonts w:asciiTheme="majorBidi" w:hAnsiTheme="majorBidi"/>
                <w:b/>
                <w:sz w:val="24"/>
                <w:rtl/>
              </w:rPr>
              <w:t xml:space="preserve"> تستهدف ممارس</w:t>
            </w:r>
            <w:r w:rsidR="003E535D" w:rsidRPr="006E2325">
              <w:rPr>
                <w:rFonts w:asciiTheme="majorBidi" w:hAnsiTheme="majorBidi" w:hint="cs"/>
                <w:b/>
                <w:sz w:val="24"/>
                <w:rtl/>
              </w:rPr>
              <w:t>ته</w:t>
            </w:r>
            <w:r w:rsidR="006B543D" w:rsidRPr="006E2325">
              <w:rPr>
                <w:rFonts w:asciiTheme="majorBidi" w:hAnsiTheme="majorBidi"/>
                <w:b/>
                <w:sz w:val="24"/>
                <w:rtl/>
              </w:rPr>
              <w:t xml:space="preserve"> ونقل</w:t>
            </w:r>
            <w:r w:rsidR="003E535D" w:rsidRPr="006E2325">
              <w:rPr>
                <w:rFonts w:asciiTheme="majorBidi" w:hAnsiTheme="majorBidi" w:hint="cs"/>
                <w:b/>
                <w:sz w:val="24"/>
                <w:rtl/>
              </w:rPr>
              <w:t xml:space="preserve">ه، </w:t>
            </w:r>
            <w:r w:rsidRPr="006E2325">
              <w:rPr>
                <w:rFonts w:asciiTheme="majorBidi" w:hAnsiTheme="majorBidi"/>
                <w:b/>
                <w:sz w:val="24"/>
                <w:rtl/>
              </w:rPr>
              <w:t>فضلاً عن تعزيز احترامًا أكبر له.</w:t>
            </w:r>
          </w:p>
        </w:tc>
      </w:tr>
      <w:tr w:rsidR="00896177" w:rsidRPr="00EC4F3D" w14:paraId="179DB465" w14:textId="77777777" w:rsidTr="00652A6F">
        <w:trPr>
          <w:cantSplit/>
        </w:trPr>
        <w:tc>
          <w:tcPr>
            <w:tcW w:w="786" w:type="pct"/>
            <w:shd w:val="clear" w:color="auto" w:fill="auto"/>
          </w:tcPr>
          <w:p w14:paraId="4F130F6B" w14:textId="5C549891" w:rsidR="00896177" w:rsidRPr="006E2325" w:rsidRDefault="005B14AB" w:rsidP="00E4340C">
            <w:pPr>
              <w:bidi/>
              <w:spacing w:before="120"/>
              <w:rPr>
                <w:rFonts w:asciiTheme="majorBidi" w:hAnsiTheme="majorBidi" w:cstheme="majorBidi"/>
                <w:bCs/>
                <w:sz w:val="24"/>
              </w:rPr>
            </w:pPr>
            <w:r w:rsidRPr="006E2325">
              <w:rPr>
                <w:rFonts w:asciiTheme="majorBidi" w:hAnsiTheme="majorBidi" w:cstheme="majorBidi"/>
                <w:bCs/>
                <w:sz w:val="24"/>
                <w:rtl/>
              </w:rPr>
              <w:t xml:space="preserve">الأسس المنطقية </w:t>
            </w:r>
            <w:r w:rsidR="004A38E1" w:rsidRPr="006E2325">
              <w:rPr>
                <w:rFonts w:asciiTheme="majorBidi" w:hAnsiTheme="majorBidi" w:cstheme="majorBidi" w:hint="cs"/>
                <w:bCs/>
                <w:sz w:val="24"/>
                <w:rtl/>
              </w:rPr>
              <w:t>للإجراءا</w:t>
            </w:r>
            <w:r w:rsidR="00B4349D" w:rsidRPr="006E2325">
              <w:rPr>
                <w:rFonts w:asciiTheme="majorBidi" w:hAnsiTheme="majorBidi" w:cstheme="majorBidi" w:hint="cs"/>
                <w:bCs/>
                <w:sz w:val="24"/>
                <w:rtl/>
              </w:rPr>
              <w:t>ت</w:t>
            </w:r>
          </w:p>
        </w:tc>
        <w:tc>
          <w:tcPr>
            <w:tcW w:w="4214" w:type="pct"/>
            <w:gridSpan w:val="2"/>
            <w:shd w:val="clear" w:color="auto" w:fill="auto"/>
          </w:tcPr>
          <w:p w14:paraId="29435842" w14:textId="5CD6A43F" w:rsidR="00704766" w:rsidRPr="006E2325" w:rsidRDefault="006B543D" w:rsidP="00E4340C">
            <w:pPr>
              <w:keepLines/>
              <w:bidi/>
              <w:spacing w:before="120"/>
              <w:jc w:val="both"/>
              <w:rPr>
                <w:rFonts w:asciiTheme="majorBidi" w:hAnsiTheme="majorBidi" w:cstheme="majorBidi"/>
                <w:sz w:val="24"/>
              </w:rPr>
            </w:pPr>
            <w:r w:rsidRPr="006E2325">
              <w:rPr>
                <w:rFonts w:asciiTheme="majorBidi" w:hAnsiTheme="majorBidi"/>
                <w:sz w:val="24"/>
                <w:rtl/>
              </w:rPr>
              <w:t>يعد بناء القدرات من أجل صون التراث الثقافي غير المادي حاجة مستمرة لجميع الدول، سواء كانت لديها خبرة طويلة في صون التراث الثقافي غير المادي أو تولت هذه المهمة مؤخرًا. يمكن معالجة الحاجة إلى تعزيز القدرات البشرية من خلال التدريب الأكاديمي الذي تقدمه الكليات والجامعات، ويمكن معالجتها من خلال التدريب قصير الأجل الذي تقدمه المؤسسات والهيئات الحكومية بأنواعها، بما في ذلك المنظمات غير الحكومية أو ال</w:t>
            </w:r>
            <w:r w:rsidR="00192D29" w:rsidRPr="006E2325">
              <w:rPr>
                <w:rFonts w:asciiTheme="majorBidi" w:hAnsiTheme="majorBidi" w:hint="cs"/>
                <w:sz w:val="24"/>
                <w:rtl/>
              </w:rPr>
              <w:t>جماعية</w:t>
            </w:r>
            <w:r w:rsidRPr="006E2325">
              <w:rPr>
                <w:rFonts w:asciiTheme="majorBidi" w:hAnsiTheme="majorBidi"/>
                <w:sz w:val="24"/>
                <w:rtl/>
              </w:rPr>
              <w:t xml:space="preserve">. أما فيما يتعلق بجميع أنواع التدريب وبناء القدرات، تعتبر الشمولية ضرورية، نظرًا لأهمية المشاركة على أوسع نطاق ممكن من </w:t>
            </w:r>
            <w:r w:rsidR="000B228F" w:rsidRPr="006E2325">
              <w:rPr>
                <w:rFonts w:asciiTheme="majorBidi" w:hAnsiTheme="majorBidi"/>
                <w:sz w:val="24"/>
                <w:rtl/>
              </w:rPr>
              <w:t>الجماعات</w:t>
            </w:r>
            <w:r w:rsidRPr="006E2325">
              <w:rPr>
                <w:rFonts w:asciiTheme="majorBidi" w:hAnsiTheme="majorBidi"/>
                <w:sz w:val="24"/>
                <w:rtl/>
              </w:rPr>
              <w:t>، والمجموعات، والأفراد في صون التراث الثقافي غير المادي وإدارته (المادة 15).</w:t>
            </w:r>
          </w:p>
        </w:tc>
      </w:tr>
      <w:tr w:rsidR="00704766" w:rsidRPr="00EC4F3D" w14:paraId="20770F56" w14:textId="77777777" w:rsidTr="00652A6F">
        <w:trPr>
          <w:cantSplit/>
        </w:trPr>
        <w:tc>
          <w:tcPr>
            <w:tcW w:w="786" w:type="pct"/>
            <w:shd w:val="clear" w:color="auto" w:fill="auto"/>
          </w:tcPr>
          <w:p w14:paraId="18ECD952" w14:textId="62EED3B9" w:rsidR="00704766" w:rsidRPr="006E2325" w:rsidRDefault="00D46724" w:rsidP="00E4340C">
            <w:pPr>
              <w:bidi/>
              <w:spacing w:before="120" w:after="60"/>
              <w:jc w:val="both"/>
              <w:rPr>
                <w:rFonts w:asciiTheme="majorBidi" w:hAnsiTheme="majorBidi" w:cstheme="majorBidi"/>
                <w:bCs/>
                <w:sz w:val="24"/>
              </w:rPr>
            </w:pPr>
            <w:r w:rsidRPr="006E2325">
              <w:rPr>
                <w:rFonts w:asciiTheme="majorBidi" w:hAnsiTheme="majorBidi" w:cstheme="majorBidi" w:hint="cs"/>
                <w:bCs/>
                <w:sz w:val="24"/>
                <w:rtl/>
                <w:lang w:bidi="ar-EG"/>
              </w:rPr>
              <w:t>ال</w:t>
            </w:r>
            <w:r w:rsidR="005B14AB" w:rsidRPr="006E2325">
              <w:rPr>
                <w:rFonts w:asciiTheme="majorBidi" w:hAnsiTheme="majorBidi" w:cstheme="majorBidi"/>
                <w:bCs/>
                <w:sz w:val="24"/>
                <w:rtl/>
              </w:rPr>
              <w:t xml:space="preserve">مصطلحات </w:t>
            </w:r>
            <w:r w:rsidRPr="006E2325">
              <w:rPr>
                <w:rFonts w:asciiTheme="majorBidi" w:hAnsiTheme="majorBidi" w:cstheme="majorBidi" w:hint="cs"/>
                <w:bCs/>
                <w:sz w:val="24"/>
                <w:rtl/>
              </w:rPr>
              <w:t>ال</w:t>
            </w:r>
            <w:r w:rsidR="005B14AB" w:rsidRPr="006E2325">
              <w:rPr>
                <w:rFonts w:asciiTheme="majorBidi" w:hAnsiTheme="majorBidi" w:cstheme="majorBidi"/>
                <w:bCs/>
                <w:sz w:val="24"/>
                <w:rtl/>
              </w:rPr>
              <w:t>رئيسية</w:t>
            </w:r>
          </w:p>
        </w:tc>
        <w:tc>
          <w:tcPr>
            <w:tcW w:w="4214" w:type="pct"/>
            <w:gridSpan w:val="2"/>
            <w:shd w:val="clear" w:color="auto" w:fill="auto"/>
          </w:tcPr>
          <w:p w14:paraId="02DB50E1" w14:textId="39FD5D08" w:rsidR="009741B9" w:rsidRPr="006E2325" w:rsidRDefault="008664E0" w:rsidP="00E4340C">
            <w:pPr>
              <w:pStyle w:val="ListParagraph"/>
              <w:numPr>
                <w:ilvl w:val="0"/>
                <w:numId w:val="71"/>
              </w:numPr>
              <w:bidi/>
              <w:spacing w:before="120"/>
              <w:jc w:val="both"/>
              <w:rPr>
                <w:rFonts w:asciiTheme="majorBidi" w:hAnsiTheme="majorBidi" w:cstheme="majorBidi"/>
                <w:sz w:val="24"/>
                <w:szCs w:val="24"/>
                <w:lang w:val="en-GB"/>
              </w:rPr>
            </w:pPr>
            <w:r w:rsidRPr="006E2325">
              <w:rPr>
                <w:rFonts w:asciiTheme="majorBidi" w:hAnsiTheme="majorBidi"/>
                <w:sz w:val="24"/>
                <w:szCs w:val="24"/>
                <w:rtl/>
                <w:lang w:val="en-GB"/>
              </w:rPr>
              <w:t>شامل/ شمولي</w:t>
            </w:r>
            <w:r w:rsidR="00192D29" w:rsidRPr="006E2325">
              <w:rPr>
                <w:rFonts w:asciiTheme="majorBidi" w:hAnsiTheme="majorBidi" w:hint="cs"/>
                <w:sz w:val="24"/>
                <w:szCs w:val="24"/>
                <w:rtl/>
                <w:lang w:val="en-GB" w:bidi="ar-EG"/>
              </w:rPr>
              <w:t>ة</w:t>
            </w:r>
          </w:p>
          <w:p w14:paraId="32BA670F" w14:textId="7B4090F5" w:rsidR="009741B9" w:rsidRPr="006E2325" w:rsidRDefault="004A38E1" w:rsidP="00E4340C">
            <w:pPr>
              <w:pStyle w:val="ListParagraph"/>
              <w:numPr>
                <w:ilvl w:val="0"/>
                <w:numId w:val="71"/>
              </w:numPr>
              <w:bidi/>
              <w:spacing w:before="120"/>
              <w:jc w:val="both"/>
              <w:rPr>
                <w:rFonts w:asciiTheme="majorBidi" w:hAnsiTheme="majorBidi" w:cstheme="majorBidi"/>
                <w:sz w:val="24"/>
                <w:szCs w:val="24"/>
                <w:lang w:val="en-GB"/>
              </w:rPr>
            </w:pPr>
            <w:r w:rsidRPr="006E2325">
              <w:rPr>
                <w:rFonts w:asciiTheme="majorBidi" w:hAnsiTheme="majorBidi" w:hint="cs"/>
                <w:sz w:val="24"/>
                <w:szCs w:val="24"/>
                <w:rtl/>
                <w:lang w:val="en-GB"/>
              </w:rPr>
              <w:t>ال</w:t>
            </w:r>
            <w:r w:rsidR="009741B9" w:rsidRPr="006E2325">
              <w:rPr>
                <w:rFonts w:asciiTheme="majorBidi" w:hAnsiTheme="majorBidi"/>
                <w:sz w:val="24"/>
                <w:szCs w:val="24"/>
                <w:rtl/>
                <w:lang w:val="en-GB"/>
              </w:rPr>
              <w:t>تدريب</w:t>
            </w:r>
          </w:p>
          <w:p w14:paraId="34108172" w14:textId="60386403" w:rsidR="009741B9" w:rsidRPr="006E2325" w:rsidRDefault="004A38E1" w:rsidP="00E4340C">
            <w:pPr>
              <w:pStyle w:val="ListParagraph"/>
              <w:numPr>
                <w:ilvl w:val="0"/>
                <w:numId w:val="71"/>
              </w:numPr>
              <w:bidi/>
              <w:spacing w:before="120"/>
              <w:jc w:val="both"/>
              <w:rPr>
                <w:rFonts w:asciiTheme="majorBidi" w:hAnsiTheme="majorBidi" w:cstheme="majorBidi"/>
                <w:sz w:val="24"/>
                <w:szCs w:val="24"/>
                <w:lang w:val="en-GB"/>
              </w:rPr>
            </w:pPr>
            <w:r w:rsidRPr="006E2325">
              <w:rPr>
                <w:rFonts w:asciiTheme="majorBidi" w:hAnsiTheme="majorBidi" w:hint="cs"/>
                <w:sz w:val="24"/>
                <w:szCs w:val="24"/>
                <w:rtl/>
                <w:lang w:val="en-GB"/>
              </w:rPr>
              <w:t>ال</w:t>
            </w:r>
            <w:r w:rsidR="008664E0" w:rsidRPr="006E2325">
              <w:rPr>
                <w:rFonts w:asciiTheme="majorBidi" w:hAnsiTheme="majorBidi"/>
                <w:sz w:val="24"/>
                <w:szCs w:val="24"/>
                <w:rtl/>
                <w:lang w:val="en-GB"/>
              </w:rPr>
              <w:t xml:space="preserve">منظمات غير </w:t>
            </w:r>
            <w:r w:rsidRPr="006E2325">
              <w:rPr>
                <w:rFonts w:asciiTheme="majorBidi" w:hAnsiTheme="majorBidi" w:hint="cs"/>
                <w:sz w:val="24"/>
                <w:szCs w:val="24"/>
                <w:rtl/>
                <w:lang w:val="en-GB"/>
              </w:rPr>
              <w:t>ال</w:t>
            </w:r>
            <w:r w:rsidR="008664E0" w:rsidRPr="006E2325">
              <w:rPr>
                <w:rFonts w:asciiTheme="majorBidi" w:hAnsiTheme="majorBidi"/>
                <w:sz w:val="24"/>
                <w:szCs w:val="24"/>
                <w:rtl/>
                <w:lang w:val="en-GB"/>
              </w:rPr>
              <w:t xml:space="preserve">حكومية/ </w:t>
            </w:r>
            <w:r w:rsidR="00192D29" w:rsidRPr="006E2325">
              <w:rPr>
                <w:rFonts w:asciiTheme="majorBidi" w:hAnsiTheme="majorBidi" w:hint="cs"/>
                <w:sz w:val="24"/>
                <w:szCs w:val="24"/>
                <w:rtl/>
                <w:lang w:val="en-GB"/>
              </w:rPr>
              <w:t>الجماعات</w:t>
            </w:r>
          </w:p>
          <w:p w14:paraId="7842B878" w14:textId="77777777" w:rsidR="009741B9" w:rsidRPr="006E2325" w:rsidRDefault="009741B9" w:rsidP="00E4340C">
            <w:pPr>
              <w:pStyle w:val="ListParagraph"/>
              <w:numPr>
                <w:ilvl w:val="0"/>
                <w:numId w:val="71"/>
              </w:numPr>
              <w:bidi/>
              <w:spacing w:before="120"/>
              <w:jc w:val="both"/>
              <w:rPr>
                <w:rFonts w:asciiTheme="majorBidi" w:hAnsiTheme="majorBidi" w:cstheme="majorBidi"/>
                <w:sz w:val="24"/>
                <w:szCs w:val="24"/>
                <w:lang w:val="en-GB"/>
              </w:rPr>
            </w:pPr>
            <w:r w:rsidRPr="006E2325">
              <w:rPr>
                <w:rFonts w:asciiTheme="majorBidi" w:hAnsiTheme="majorBidi"/>
                <w:sz w:val="24"/>
                <w:szCs w:val="24"/>
                <w:rtl/>
                <w:lang w:val="en-GB"/>
              </w:rPr>
              <w:t>بناء القدرات</w:t>
            </w:r>
          </w:p>
          <w:p w14:paraId="6681E690" w14:textId="7A9E4DA1" w:rsidR="00882964" w:rsidRPr="006E2325" w:rsidRDefault="004A38E1" w:rsidP="00E4340C">
            <w:pPr>
              <w:pStyle w:val="ListParagraph"/>
              <w:numPr>
                <w:ilvl w:val="0"/>
                <w:numId w:val="71"/>
              </w:numPr>
              <w:bidi/>
              <w:spacing w:before="120" w:after="120"/>
              <w:jc w:val="both"/>
              <w:rPr>
                <w:rFonts w:asciiTheme="majorBidi" w:hAnsiTheme="majorBidi" w:cstheme="majorBidi"/>
                <w:sz w:val="24"/>
                <w:szCs w:val="24"/>
                <w:lang w:val="en-GB"/>
              </w:rPr>
            </w:pPr>
            <w:r w:rsidRPr="006E2325">
              <w:rPr>
                <w:rFonts w:asciiTheme="majorBidi" w:hAnsiTheme="majorBidi" w:hint="cs"/>
                <w:sz w:val="24"/>
                <w:szCs w:val="24"/>
                <w:rtl/>
                <w:lang w:val="en-GB"/>
              </w:rPr>
              <w:t>ال</w:t>
            </w:r>
            <w:r w:rsidR="008664E0" w:rsidRPr="006E2325">
              <w:rPr>
                <w:rFonts w:asciiTheme="majorBidi" w:hAnsiTheme="majorBidi"/>
                <w:sz w:val="24"/>
                <w:szCs w:val="24"/>
                <w:rtl/>
                <w:lang w:val="en-GB"/>
              </w:rPr>
              <w:t xml:space="preserve">تعليم </w:t>
            </w:r>
            <w:r w:rsidRPr="006E2325">
              <w:rPr>
                <w:rFonts w:asciiTheme="majorBidi" w:hAnsiTheme="majorBidi" w:hint="cs"/>
                <w:sz w:val="24"/>
                <w:szCs w:val="24"/>
                <w:rtl/>
                <w:lang w:val="en-GB"/>
              </w:rPr>
              <w:t>ال</w:t>
            </w:r>
            <w:r w:rsidR="009741B9" w:rsidRPr="006E2325">
              <w:rPr>
                <w:rFonts w:asciiTheme="majorBidi" w:hAnsiTheme="majorBidi"/>
                <w:sz w:val="24"/>
                <w:szCs w:val="24"/>
                <w:rtl/>
                <w:lang w:val="en-GB"/>
              </w:rPr>
              <w:t>جامعي</w:t>
            </w:r>
          </w:p>
        </w:tc>
      </w:tr>
    </w:tbl>
    <w:p w14:paraId="129414BC" w14:textId="77777777" w:rsidR="0054175C" w:rsidRPr="00FA4B21" w:rsidRDefault="0054175C" w:rsidP="00E4340C">
      <w:pPr>
        <w:bidi/>
        <w:jc w:val="center"/>
        <w:rPr>
          <w:rFonts w:asciiTheme="majorBidi" w:hAnsiTheme="majorBidi" w:cstheme="majorBidi"/>
          <w:b/>
          <w:sz w:val="24"/>
        </w:rPr>
        <w:sectPr w:rsidR="0054175C" w:rsidRPr="00FA4B21" w:rsidSect="000F25BA">
          <w:footerReference w:type="default" r:id="rId8"/>
          <w:pgSz w:w="11906" w:h="16838" w:code="9"/>
          <w:pgMar w:top="1418" w:right="1134" w:bottom="1134" w:left="1134" w:header="397" w:footer="284" w:gutter="0"/>
          <w:cols w:space="708"/>
          <w:docGrid w:linePitch="360"/>
        </w:sectPr>
      </w:pPr>
    </w:p>
    <w:p w14:paraId="55EC3681" w14:textId="41339E7A" w:rsidR="0054175C" w:rsidRPr="00192D29" w:rsidRDefault="00344BAF" w:rsidP="00E4340C">
      <w:pPr>
        <w:bidi/>
        <w:jc w:val="center"/>
        <w:rPr>
          <w:rFonts w:asciiTheme="majorBidi" w:hAnsiTheme="majorBidi" w:cstheme="majorBidi"/>
          <w:b/>
          <w:bCs/>
          <w:sz w:val="28"/>
          <w:szCs w:val="28"/>
        </w:rPr>
      </w:pPr>
      <w:r w:rsidRPr="00192D29">
        <w:rPr>
          <w:rFonts w:asciiTheme="majorBidi" w:hAnsiTheme="majorBidi" w:cstheme="majorBidi"/>
          <w:b/>
          <w:bCs/>
          <w:sz w:val="28"/>
          <w:szCs w:val="28"/>
          <w:rtl/>
        </w:rPr>
        <w:t>التوجيهات المحددة بشأن الرصد و</w:t>
      </w:r>
      <w:r w:rsidR="00DE2489">
        <w:rPr>
          <w:rFonts w:asciiTheme="majorBidi" w:hAnsiTheme="majorBidi" w:cstheme="majorBidi" w:hint="cs"/>
          <w:b/>
          <w:bCs/>
          <w:sz w:val="28"/>
          <w:szCs w:val="28"/>
          <w:rtl/>
        </w:rPr>
        <w:t>ا</w:t>
      </w:r>
      <w:r w:rsidR="008A5A49">
        <w:rPr>
          <w:rFonts w:asciiTheme="majorBidi" w:hAnsiTheme="majorBidi" w:cstheme="majorBidi" w:hint="cs"/>
          <w:b/>
          <w:bCs/>
          <w:sz w:val="28"/>
          <w:szCs w:val="28"/>
          <w:rtl/>
        </w:rPr>
        <w:t>لتقرير</w:t>
      </w:r>
      <w:r w:rsidR="00DE2489">
        <w:rPr>
          <w:rFonts w:asciiTheme="majorBidi" w:hAnsiTheme="majorBidi" w:cstheme="majorBidi" w:hint="cs"/>
          <w:b/>
          <w:bCs/>
          <w:sz w:val="28"/>
          <w:szCs w:val="28"/>
          <w:rtl/>
        </w:rPr>
        <w:t xml:space="preserve"> </w:t>
      </w:r>
      <w:r w:rsidRPr="00192D29">
        <w:rPr>
          <w:rFonts w:asciiTheme="majorBidi" w:hAnsiTheme="majorBidi" w:cstheme="majorBidi"/>
          <w:b/>
          <w:bCs/>
          <w:sz w:val="28"/>
          <w:szCs w:val="28"/>
          <w:rtl/>
        </w:rPr>
        <w:t>الدوري</w:t>
      </w:r>
      <w:r w:rsidR="008A5A49">
        <w:rPr>
          <w:rFonts w:asciiTheme="majorBidi" w:hAnsiTheme="majorBidi" w:cstheme="majorBidi" w:hint="cs"/>
          <w:b/>
          <w:bCs/>
          <w:sz w:val="28"/>
          <w:szCs w:val="28"/>
          <w:rtl/>
        </w:rPr>
        <w:t xml:space="preserve"> </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6"/>
        <w:gridCol w:w="8222"/>
      </w:tblGrid>
      <w:tr w:rsidR="009C0510" w:rsidRPr="00332118" w14:paraId="7C74F128" w14:textId="77777777" w:rsidTr="005B14AB">
        <w:tc>
          <w:tcPr>
            <w:tcW w:w="730" w:type="pct"/>
            <w:shd w:val="clear" w:color="auto" w:fill="auto"/>
          </w:tcPr>
          <w:p w14:paraId="61F3D445" w14:textId="35317F6F" w:rsidR="002C28BA" w:rsidRPr="00332118" w:rsidRDefault="005B14AB" w:rsidP="00E4340C">
            <w:pPr>
              <w:bidi/>
              <w:spacing w:before="120"/>
              <w:rPr>
                <w:rFonts w:asciiTheme="majorBidi" w:hAnsiTheme="majorBidi" w:cstheme="majorBidi"/>
                <w:b/>
                <w:bCs/>
                <w:sz w:val="24"/>
              </w:rPr>
            </w:pPr>
            <w:r w:rsidRPr="00332118">
              <w:rPr>
                <w:rFonts w:asciiTheme="majorBidi" w:hAnsiTheme="majorBidi" w:cstheme="majorBidi"/>
                <w:b/>
                <w:bCs/>
                <w:sz w:val="24"/>
                <w:rtl/>
              </w:rPr>
              <w:t>فوائد الرصد</w:t>
            </w:r>
          </w:p>
        </w:tc>
        <w:tc>
          <w:tcPr>
            <w:tcW w:w="4270" w:type="pct"/>
            <w:shd w:val="clear" w:color="auto" w:fill="auto"/>
          </w:tcPr>
          <w:p w14:paraId="62233A00" w14:textId="74537670" w:rsidR="002C28BA" w:rsidRPr="00332118" w:rsidRDefault="00606A5F" w:rsidP="00E4340C">
            <w:pPr>
              <w:keepLines/>
              <w:bidi/>
              <w:spacing w:before="120"/>
              <w:jc w:val="both"/>
              <w:rPr>
                <w:rFonts w:asciiTheme="majorBidi" w:hAnsiTheme="majorBidi" w:cstheme="majorBidi"/>
                <w:b/>
                <w:sz w:val="24"/>
              </w:rPr>
            </w:pPr>
            <w:r w:rsidRPr="00332118">
              <w:rPr>
                <w:rFonts w:asciiTheme="majorBidi" w:hAnsiTheme="majorBidi"/>
                <w:b/>
                <w:sz w:val="24"/>
                <w:rtl/>
              </w:rPr>
              <w:t xml:space="preserve">يمكن لحصر برامج ومؤسسات التدريب أن يساعد الدولة على فهم حجم احتياجات بناء القدرات ونطاقها فيما يتعلق بإدارة التراث الثقافي غير المادي. يمكن أن تساعد الدولة في تقييم </w:t>
            </w:r>
            <w:r w:rsidR="00E63D17">
              <w:rPr>
                <w:rFonts w:asciiTheme="majorBidi" w:hAnsiTheme="majorBidi" w:hint="cs"/>
                <w:b/>
                <w:sz w:val="24"/>
                <w:rtl/>
              </w:rPr>
              <w:t xml:space="preserve">أي </w:t>
            </w:r>
            <w:r w:rsidRPr="00332118">
              <w:rPr>
                <w:rFonts w:asciiTheme="majorBidi" w:hAnsiTheme="majorBidi"/>
                <w:b/>
                <w:sz w:val="24"/>
                <w:rtl/>
              </w:rPr>
              <w:t xml:space="preserve">احتياجات </w:t>
            </w:r>
            <w:r w:rsidR="00E63D17">
              <w:rPr>
                <w:rFonts w:asciiTheme="majorBidi" w:hAnsiTheme="majorBidi" w:hint="cs"/>
                <w:b/>
                <w:sz w:val="24"/>
                <w:rtl/>
              </w:rPr>
              <w:t xml:space="preserve">تتم </w:t>
            </w:r>
            <w:r w:rsidRPr="00332118">
              <w:rPr>
                <w:rFonts w:asciiTheme="majorBidi" w:hAnsiTheme="majorBidi"/>
                <w:b/>
                <w:sz w:val="24"/>
                <w:rtl/>
              </w:rPr>
              <w:t>تلب</w:t>
            </w:r>
            <w:r w:rsidR="00E63D17">
              <w:rPr>
                <w:rFonts w:asciiTheme="majorBidi" w:hAnsiTheme="majorBidi" w:hint="cs"/>
                <w:b/>
                <w:sz w:val="24"/>
                <w:rtl/>
              </w:rPr>
              <w:t>يتها</w:t>
            </w:r>
            <w:r w:rsidRPr="00332118">
              <w:rPr>
                <w:rFonts w:asciiTheme="majorBidi" w:hAnsiTheme="majorBidi"/>
                <w:b/>
                <w:sz w:val="24"/>
                <w:rtl/>
              </w:rPr>
              <w:t xml:space="preserve"> في الوقت الحالي،</w:t>
            </w:r>
            <w:r w:rsidR="005C5201">
              <w:rPr>
                <w:rFonts w:asciiTheme="majorBidi" w:hAnsiTheme="majorBidi" w:hint="cs"/>
                <w:b/>
                <w:sz w:val="24"/>
                <w:rtl/>
              </w:rPr>
              <w:t xml:space="preserve"> وتحديد </w:t>
            </w:r>
            <w:r w:rsidRPr="00332118">
              <w:rPr>
                <w:rFonts w:asciiTheme="majorBidi" w:hAnsiTheme="majorBidi"/>
                <w:b/>
                <w:sz w:val="24"/>
                <w:rtl/>
              </w:rPr>
              <w:t>ال</w:t>
            </w:r>
            <w:r w:rsidR="00BC7487" w:rsidRPr="00332118">
              <w:rPr>
                <w:rFonts w:asciiTheme="majorBidi" w:hAnsiTheme="majorBidi"/>
                <w:b/>
                <w:sz w:val="24"/>
                <w:rtl/>
              </w:rPr>
              <w:t>فجوات</w:t>
            </w:r>
            <w:r w:rsidRPr="00332118">
              <w:rPr>
                <w:rFonts w:asciiTheme="majorBidi" w:hAnsiTheme="majorBidi"/>
                <w:b/>
                <w:sz w:val="24"/>
                <w:rtl/>
              </w:rPr>
              <w:t xml:space="preserve"> الواجب معالجتها </w:t>
            </w:r>
            <w:r w:rsidR="005C5201">
              <w:rPr>
                <w:rFonts w:asciiTheme="majorBidi" w:hAnsiTheme="majorBidi" w:hint="cs"/>
                <w:b/>
                <w:sz w:val="24"/>
                <w:rtl/>
              </w:rPr>
              <w:t>في ال</w:t>
            </w:r>
            <w:r w:rsidRPr="00332118">
              <w:rPr>
                <w:rFonts w:asciiTheme="majorBidi" w:hAnsiTheme="majorBidi"/>
                <w:b/>
                <w:sz w:val="24"/>
                <w:rtl/>
              </w:rPr>
              <w:t xml:space="preserve">أجل المتوسط أو الطويل، مما يسمح للدولة بضمان وصول </w:t>
            </w:r>
            <w:r w:rsidRPr="00332118">
              <w:rPr>
                <w:rFonts w:asciiTheme="majorBidi" w:hAnsiTheme="majorBidi"/>
                <w:b/>
                <w:sz w:val="24"/>
                <w:rtl/>
              </w:rPr>
              <w:lastRenderedPageBreak/>
              <w:t xml:space="preserve">موظفيها إلى فرص تدريب وموارد مناسبة. </w:t>
            </w:r>
            <w:r w:rsidR="00BC7487">
              <w:rPr>
                <w:rFonts w:asciiTheme="majorBidi" w:hAnsiTheme="majorBidi" w:hint="cs"/>
                <w:b/>
                <w:sz w:val="24"/>
                <w:rtl/>
              </w:rPr>
              <w:t>و</w:t>
            </w:r>
            <w:r w:rsidRPr="00332118">
              <w:rPr>
                <w:rFonts w:asciiTheme="majorBidi" w:hAnsiTheme="majorBidi"/>
                <w:b/>
                <w:sz w:val="24"/>
                <w:rtl/>
              </w:rPr>
              <w:t>على ال</w:t>
            </w:r>
            <w:r w:rsidR="001C58BF" w:rsidRPr="00332118">
              <w:rPr>
                <w:rFonts w:asciiTheme="majorBidi" w:hAnsiTheme="majorBidi" w:hint="cs"/>
                <w:b/>
                <w:sz w:val="24"/>
                <w:rtl/>
              </w:rPr>
              <w:t>صعيد</w:t>
            </w:r>
            <w:r w:rsidRPr="00332118">
              <w:rPr>
                <w:rFonts w:asciiTheme="majorBidi" w:hAnsiTheme="majorBidi"/>
                <w:b/>
                <w:sz w:val="24"/>
                <w:rtl/>
              </w:rPr>
              <w:t xml:space="preserve"> العالمي، يمكن للرصد و</w:t>
            </w:r>
            <w:r w:rsidR="008A5A49">
              <w:rPr>
                <w:rFonts w:asciiTheme="majorBidi" w:hAnsiTheme="majorBidi" w:hint="cs"/>
                <w:b/>
                <w:sz w:val="24"/>
                <w:rtl/>
              </w:rPr>
              <w:t xml:space="preserve">اعداد </w:t>
            </w:r>
            <w:proofErr w:type="gramStart"/>
            <w:r w:rsidR="008A5A49">
              <w:rPr>
                <w:rFonts w:asciiTheme="majorBidi" w:hAnsiTheme="majorBidi" w:hint="cs"/>
                <w:b/>
                <w:sz w:val="24"/>
                <w:rtl/>
              </w:rPr>
              <w:t xml:space="preserve">التقرير </w:t>
            </w:r>
            <w:r w:rsidR="00BC7487">
              <w:rPr>
                <w:rFonts w:asciiTheme="majorBidi" w:hAnsiTheme="majorBidi" w:hint="cs"/>
                <w:b/>
                <w:sz w:val="24"/>
                <w:rtl/>
              </w:rPr>
              <w:t xml:space="preserve"> </w:t>
            </w:r>
            <w:r w:rsidRPr="00332118">
              <w:rPr>
                <w:rFonts w:asciiTheme="majorBidi" w:hAnsiTheme="majorBidi"/>
                <w:b/>
                <w:sz w:val="24"/>
                <w:rtl/>
              </w:rPr>
              <w:t>أن</w:t>
            </w:r>
            <w:proofErr w:type="gramEnd"/>
            <w:r w:rsidRPr="00332118">
              <w:rPr>
                <w:rFonts w:asciiTheme="majorBidi" w:hAnsiTheme="majorBidi"/>
                <w:b/>
                <w:sz w:val="24"/>
                <w:rtl/>
              </w:rPr>
              <w:t xml:space="preserve"> يبرز فرص التعاون الدولي - بما في ذلك </w:t>
            </w:r>
            <w:r w:rsidR="00BC7487">
              <w:rPr>
                <w:rFonts w:asciiTheme="majorBidi" w:hAnsiTheme="majorBidi" w:hint="cs"/>
                <w:b/>
                <w:sz w:val="24"/>
                <w:rtl/>
              </w:rPr>
              <w:t>الأماكن حيث</w:t>
            </w:r>
            <w:r w:rsidRPr="00332118">
              <w:rPr>
                <w:rFonts w:asciiTheme="majorBidi" w:hAnsiTheme="majorBidi"/>
                <w:b/>
                <w:sz w:val="24"/>
                <w:rtl/>
              </w:rPr>
              <w:t xml:space="preserve"> يمكن للموظفين الاستفادة من فرص التدريب خارج بلدانهم - كما يمكن تحديد فجوات التدريب التي تستطيع اليونسكو، مع الشركاء والمؤسسات المنتسبة لها، معالجتها من خلال برنامج بناء القدرات عالمي.</w:t>
            </w:r>
          </w:p>
        </w:tc>
      </w:tr>
      <w:tr w:rsidR="0054175C" w:rsidRPr="00332118" w14:paraId="59E7CFDE" w14:textId="77777777" w:rsidTr="005B14AB">
        <w:tc>
          <w:tcPr>
            <w:tcW w:w="730" w:type="pct"/>
            <w:shd w:val="clear" w:color="auto" w:fill="auto"/>
          </w:tcPr>
          <w:p w14:paraId="2D547F99" w14:textId="2B6744B4" w:rsidR="0054175C" w:rsidRPr="00332118" w:rsidRDefault="0003781C" w:rsidP="00E4340C">
            <w:pPr>
              <w:bidi/>
              <w:spacing w:before="120"/>
              <w:rPr>
                <w:rFonts w:asciiTheme="majorBidi" w:hAnsiTheme="majorBidi" w:cstheme="majorBidi"/>
                <w:b/>
                <w:bCs/>
                <w:sz w:val="24"/>
              </w:rPr>
            </w:pPr>
            <w:r w:rsidRPr="00332118">
              <w:rPr>
                <w:rFonts w:asciiTheme="majorBidi" w:hAnsiTheme="majorBidi" w:cstheme="majorBidi" w:hint="cs"/>
                <w:b/>
                <w:bCs/>
                <w:sz w:val="24"/>
                <w:rtl/>
              </w:rPr>
              <w:lastRenderedPageBreak/>
              <w:t>م</w:t>
            </w:r>
            <w:r w:rsidR="005B14AB" w:rsidRPr="00332118">
              <w:rPr>
                <w:rFonts w:asciiTheme="majorBidi" w:hAnsiTheme="majorBidi" w:cstheme="majorBidi"/>
                <w:b/>
                <w:bCs/>
                <w:sz w:val="24"/>
                <w:rtl/>
              </w:rPr>
              <w:t>صادر البيانات وجمعها</w:t>
            </w:r>
          </w:p>
        </w:tc>
        <w:tc>
          <w:tcPr>
            <w:tcW w:w="4270" w:type="pct"/>
            <w:shd w:val="clear" w:color="auto" w:fill="auto"/>
          </w:tcPr>
          <w:p w14:paraId="1E3C0ACE" w14:textId="4B10442F" w:rsidR="001E7940" w:rsidRPr="00332118" w:rsidRDefault="001E7940" w:rsidP="00E4340C">
            <w:pPr>
              <w:keepNext/>
              <w:bidi/>
              <w:spacing w:before="120" w:after="60"/>
              <w:jc w:val="both"/>
              <w:rPr>
                <w:rFonts w:asciiTheme="majorBidi" w:hAnsiTheme="majorBidi"/>
                <w:sz w:val="24"/>
                <w:rtl/>
              </w:rPr>
            </w:pPr>
            <w:r w:rsidRPr="00332118">
              <w:rPr>
                <w:rFonts w:asciiTheme="majorBidi" w:hAnsiTheme="majorBidi"/>
                <w:sz w:val="24"/>
                <w:rtl/>
              </w:rPr>
              <w:t xml:space="preserve">قد تكون وزارة التعليم أو وزارة التعليم العالي مسؤولة عن اعتماد درجات علمية أو الشهادات في مجالات محددة مثل التراث الثقافي غير المادي، </w:t>
            </w:r>
            <w:r w:rsidR="00727FE5">
              <w:rPr>
                <w:rFonts w:asciiTheme="majorBidi" w:hAnsiTheme="majorBidi" w:hint="cs"/>
                <w:sz w:val="24"/>
                <w:rtl/>
              </w:rPr>
              <w:t>عندئذ</w:t>
            </w:r>
            <w:r w:rsidRPr="00332118">
              <w:rPr>
                <w:rFonts w:asciiTheme="majorBidi" w:hAnsiTheme="majorBidi"/>
                <w:sz w:val="24"/>
                <w:rtl/>
              </w:rPr>
              <w:t>، تحتفظ الوزارة بمعلومات حول مكان تقدي</w:t>
            </w:r>
            <w:r w:rsidR="00AB1AD5" w:rsidRPr="00332118">
              <w:rPr>
                <w:rFonts w:asciiTheme="majorBidi" w:hAnsiTheme="majorBidi"/>
                <w:sz w:val="24"/>
                <w:rtl/>
              </w:rPr>
              <w:t>م هذه البرامج (عامل التقييم ال</w:t>
            </w:r>
            <w:r w:rsidRPr="00332118">
              <w:rPr>
                <w:rFonts w:asciiTheme="majorBidi" w:hAnsiTheme="majorBidi"/>
                <w:sz w:val="24"/>
                <w:rtl/>
              </w:rPr>
              <w:t>ش</w:t>
            </w:r>
            <w:r w:rsidR="00AB1AD5" w:rsidRPr="00332118">
              <w:rPr>
                <w:rFonts w:asciiTheme="majorBidi" w:hAnsiTheme="majorBidi" w:hint="cs"/>
                <w:sz w:val="24"/>
                <w:rtl/>
              </w:rPr>
              <w:t>ا</w:t>
            </w:r>
            <w:r w:rsidRPr="00332118">
              <w:rPr>
                <w:rFonts w:asciiTheme="majorBidi" w:hAnsiTheme="majorBidi"/>
                <w:sz w:val="24"/>
                <w:rtl/>
              </w:rPr>
              <w:t>مل 2-1). إذا كان لدى الدولة هيئة استشارية أو آلية تعاون (انظر إلى المؤشر 1)، فقد تقوم بجمع المعلومات ونشرها حول فرص التدريب، سواء كانت تقدمها الم</w:t>
            </w:r>
            <w:r w:rsidR="00AB1AD5" w:rsidRPr="00332118">
              <w:rPr>
                <w:rFonts w:asciiTheme="majorBidi" w:hAnsiTheme="majorBidi"/>
                <w:sz w:val="24"/>
                <w:rtl/>
              </w:rPr>
              <w:t>نظمات الحكومية (عامل التقييم ال</w:t>
            </w:r>
            <w:r w:rsidRPr="00332118">
              <w:rPr>
                <w:rFonts w:asciiTheme="majorBidi" w:hAnsiTheme="majorBidi"/>
                <w:sz w:val="24"/>
                <w:rtl/>
              </w:rPr>
              <w:t>ش</w:t>
            </w:r>
            <w:r w:rsidR="00AB1AD5" w:rsidRPr="00332118">
              <w:rPr>
                <w:rFonts w:asciiTheme="majorBidi" w:hAnsiTheme="majorBidi" w:hint="cs"/>
                <w:sz w:val="24"/>
                <w:rtl/>
              </w:rPr>
              <w:t>ا</w:t>
            </w:r>
            <w:r w:rsidRPr="00332118">
              <w:rPr>
                <w:rFonts w:asciiTheme="majorBidi" w:hAnsiTheme="majorBidi"/>
                <w:sz w:val="24"/>
                <w:rtl/>
              </w:rPr>
              <w:t>مل 2-2) أو المنظمات غير الحكومية و</w:t>
            </w:r>
            <w:r w:rsidR="000B228F" w:rsidRPr="00332118">
              <w:rPr>
                <w:rFonts w:asciiTheme="majorBidi" w:hAnsiTheme="majorBidi"/>
                <w:sz w:val="24"/>
                <w:rtl/>
              </w:rPr>
              <w:t xml:space="preserve">الجماعات </w:t>
            </w:r>
            <w:r w:rsidRPr="00332118">
              <w:rPr>
                <w:rFonts w:asciiTheme="majorBidi" w:hAnsiTheme="majorBidi"/>
                <w:sz w:val="24"/>
                <w:rtl/>
              </w:rPr>
              <w:t>ن</w:t>
            </w:r>
            <w:r w:rsidR="008531E0" w:rsidRPr="00332118">
              <w:rPr>
                <w:rFonts w:asciiTheme="majorBidi" w:hAnsiTheme="majorBidi"/>
                <w:sz w:val="24"/>
                <w:rtl/>
              </w:rPr>
              <w:t>فسها (عامل التقييم ال</w:t>
            </w:r>
            <w:r w:rsidRPr="00332118">
              <w:rPr>
                <w:rFonts w:asciiTheme="majorBidi" w:hAnsiTheme="majorBidi"/>
                <w:sz w:val="24"/>
                <w:rtl/>
              </w:rPr>
              <w:t>ش</w:t>
            </w:r>
            <w:r w:rsidR="008531E0" w:rsidRPr="00332118">
              <w:rPr>
                <w:rFonts w:asciiTheme="majorBidi" w:hAnsiTheme="majorBidi" w:hint="cs"/>
                <w:sz w:val="24"/>
                <w:rtl/>
              </w:rPr>
              <w:t>ا</w:t>
            </w:r>
            <w:r w:rsidRPr="00332118">
              <w:rPr>
                <w:rFonts w:asciiTheme="majorBidi" w:hAnsiTheme="majorBidi"/>
                <w:sz w:val="24"/>
                <w:rtl/>
              </w:rPr>
              <w:t>مل 2-3).</w:t>
            </w:r>
          </w:p>
          <w:p w14:paraId="7D17ED10" w14:textId="00774147" w:rsidR="0054175C" w:rsidRPr="00332118" w:rsidRDefault="009B0BE5" w:rsidP="00E4340C">
            <w:pPr>
              <w:keepNext/>
              <w:bidi/>
              <w:spacing w:before="120" w:after="60"/>
              <w:jc w:val="both"/>
              <w:rPr>
                <w:rFonts w:asciiTheme="majorBidi" w:hAnsiTheme="majorBidi" w:cstheme="majorBidi"/>
                <w:b/>
                <w:bCs/>
                <w:sz w:val="24"/>
              </w:rPr>
            </w:pPr>
            <w:r w:rsidRPr="00332118">
              <w:rPr>
                <w:rFonts w:asciiTheme="majorBidi" w:hAnsiTheme="majorBidi" w:cstheme="majorBidi" w:hint="cs"/>
                <w:b/>
                <w:bCs/>
                <w:sz w:val="24"/>
                <w:rtl/>
              </w:rPr>
              <w:t>مصادر البيانات المحتملة</w:t>
            </w:r>
          </w:p>
          <w:p w14:paraId="5CE537BD" w14:textId="11441151" w:rsidR="009631BD" w:rsidRPr="00332118" w:rsidRDefault="008137FD" w:rsidP="00E4340C">
            <w:pPr>
              <w:pStyle w:val="ListParagraph"/>
              <w:numPr>
                <w:ilvl w:val="0"/>
                <w:numId w:val="73"/>
              </w:numPr>
              <w:bidi/>
              <w:spacing w:before="120"/>
              <w:jc w:val="both"/>
              <w:rPr>
                <w:rFonts w:asciiTheme="majorBidi" w:hAnsiTheme="majorBidi" w:cstheme="majorBidi"/>
                <w:sz w:val="24"/>
                <w:szCs w:val="24"/>
                <w:lang w:val="en-GB"/>
              </w:rPr>
            </w:pPr>
            <w:r w:rsidRPr="00332118">
              <w:rPr>
                <w:rFonts w:asciiTheme="majorBidi" w:hAnsiTheme="majorBidi"/>
                <w:sz w:val="24"/>
                <w:szCs w:val="24"/>
                <w:rtl/>
                <w:lang w:val="en-GB"/>
              </w:rPr>
              <w:t>سجلات وإشعارات وزارة تربية و</w:t>
            </w:r>
            <w:r w:rsidR="009631BD" w:rsidRPr="00332118">
              <w:rPr>
                <w:rFonts w:asciiTheme="majorBidi" w:hAnsiTheme="majorBidi"/>
                <w:sz w:val="24"/>
                <w:szCs w:val="24"/>
                <w:rtl/>
                <w:lang w:val="en-GB"/>
              </w:rPr>
              <w:t>تعليم</w:t>
            </w:r>
            <w:r w:rsidRPr="00332118">
              <w:rPr>
                <w:rFonts w:asciiTheme="majorBidi" w:hAnsiTheme="majorBidi"/>
                <w:sz w:val="24"/>
                <w:szCs w:val="24"/>
                <w:rtl/>
                <w:lang w:val="en-GB"/>
              </w:rPr>
              <w:t xml:space="preserve"> أو تعليم </w:t>
            </w:r>
            <w:r w:rsidR="009631BD" w:rsidRPr="00332118">
              <w:rPr>
                <w:rFonts w:asciiTheme="majorBidi" w:hAnsiTheme="majorBidi"/>
                <w:sz w:val="24"/>
                <w:szCs w:val="24"/>
                <w:rtl/>
                <w:lang w:val="en-GB"/>
              </w:rPr>
              <w:t>عالي</w:t>
            </w:r>
          </w:p>
          <w:p w14:paraId="60984492" w14:textId="19574292" w:rsidR="009631BD" w:rsidRPr="00332118" w:rsidRDefault="008137FD" w:rsidP="00E4340C">
            <w:pPr>
              <w:pStyle w:val="ListParagraph"/>
              <w:numPr>
                <w:ilvl w:val="0"/>
                <w:numId w:val="73"/>
              </w:numPr>
              <w:bidi/>
              <w:spacing w:before="120"/>
              <w:jc w:val="both"/>
              <w:rPr>
                <w:rFonts w:asciiTheme="majorBidi" w:hAnsiTheme="majorBidi" w:cstheme="majorBidi"/>
                <w:sz w:val="24"/>
                <w:szCs w:val="24"/>
                <w:lang w:val="en-GB"/>
              </w:rPr>
            </w:pPr>
            <w:r w:rsidRPr="00332118">
              <w:rPr>
                <w:rFonts w:asciiTheme="majorBidi" w:hAnsiTheme="majorBidi"/>
                <w:sz w:val="24"/>
                <w:szCs w:val="24"/>
                <w:rtl/>
                <w:lang w:val="en-GB"/>
              </w:rPr>
              <w:t xml:space="preserve">مناهج كلية، وجامعة، ومواقع </w:t>
            </w:r>
            <w:r w:rsidR="009631BD" w:rsidRPr="00332118">
              <w:rPr>
                <w:rFonts w:asciiTheme="majorBidi" w:hAnsiTheme="majorBidi"/>
                <w:sz w:val="24"/>
                <w:szCs w:val="24"/>
                <w:rtl/>
                <w:lang w:val="en-GB"/>
              </w:rPr>
              <w:t>إلكترونية</w:t>
            </w:r>
          </w:p>
          <w:p w14:paraId="4C8B78FE" w14:textId="77777777" w:rsidR="009631BD" w:rsidRPr="00332118" w:rsidRDefault="009631BD" w:rsidP="00E4340C">
            <w:pPr>
              <w:pStyle w:val="ListParagraph"/>
              <w:numPr>
                <w:ilvl w:val="0"/>
                <w:numId w:val="73"/>
              </w:numPr>
              <w:bidi/>
              <w:spacing w:before="120"/>
              <w:jc w:val="both"/>
              <w:rPr>
                <w:rFonts w:asciiTheme="majorBidi" w:hAnsiTheme="majorBidi" w:cstheme="majorBidi"/>
                <w:sz w:val="24"/>
                <w:szCs w:val="24"/>
                <w:lang w:val="en-GB"/>
              </w:rPr>
            </w:pPr>
            <w:r w:rsidRPr="00332118">
              <w:rPr>
                <w:rFonts w:asciiTheme="majorBidi" w:hAnsiTheme="majorBidi"/>
                <w:sz w:val="24"/>
                <w:szCs w:val="24"/>
                <w:rtl/>
                <w:lang w:val="en-GB"/>
              </w:rPr>
              <w:t>استراتيجية بناء القدرات لوزارة الثقافة أو غيرها من الوكالات المسؤولة عن التراث الثقافي غير المادي</w:t>
            </w:r>
          </w:p>
          <w:p w14:paraId="1DAD8DF4" w14:textId="6B660955" w:rsidR="009631BD" w:rsidRPr="00332118" w:rsidRDefault="009631BD" w:rsidP="00E4340C">
            <w:pPr>
              <w:pStyle w:val="ListParagraph"/>
              <w:numPr>
                <w:ilvl w:val="0"/>
                <w:numId w:val="73"/>
              </w:numPr>
              <w:bidi/>
              <w:spacing w:before="120"/>
              <w:jc w:val="both"/>
              <w:rPr>
                <w:rFonts w:asciiTheme="majorBidi" w:hAnsiTheme="majorBidi" w:cstheme="majorBidi"/>
                <w:sz w:val="24"/>
                <w:szCs w:val="24"/>
                <w:lang w:val="en-GB"/>
              </w:rPr>
            </w:pPr>
            <w:r w:rsidRPr="00332118">
              <w:rPr>
                <w:rFonts w:asciiTheme="majorBidi" w:hAnsiTheme="majorBidi"/>
                <w:sz w:val="24"/>
                <w:szCs w:val="24"/>
                <w:rtl/>
                <w:lang w:val="en-GB"/>
              </w:rPr>
              <w:t>منظمات و</w:t>
            </w:r>
            <w:r w:rsidR="00727FE5">
              <w:rPr>
                <w:rFonts w:asciiTheme="majorBidi" w:hAnsiTheme="majorBidi" w:hint="cs"/>
                <w:sz w:val="24"/>
                <w:szCs w:val="24"/>
                <w:rtl/>
                <w:lang w:val="en-GB"/>
              </w:rPr>
              <w:t>هيئات</w:t>
            </w:r>
            <w:r w:rsidRPr="00332118">
              <w:rPr>
                <w:rFonts w:asciiTheme="majorBidi" w:hAnsiTheme="majorBidi"/>
                <w:sz w:val="24"/>
                <w:szCs w:val="24"/>
                <w:rtl/>
                <w:lang w:val="en-GB"/>
              </w:rPr>
              <w:t xml:space="preserve"> تدريب مخصصة</w:t>
            </w:r>
          </w:p>
          <w:p w14:paraId="262B8FC7" w14:textId="1626FCDE" w:rsidR="009631BD" w:rsidRPr="00332118" w:rsidRDefault="00BD0AB0" w:rsidP="00E4340C">
            <w:pPr>
              <w:pStyle w:val="ListParagraph"/>
              <w:numPr>
                <w:ilvl w:val="0"/>
                <w:numId w:val="73"/>
              </w:numPr>
              <w:bidi/>
              <w:spacing w:before="120"/>
              <w:jc w:val="both"/>
              <w:rPr>
                <w:rFonts w:asciiTheme="majorBidi" w:hAnsiTheme="majorBidi" w:cstheme="majorBidi"/>
                <w:sz w:val="24"/>
                <w:szCs w:val="24"/>
                <w:lang w:val="en-GB"/>
              </w:rPr>
            </w:pPr>
            <w:r w:rsidRPr="00332118">
              <w:rPr>
                <w:rFonts w:asciiTheme="majorBidi" w:hAnsiTheme="majorBidi"/>
                <w:sz w:val="24"/>
                <w:szCs w:val="24"/>
                <w:rtl/>
                <w:lang w:val="en-GB"/>
              </w:rPr>
              <w:t xml:space="preserve">مواقع إلكترونية لهيئات غير حكومية </w:t>
            </w:r>
            <w:r w:rsidR="009631BD" w:rsidRPr="00332118">
              <w:rPr>
                <w:rFonts w:asciiTheme="majorBidi" w:hAnsiTheme="majorBidi"/>
                <w:sz w:val="24"/>
                <w:szCs w:val="24"/>
                <w:rtl/>
                <w:lang w:val="en-GB"/>
              </w:rPr>
              <w:t>نشطة في مجال التراث الثقافي غير المادي</w:t>
            </w:r>
          </w:p>
          <w:p w14:paraId="7037795E" w14:textId="3E42A4A4" w:rsidR="009631BD" w:rsidRPr="00332118" w:rsidRDefault="00BD0AB0" w:rsidP="00E4340C">
            <w:pPr>
              <w:pStyle w:val="ListParagraph"/>
              <w:numPr>
                <w:ilvl w:val="0"/>
                <w:numId w:val="73"/>
              </w:numPr>
              <w:bidi/>
              <w:spacing w:before="120"/>
              <w:jc w:val="both"/>
              <w:rPr>
                <w:rFonts w:asciiTheme="majorBidi" w:hAnsiTheme="majorBidi" w:cstheme="majorBidi"/>
                <w:sz w:val="24"/>
                <w:szCs w:val="24"/>
                <w:lang w:val="en-GB"/>
              </w:rPr>
            </w:pPr>
            <w:r w:rsidRPr="00332118">
              <w:rPr>
                <w:rFonts w:asciiTheme="majorBidi" w:hAnsiTheme="majorBidi"/>
                <w:sz w:val="24"/>
                <w:szCs w:val="24"/>
                <w:rtl/>
                <w:lang w:val="en-GB"/>
              </w:rPr>
              <w:t>إعلانات وإشعارات توظيف ل</w:t>
            </w:r>
            <w:r w:rsidR="00727FE5">
              <w:rPr>
                <w:rFonts w:asciiTheme="majorBidi" w:hAnsiTheme="majorBidi" w:hint="cs"/>
                <w:sz w:val="24"/>
                <w:szCs w:val="24"/>
                <w:rtl/>
                <w:lang w:val="en-GB"/>
              </w:rPr>
              <w:t>حلقات</w:t>
            </w:r>
            <w:r w:rsidRPr="00332118">
              <w:rPr>
                <w:rFonts w:asciiTheme="majorBidi" w:hAnsiTheme="majorBidi"/>
                <w:sz w:val="24"/>
                <w:szCs w:val="24"/>
                <w:rtl/>
                <w:lang w:val="en-GB"/>
              </w:rPr>
              <w:t xml:space="preserve"> عمل وفرص مواتية </w:t>
            </w:r>
            <w:r w:rsidR="009631BD" w:rsidRPr="00332118">
              <w:rPr>
                <w:rFonts w:asciiTheme="majorBidi" w:hAnsiTheme="majorBidi"/>
                <w:sz w:val="24"/>
                <w:szCs w:val="24"/>
                <w:rtl/>
                <w:lang w:val="en-GB"/>
              </w:rPr>
              <w:t xml:space="preserve">أخرى </w:t>
            </w:r>
          </w:p>
          <w:p w14:paraId="1B37EE35" w14:textId="2455B47E" w:rsidR="009631BD" w:rsidRPr="00332118" w:rsidRDefault="00BD0AB0" w:rsidP="00E4340C">
            <w:pPr>
              <w:pStyle w:val="ListParagraph"/>
              <w:numPr>
                <w:ilvl w:val="0"/>
                <w:numId w:val="73"/>
              </w:numPr>
              <w:bidi/>
              <w:spacing w:before="120"/>
              <w:jc w:val="both"/>
              <w:rPr>
                <w:rFonts w:asciiTheme="majorBidi" w:hAnsiTheme="majorBidi" w:cstheme="majorBidi"/>
                <w:sz w:val="24"/>
                <w:szCs w:val="24"/>
                <w:lang w:val="en-GB"/>
              </w:rPr>
            </w:pPr>
            <w:r w:rsidRPr="00332118">
              <w:rPr>
                <w:rFonts w:asciiTheme="majorBidi" w:hAnsiTheme="majorBidi"/>
                <w:sz w:val="24"/>
                <w:szCs w:val="24"/>
                <w:rtl/>
                <w:lang w:val="en-GB"/>
              </w:rPr>
              <w:t xml:space="preserve">تغطية </w:t>
            </w:r>
            <w:r w:rsidR="009631BD" w:rsidRPr="00332118">
              <w:rPr>
                <w:rFonts w:asciiTheme="majorBidi" w:hAnsiTheme="majorBidi"/>
                <w:sz w:val="24"/>
                <w:szCs w:val="24"/>
                <w:rtl/>
                <w:lang w:val="en-GB"/>
              </w:rPr>
              <w:t>إعلامية ل</w:t>
            </w:r>
            <w:r w:rsidRPr="00332118">
              <w:rPr>
                <w:rFonts w:asciiTheme="majorBidi" w:hAnsiTheme="majorBidi" w:hint="cs"/>
                <w:sz w:val="24"/>
                <w:szCs w:val="24"/>
                <w:rtl/>
                <w:lang w:val="en-GB"/>
              </w:rPr>
              <w:t xml:space="preserve">مثل </w:t>
            </w:r>
            <w:r w:rsidR="009631BD" w:rsidRPr="00332118">
              <w:rPr>
                <w:rFonts w:asciiTheme="majorBidi" w:hAnsiTheme="majorBidi"/>
                <w:sz w:val="24"/>
                <w:szCs w:val="24"/>
                <w:rtl/>
                <w:lang w:val="en-GB"/>
              </w:rPr>
              <w:t xml:space="preserve">هذه </w:t>
            </w:r>
            <w:r w:rsidR="00727FE5">
              <w:rPr>
                <w:rFonts w:asciiTheme="majorBidi" w:hAnsiTheme="majorBidi" w:hint="cs"/>
                <w:sz w:val="24"/>
                <w:szCs w:val="24"/>
                <w:rtl/>
                <w:lang w:val="en-GB"/>
              </w:rPr>
              <w:t>الحلقات</w:t>
            </w:r>
            <w:r w:rsidR="009631BD" w:rsidRPr="00332118">
              <w:rPr>
                <w:rFonts w:asciiTheme="majorBidi" w:hAnsiTheme="majorBidi"/>
                <w:sz w:val="24"/>
                <w:szCs w:val="24"/>
                <w:rtl/>
                <w:lang w:val="en-GB"/>
              </w:rPr>
              <w:t xml:space="preserve"> والأنشطة التدريبية</w:t>
            </w:r>
          </w:p>
          <w:p w14:paraId="6E47F751" w14:textId="4A148BCD" w:rsidR="00F772F9" w:rsidRPr="00332118" w:rsidRDefault="00BD0AB0" w:rsidP="00E4340C">
            <w:pPr>
              <w:pStyle w:val="ListParagraph"/>
              <w:numPr>
                <w:ilvl w:val="0"/>
                <w:numId w:val="73"/>
              </w:numPr>
              <w:bidi/>
              <w:spacing w:before="120"/>
              <w:jc w:val="both"/>
              <w:rPr>
                <w:rFonts w:asciiTheme="majorBidi" w:hAnsiTheme="majorBidi" w:cstheme="majorBidi"/>
                <w:sz w:val="24"/>
                <w:szCs w:val="24"/>
                <w:lang w:val="en-GB"/>
              </w:rPr>
            </w:pPr>
            <w:r w:rsidRPr="00332118">
              <w:rPr>
                <w:rFonts w:asciiTheme="majorBidi" w:hAnsiTheme="majorBidi"/>
                <w:sz w:val="24"/>
                <w:szCs w:val="24"/>
                <w:rtl/>
                <w:lang w:val="en-GB"/>
              </w:rPr>
              <w:t xml:space="preserve">صفحة </w:t>
            </w:r>
            <w:r w:rsidRPr="00332118">
              <w:rPr>
                <w:rFonts w:asciiTheme="majorBidi" w:hAnsiTheme="majorBidi" w:hint="cs"/>
                <w:sz w:val="24"/>
                <w:szCs w:val="24"/>
                <w:rtl/>
                <w:lang w:val="en-GB"/>
              </w:rPr>
              <w:t>ا</w:t>
            </w:r>
            <w:r w:rsidR="009631BD" w:rsidRPr="00332118">
              <w:rPr>
                <w:rFonts w:asciiTheme="majorBidi" w:hAnsiTheme="majorBidi"/>
                <w:sz w:val="24"/>
                <w:szCs w:val="24"/>
                <w:rtl/>
                <w:lang w:val="en-GB"/>
              </w:rPr>
              <w:t>ليونسكو على الإنترنت حول مشاريع بناء القدرات</w:t>
            </w:r>
          </w:p>
        </w:tc>
      </w:tr>
    </w:tbl>
    <w:p w14:paraId="7AA6BBED" w14:textId="77777777" w:rsidR="00320242" w:rsidRPr="00FA4B21" w:rsidRDefault="00320242" w:rsidP="00E4340C">
      <w:pPr>
        <w:bidi/>
        <w:rPr>
          <w:rFonts w:asciiTheme="majorBidi" w:hAnsiTheme="majorBidi" w:cstheme="majorBidi"/>
        </w:rPr>
      </w:pPr>
    </w:p>
    <w:sectPr w:rsidR="00320242" w:rsidRPr="00FA4B21"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DF01E" w14:textId="77777777" w:rsidR="00633F73" w:rsidRDefault="00633F73" w:rsidP="002938F2">
      <w:r>
        <w:separator/>
      </w:r>
    </w:p>
    <w:p w14:paraId="20B184EB" w14:textId="77777777" w:rsidR="00633F73" w:rsidRDefault="00633F73"/>
  </w:endnote>
  <w:endnote w:type="continuationSeparator" w:id="0">
    <w:p w14:paraId="512859D8" w14:textId="77777777" w:rsidR="00633F73" w:rsidRDefault="00633F73" w:rsidP="002938F2">
      <w:r>
        <w:continuationSeparator/>
      </w:r>
    </w:p>
    <w:p w14:paraId="140B94F4" w14:textId="77777777" w:rsidR="00633F73" w:rsidRDefault="00633F73"/>
  </w:endnote>
  <w:endnote w:type="continuationNotice" w:id="1">
    <w:p w14:paraId="033903C1" w14:textId="77777777" w:rsidR="00633F73" w:rsidRDefault="00633F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4F107" w14:textId="469649F3" w:rsidR="00C04344" w:rsidRPr="000A0709" w:rsidRDefault="00EB73E1" w:rsidP="000A0709">
    <w:pPr>
      <w:pStyle w:val="Footer"/>
      <w:jc w:val="center"/>
      <w:rPr>
        <w:rFonts w:ascii="Arial" w:hAnsi="Arial"/>
        <w:lang w:bidi="ar-EG"/>
      </w:rPr>
    </w:pPr>
    <w:r>
      <w:rPr>
        <w:rFonts w:ascii="Arial" w:hAnsi="Arial" w:hint="cs"/>
        <w:rtl/>
        <w:lang w:bidi="ar-EG"/>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4896C" w14:textId="77777777" w:rsidR="00633F73" w:rsidRDefault="00633F73" w:rsidP="002938F2">
      <w:r>
        <w:separator/>
      </w:r>
    </w:p>
  </w:footnote>
  <w:footnote w:type="continuationSeparator" w:id="0">
    <w:p w14:paraId="5F840C87" w14:textId="77777777" w:rsidR="00633F73" w:rsidRDefault="00633F73" w:rsidP="002938F2">
      <w:r>
        <w:continuationSeparator/>
      </w:r>
    </w:p>
    <w:p w14:paraId="67E17DD8" w14:textId="77777777" w:rsidR="00633F73" w:rsidRDefault="00633F73"/>
  </w:footnote>
  <w:footnote w:type="continuationNotice" w:id="1">
    <w:p w14:paraId="7E609766" w14:textId="77777777" w:rsidR="00633F73" w:rsidRDefault="00633F7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354A32"/>
    <w:multiLevelType w:val="multilevel"/>
    <w:tmpl w:val="5E98540E"/>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6"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7"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3"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4"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1E2D6B8E"/>
    <w:multiLevelType w:val="hybridMultilevel"/>
    <w:tmpl w:val="23886322"/>
    <w:lvl w:ilvl="0" w:tplc="9C8AE8D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7"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9C79C0"/>
    <w:multiLevelType w:val="multilevel"/>
    <w:tmpl w:val="E0FCBE76"/>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0"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171667F"/>
    <w:multiLevelType w:val="hybridMultilevel"/>
    <w:tmpl w:val="23886322"/>
    <w:lvl w:ilvl="0" w:tplc="9C8AE8D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7"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0"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1"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3"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4"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6"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8"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9"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41"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5"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5"/>
  </w:num>
  <w:num w:numId="2">
    <w:abstractNumId w:val="29"/>
  </w:num>
  <w:num w:numId="3">
    <w:abstractNumId w:val="12"/>
  </w:num>
  <w:num w:numId="4">
    <w:abstractNumId w:val="57"/>
  </w:num>
  <w:num w:numId="5">
    <w:abstractNumId w:val="48"/>
  </w:num>
  <w:num w:numId="6">
    <w:abstractNumId w:val="5"/>
  </w:num>
  <w:num w:numId="7">
    <w:abstractNumId w:val="17"/>
  </w:num>
  <w:num w:numId="8">
    <w:abstractNumId w:val="28"/>
  </w:num>
  <w:num w:numId="9">
    <w:abstractNumId w:val="51"/>
  </w:num>
  <w:num w:numId="10">
    <w:abstractNumId w:val="28"/>
  </w:num>
  <w:num w:numId="11">
    <w:abstractNumId w:val="28"/>
  </w:num>
  <w:num w:numId="12">
    <w:abstractNumId w:val="28"/>
  </w:num>
  <w:num w:numId="13">
    <w:abstractNumId w:val="28"/>
  </w:num>
  <w:num w:numId="14">
    <w:abstractNumId w:val="28"/>
  </w:num>
  <w:num w:numId="15">
    <w:abstractNumId w:val="28"/>
  </w:num>
  <w:num w:numId="16">
    <w:abstractNumId w:val="26"/>
  </w:num>
  <w:num w:numId="17">
    <w:abstractNumId w:val="41"/>
  </w:num>
  <w:num w:numId="18">
    <w:abstractNumId w:val="28"/>
  </w:num>
  <w:num w:numId="19">
    <w:abstractNumId w:val="28"/>
  </w:num>
  <w:num w:numId="20">
    <w:abstractNumId w:val="28"/>
  </w:num>
  <w:num w:numId="21">
    <w:abstractNumId w:val="28"/>
  </w:num>
  <w:num w:numId="22">
    <w:abstractNumId w:val="28"/>
  </w:num>
  <w:num w:numId="23">
    <w:abstractNumId w:val="28"/>
  </w:num>
  <w:num w:numId="24">
    <w:abstractNumId w:val="28"/>
  </w:num>
  <w:num w:numId="25">
    <w:abstractNumId w:val="28"/>
  </w:num>
  <w:num w:numId="26">
    <w:abstractNumId w:val="55"/>
  </w:num>
  <w:num w:numId="27">
    <w:abstractNumId w:val="28"/>
  </w:num>
  <w:num w:numId="28">
    <w:abstractNumId w:val="28"/>
  </w:num>
  <w:num w:numId="29">
    <w:abstractNumId w:val="28"/>
  </w:num>
  <w:num w:numId="30">
    <w:abstractNumId w:val="28"/>
  </w:num>
  <w:num w:numId="31">
    <w:abstractNumId w:val="11"/>
  </w:num>
  <w:num w:numId="32">
    <w:abstractNumId w:val="9"/>
  </w:num>
  <w:num w:numId="33">
    <w:abstractNumId w:val="18"/>
  </w:num>
  <w:num w:numId="34">
    <w:abstractNumId w:val="49"/>
  </w:num>
  <w:num w:numId="35">
    <w:abstractNumId w:val="23"/>
  </w:num>
  <w:num w:numId="36">
    <w:abstractNumId w:val="43"/>
  </w:num>
  <w:num w:numId="37">
    <w:abstractNumId w:val="20"/>
  </w:num>
  <w:num w:numId="38">
    <w:abstractNumId w:val="10"/>
  </w:num>
  <w:num w:numId="39">
    <w:abstractNumId w:val="7"/>
  </w:num>
  <w:num w:numId="40">
    <w:abstractNumId w:val="22"/>
  </w:num>
  <w:num w:numId="41">
    <w:abstractNumId w:val="56"/>
  </w:num>
  <w:num w:numId="42">
    <w:abstractNumId w:val="53"/>
  </w:num>
  <w:num w:numId="43">
    <w:abstractNumId w:val="32"/>
  </w:num>
  <w:num w:numId="44">
    <w:abstractNumId w:val="13"/>
  </w:num>
  <w:num w:numId="45">
    <w:abstractNumId w:val="54"/>
  </w:num>
  <w:num w:numId="46">
    <w:abstractNumId w:val="6"/>
  </w:num>
  <w:num w:numId="47">
    <w:abstractNumId w:val="38"/>
  </w:num>
  <w:num w:numId="48">
    <w:abstractNumId w:val="58"/>
  </w:num>
  <w:num w:numId="49">
    <w:abstractNumId w:val="35"/>
  </w:num>
  <w:num w:numId="50">
    <w:abstractNumId w:val="33"/>
  </w:num>
  <w:num w:numId="51">
    <w:abstractNumId w:val="30"/>
  </w:num>
  <w:num w:numId="52">
    <w:abstractNumId w:val="40"/>
  </w:num>
  <w:num w:numId="53">
    <w:abstractNumId w:val="16"/>
  </w:num>
  <w:num w:numId="54">
    <w:abstractNumId w:val="2"/>
  </w:num>
  <w:num w:numId="55">
    <w:abstractNumId w:val="37"/>
  </w:num>
  <w:num w:numId="56">
    <w:abstractNumId w:val="42"/>
  </w:num>
  <w:num w:numId="57">
    <w:abstractNumId w:val="0"/>
  </w:num>
  <w:num w:numId="58">
    <w:abstractNumId w:val="4"/>
  </w:num>
  <w:num w:numId="59">
    <w:abstractNumId w:val="46"/>
  </w:num>
  <w:num w:numId="60">
    <w:abstractNumId w:val="3"/>
  </w:num>
  <w:num w:numId="61">
    <w:abstractNumId w:val="34"/>
  </w:num>
  <w:num w:numId="62">
    <w:abstractNumId w:val="24"/>
  </w:num>
  <w:num w:numId="63">
    <w:abstractNumId w:val="50"/>
  </w:num>
  <w:num w:numId="64">
    <w:abstractNumId w:val="21"/>
  </w:num>
  <w:num w:numId="65">
    <w:abstractNumId w:val="27"/>
  </w:num>
  <w:num w:numId="66">
    <w:abstractNumId w:val="47"/>
  </w:num>
  <w:num w:numId="67">
    <w:abstractNumId w:val="39"/>
  </w:num>
  <w:num w:numId="68">
    <w:abstractNumId w:val="14"/>
  </w:num>
  <w:num w:numId="69">
    <w:abstractNumId w:val="44"/>
  </w:num>
  <w:num w:numId="70">
    <w:abstractNumId w:val="36"/>
  </w:num>
  <w:num w:numId="71">
    <w:abstractNumId w:val="31"/>
  </w:num>
  <w:num w:numId="72">
    <w:abstractNumId w:val="52"/>
  </w:num>
  <w:num w:numId="73">
    <w:abstractNumId w:val="8"/>
  </w:num>
  <w:num w:numId="74">
    <w:abstractNumId w:val="1"/>
  </w:num>
  <w:num w:numId="75">
    <w:abstractNumId w:val="19"/>
  </w:num>
  <w:num w:numId="76">
    <w:abstractNumId w:val="15"/>
  </w:num>
  <w:num w:numId="77">
    <w:abstractNumId w:val="2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ar-SA" w:vendorID="64" w:dllVersion="0" w:nlCheck="1" w:checkStyle="0"/>
  <w:activeWritingStyle w:appName="MSWord" w:lang="ar-EG"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3AC"/>
    <w:rsid w:val="000000E8"/>
    <w:rsid w:val="000016A4"/>
    <w:rsid w:val="000019DB"/>
    <w:rsid w:val="000047CC"/>
    <w:rsid w:val="00005BA5"/>
    <w:rsid w:val="00005BFA"/>
    <w:rsid w:val="00006F66"/>
    <w:rsid w:val="00007BE1"/>
    <w:rsid w:val="00010E2D"/>
    <w:rsid w:val="000120FD"/>
    <w:rsid w:val="00013A65"/>
    <w:rsid w:val="0001506E"/>
    <w:rsid w:val="00015B9D"/>
    <w:rsid w:val="0001601A"/>
    <w:rsid w:val="00021831"/>
    <w:rsid w:val="00022C19"/>
    <w:rsid w:val="00031A37"/>
    <w:rsid w:val="00036843"/>
    <w:rsid w:val="0003781C"/>
    <w:rsid w:val="00047E58"/>
    <w:rsid w:val="00054FDC"/>
    <w:rsid w:val="000615DC"/>
    <w:rsid w:val="000632E2"/>
    <w:rsid w:val="0007203D"/>
    <w:rsid w:val="000729D2"/>
    <w:rsid w:val="00073D20"/>
    <w:rsid w:val="00074E7D"/>
    <w:rsid w:val="000755E1"/>
    <w:rsid w:val="0007681B"/>
    <w:rsid w:val="000769F1"/>
    <w:rsid w:val="00083694"/>
    <w:rsid w:val="00085541"/>
    <w:rsid w:val="00092AE6"/>
    <w:rsid w:val="00093063"/>
    <w:rsid w:val="000975E3"/>
    <w:rsid w:val="000A0709"/>
    <w:rsid w:val="000A0F0D"/>
    <w:rsid w:val="000A112A"/>
    <w:rsid w:val="000A21DA"/>
    <w:rsid w:val="000A34CE"/>
    <w:rsid w:val="000B228F"/>
    <w:rsid w:val="000B4CE7"/>
    <w:rsid w:val="000C03BF"/>
    <w:rsid w:val="000C15BD"/>
    <w:rsid w:val="000C65E4"/>
    <w:rsid w:val="000C7EE0"/>
    <w:rsid w:val="000D1EBC"/>
    <w:rsid w:val="000D260B"/>
    <w:rsid w:val="000D2B91"/>
    <w:rsid w:val="000D345F"/>
    <w:rsid w:val="000D3660"/>
    <w:rsid w:val="000D7375"/>
    <w:rsid w:val="000E2EE7"/>
    <w:rsid w:val="000E4E7A"/>
    <w:rsid w:val="000F25BA"/>
    <w:rsid w:val="000F2B3F"/>
    <w:rsid w:val="000F78B0"/>
    <w:rsid w:val="000F7E6F"/>
    <w:rsid w:val="00104936"/>
    <w:rsid w:val="00106B72"/>
    <w:rsid w:val="00106D19"/>
    <w:rsid w:val="0011334A"/>
    <w:rsid w:val="00115830"/>
    <w:rsid w:val="00116489"/>
    <w:rsid w:val="0011750D"/>
    <w:rsid w:val="00121B41"/>
    <w:rsid w:val="00123AA1"/>
    <w:rsid w:val="001301DF"/>
    <w:rsid w:val="001412DE"/>
    <w:rsid w:val="00142D78"/>
    <w:rsid w:val="00144A4D"/>
    <w:rsid w:val="001504F8"/>
    <w:rsid w:val="00151351"/>
    <w:rsid w:val="001530C5"/>
    <w:rsid w:val="00154138"/>
    <w:rsid w:val="00156788"/>
    <w:rsid w:val="001609A1"/>
    <w:rsid w:val="00162554"/>
    <w:rsid w:val="00163F68"/>
    <w:rsid w:val="00173B50"/>
    <w:rsid w:val="00173E0E"/>
    <w:rsid w:val="00174B39"/>
    <w:rsid w:val="00183F6C"/>
    <w:rsid w:val="001869E2"/>
    <w:rsid w:val="00192D29"/>
    <w:rsid w:val="00194802"/>
    <w:rsid w:val="00194AEB"/>
    <w:rsid w:val="001A431C"/>
    <w:rsid w:val="001A5519"/>
    <w:rsid w:val="001A7C3A"/>
    <w:rsid w:val="001B1140"/>
    <w:rsid w:val="001B3A7B"/>
    <w:rsid w:val="001B5C26"/>
    <w:rsid w:val="001C08BC"/>
    <w:rsid w:val="001C2F8A"/>
    <w:rsid w:val="001C56BA"/>
    <w:rsid w:val="001C58BF"/>
    <w:rsid w:val="001C6D7D"/>
    <w:rsid w:val="001C6F2B"/>
    <w:rsid w:val="001D00B5"/>
    <w:rsid w:val="001D3B29"/>
    <w:rsid w:val="001D59C8"/>
    <w:rsid w:val="001E4EEB"/>
    <w:rsid w:val="001E6026"/>
    <w:rsid w:val="001E7940"/>
    <w:rsid w:val="001E7E60"/>
    <w:rsid w:val="001F3696"/>
    <w:rsid w:val="001F37CA"/>
    <w:rsid w:val="0020163D"/>
    <w:rsid w:val="00203AD7"/>
    <w:rsid w:val="002042CC"/>
    <w:rsid w:val="00204B37"/>
    <w:rsid w:val="002074D6"/>
    <w:rsid w:val="00210CBC"/>
    <w:rsid w:val="002119C5"/>
    <w:rsid w:val="00222AF2"/>
    <w:rsid w:val="00223C3B"/>
    <w:rsid w:val="00224346"/>
    <w:rsid w:val="0022597C"/>
    <w:rsid w:val="00226582"/>
    <w:rsid w:val="00230F77"/>
    <w:rsid w:val="00232E4E"/>
    <w:rsid w:val="002330F3"/>
    <w:rsid w:val="00234AE4"/>
    <w:rsid w:val="00237935"/>
    <w:rsid w:val="00237E43"/>
    <w:rsid w:val="00241FA0"/>
    <w:rsid w:val="00245E26"/>
    <w:rsid w:val="002539EA"/>
    <w:rsid w:val="002542FD"/>
    <w:rsid w:val="00254B4E"/>
    <w:rsid w:val="00254CA1"/>
    <w:rsid w:val="0026007A"/>
    <w:rsid w:val="002638C0"/>
    <w:rsid w:val="00265E42"/>
    <w:rsid w:val="00266B45"/>
    <w:rsid w:val="0027198B"/>
    <w:rsid w:val="00273658"/>
    <w:rsid w:val="00273FED"/>
    <w:rsid w:val="00282A9D"/>
    <w:rsid w:val="00286C0C"/>
    <w:rsid w:val="00287687"/>
    <w:rsid w:val="00287AB9"/>
    <w:rsid w:val="00290D5F"/>
    <w:rsid w:val="0029148C"/>
    <w:rsid w:val="002938F2"/>
    <w:rsid w:val="00293CCC"/>
    <w:rsid w:val="002A195D"/>
    <w:rsid w:val="002B43D6"/>
    <w:rsid w:val="002B5410"/>
    <w:rsid w:val="002B6B98"/>
    <w:rsid w:val="002C10CA"/>
    <w:rsid w:val="002C28BA"/>
    <w:rsid w:val="002C3B8F"/>
    <w:rsid w:val="002C444C"/>
    <w:rsid w:val="002C5021"/>
    <w:rsid w:val="002C5280"/>
    <w:rsid w:val="002C5C29"/>
    <w:rsid w:val="002D396D"/>
    <w:rsid w:val="002D71D4"/>
    <w:rsid w:val="002E113D"/>
    <w:rsid w:val="002E2E75"/>
    <w:rsid w:val="002F17E1"/>
    <w:rsid w:val="003043A9"/>
    <w:rsid w:val="0030454E"/>
    <w:rsid w:val="00320242"/>
    <w:rsid w:val="00324A32"/>
    <w:rsid w:val="00325D6E"/>
    <w:rsid w:val="00331B6A"/>
    <w:rsid w:val="00332118"/>
    <w:rsid w:val="00334977"/>
    <w:rsid w:val="00337194"/>
    <w:rsid w:val="00342EE8"/>
    <w:rsid w:val="00344BAF"/>
    <w:rsid w:val="00344D78"/>
    <w:rsid w:val="00346517"/>
    <w:rsid w:val="00351CCB"/>
    <w:rsid w:val="0035648A"/>
    <w:rsid w:val="00362B41"/>
    <w:rsid w:val="00363995"/>
    <w:rsid w:val="00364E5E"/>
    <w:rsid w:val="00370E9B"/>
    <w:rsid w:val="00377E4B"/>
    <w:rsid w:val="00383BA9"/>
    <w:rsid w:val="003845B0"/>
    <w:rsid w:val="00385B34"/>
    <w:rsid w:val="00386C08"/>
    <w:rsid w:val="00387D88"/>
    <w:rsid w:val="0039446E"/>
    <w:rsid w:val="00397E4B"/>
    <w:rsid w:val="003A260A"/>
    <w:rsid w:val="003A2BC4"/>
    <w:rsid w:val="003B31BE"/>
    <w:rsid w:val="003B3775"/>
    <w:rsid w:val="003B504D"/>
    <w:rsid w:val="003C0FE0"/>
    <w:rsid w:val="003C11D5"/>
    <w:rsid w:val="003C385E"/>
    <w:rsid w:val="003C7065"/>
    <w:rsid w:val="003D262B"/>
    <w:rsid w:val="003D2E0D"/>
    <w:rsid w:val="003D33CE"/>
    <w:rsid w:val="003D5113"/>
    <w:rsid w:val="003D5BFC"/>
    <w:rsid w:val="003D6E10"/>
    <w:rsid w:val="003E0C0F"/>
    <w:rsid w:val="003E0E28"/>
    <w:rsid w:val="003E19D5"/>
    <w:rsid w:val="003E4F09"/>
    <w:rsid w:val="003E535D"/>
    <w:rsid w:val="003E76A8"/>
    <w:rsid w:val="003F5B90"/>
    <w:rsid w:val="003F73AF"/>
    <w:rsid w:val="00404856"/>
    <w:rsid w:val="004057C7"/>
    <w:rsid w:val="00406ED7"/>
    <w:rsid w:val="004108B6"/>
    <w:rsid w:val="0041110F"/>
    <w:rsid w:val="0041300C"/>
    <w:rsid w:val="00414B68"/>
    <w:rsid w:val="00430ED2"/>
    <w:rsid w:val="00434773"/>
    <w:rsid w:val="004367F5"/>
    <w:rsid w:val="00440500"/>
    <w:rsid w:val="004458C9"/>
    <w:rsid w:val="00447C66"/>
    <w:rsid w:val="004622DF"/>
    <w:rsid w:val="00462F38"/>
    <w:rsid w:val="004676C1"/>
    <w:rsid w:val="00471430"/>
    <w:rsid w:val="00471B34"/>
    <w:rsid w:val="00474AFE"/>
    <w:rsid w:val="00477E66"/>
    <w:rsid w:val="00480809"/>
    <w:rsid w:val="00486A5E"/>
    <w:rsid w:val="00493F92"/>
    <w:rsid w:val="00494997"/>
    <w:rsid w:val="004A0C2B"/>
    <w:rsid w:val="004A38E1"/>
    <w:rsid w:val="004A610E"/>
    <w:rsid w:val="004C20E2"/>
    <w:rsid w:val="004C62B6"/>
    <w:rsid w:val="004D215C"/>
    <w:rsid w:val="004D7F00"/>
    <w:rsid w:val="004E056C"/>
    <w:rsid w:val="004E2817"/>
    <w:rsid w:val="004E2AE8"/>
    <w:rsid w:val="004E418A"/>
    <w:rsid w:val="004F7AFD"/>
    <w:rsid w:val="005016FB"/>
    <w:rsid w:val="00504256"/>
    <w:rsid w:val="00511D17"/>
    <w:rsid w:val="005157E2"/>
    <w:rsid w:val="0051699F"/>
    <w:rsid w:val="00516DE3"/>
    <w:rsid w:val="005300BF"/>
    <w:rsid w:val="00532631"/>
    <w:rsid w:val="00537C1A"/>
    <w:rsid w:val="005414A1"/>
    <w:rsid w:val="0054175C"/>
    <w:rsid w:val="005473CF"/>
    <w:rsid w:val="00567C07"/>
    <w:rsid w:val="00570355"/>
    <w:rsid w:val="00574530"/>
    <w:rsid w:val="00581423"/>
    <w:rsid w:val="00582F4C"/>
    <w:rsid w:val="0058407A"/>
    <w:rsid w:val="005866BE"/>
    <w:rsid w:val="00594539"/>
    <w:rsid w:val="005A1BCE"/>
    <w:rsid w:val="005A65BD"/>
    <w:rsid w:val="005A7D00"/>
    <w:rsid w:val="005B0FE5"/>
    <w:rsid w:val="005B14AB"/>
    <w:rsid w:val="005B357C"/>
    <w:rsid w:val="005B4A0B"/>
    <w:rsid w:val="005B53C6"/>
    <w:rsid w:val="005C0015"/>
    <w:rsid w:val="005C0052"/>
    <w:rsid w:val="005C05F4"/>
    <w:rsid w:val="005C0660"/>
    <w:rsid w:val="005C44A6"/>
    <w:rsid w:val="005C5201"/>
    <w:rsid w:val="005C7D6A"/>
    <w:rsid w:val="005D2DDA"/>
    <w:rsid w:val="005E1482"/>
    <w:rsid w:val="005E3A3E"/>
    <w:rsid w:val="005E51FF"/>
    <w:rsid w:val="005E6A2B"/>
    <w:rsid w:val="005E7C7C"/>
    <w:rsid w:val="00601DD6"/>
    <w:rsid w:val="006032AE"/>
    <w:rsid w:val="00603F71"/>
    <w:rsid w:val="00605202"/>
    <w:rsid w:val="00606A5F"/>
    <w:rsid w:val="00621092"/>
    <w:rsid w:val="00621208"/>
    <w:rsid w:val="00627107"/>
    <w:rsid w:val="00632B30"/>
    <w:rsid w:val="00633F73"/>
    <w:rsid w:val="006340A1"/>
    <w:rsid w:val="00635A19"/>
    <w:rsid w:val="00636760"/>
    <w:rsid w:val="00644B92"/>
    <w:rsid w:val="00645B77"/>
    <w:rsid w:val="0065099D"/>
    <w:rsid w:val="006515C9"/>
    <w:rsid w:val="00651944"/>
    <w:rsid w:val="006522F1"/>
    <w:rsid w:val="00652318"/>
    <w:rsid w:val="00652484"/>
    <w:rsid w:val="006525D7"/>
    <w:rsid w:val="00652A6F"/>
    <w:rsid w:val="00653314"/>
    <w:rsid w:val="00654BA0"/>
    <w:rsid w:val="00660F3B"/>
    <w:rsid w:val="0067005F"/>
    <w:rsid w:val="0067015A"/>
    <w:rsid w:val="006736EC"/>
    <w:rsid w:val="00673D90"/>
    <w:rsid w:val="00676C1E"/>
    <w:rsid w:val="00686D60"/>
    <w:rsid w:val="00691869"/>
    <w:rsid w:val="00694759"/>
    <w:rsid w:val="006A0D86"/>
    <w:rsid w:val="006A49AE"/>
    <w:rsid w:val="006A56C0"/>
    <w:rsid w:val="006B543D"/>
    <w:rsid w:val="006C0911"/>
    <w:rsid w:val="006C3B03"/>
    <w:rsid w:val="006C737A"/>
    <w:rsid w:val="006C7A8B"/>
    <w:rsid w:val="006D46FB"/>
    <w:rsid w:val="006E2325"/>
    <w:rsid w:val="006E29C0"/>
    <w:rsid w:val="006E752A"/>
    <w:rsid w:val="006E7CF0"/>
    <w:rsid w:val="006F3E83"/>
    <w:rsid w:val="006F4B83"/>
    <w:rsid w:val="006F6E9F"/>
    <w:rsid w:val="006F7F47"/>
    <w:rsid w:val="00701458"/>
    <w:rsid w:val="00701D7E"/>
    <w:rsid w:val="00704766"/>
    <w:rsid w:val="007119B8"/>
    <w:rsid w:val="00717D3F"/>
    <w:rsid w:val="0072415E"/>
    <w:rsid w:val="007247D7"/>
    <w:rsid w:val="007250E3"/>
    <w:rsid w:val="007277C8"/>
    <w:rsid w:val="00727FE5"/>
    <w:rsid w:val="00732057"/>
    <w:rsid w:val="007368A2"/>
    <w:rsid w:val="007418AE"/>
    <w:rsid w:val="00741CDB"/>
    <w:rsid w:val="00742DD1"/>
    <w:rsid w:val="0074360F"/>
    <w:rsid w:val="00746204"/>
    <w:rsid w:val="00747715"/>
    <w:rsid w:val="00747F86"/>
    <w:rsid w:val="00750138"/>
    <w:rsid w:val="007510FC"/>
    <w:rsid w:val="00753DA3"/>
    <w:rsid w:val="007610D3"/>
    <w:rsid w:val="007629DB"/>
    <w:rsid w:val="00764F50"/>
    <w:rsid w:val="00767871"/>
    <w:rsid w:val="00770A92"/>
    <w:rsid w:val="00774D9C"/>
    <w:rsid w:val="00776A63"/>
    <w:rsid w:val="00784424"/>
    <w:rsid w:val="00790C65"/>
    <w:rsid w:val="0079316B"/>
    <w:rsid w:val="007A0565"/>
    <w:rsid w:val="007A0EAA"/>
    <w:rsid w:val="007A1247"/>
    <w:rsid w:val="007A1E0A"/>
    <w:rsid w:val="007A53AC"/>
    <w:rsid w:val="007A6F91"/>
    <w:rsid w:val="007A7D45"/>
    <w:rsid w:val="007B4ADA"/>
    <w:rsid w:val="007C105C"/>
    <w:rsid w:val="007C1B00"/>
    <w:rsid w:val="007D049C"/>
    <w:rsid w:val="007D0F1D"/>
    <w:rsid w:val="007D2881"/>
    <w:rsid w:val="007D31CE"/>
    <w:rsid w:val="007D3AD8"/>
    <w:rsid w:val="007D5BB7"/>
    <w:rsid w:val="007D6A69"/>
    <w:rsid w:val="007E0621"/>
    <w:rsid w:val="007E4E37"/>
    <w:rsid w:val="007F2F3A"/>
    <w:rsid w:val="007F43D6"/>
    <w:rsid w:val="007F4B07"/>
    <w:rsid w:val="008003ED"/>
    <w:rsid w:val="008029A6"/>
    <w:rsid w:val="0080763D"/>
    <w:rsid w:val="008137FD"/>
    <w:rsid w:val="008140A1"/>
    <w:rsid w:val="008147BA"/>
    <w:rsid w:val="008269B0"/>
    <w:rsid w:val="0083067E"/>
    <w:rsid w:val="00832357"/>
    <w:rsid w:val="008337FF"/>
    <w:rsid w:val="0083488D"/>
    <w:rsid w:val="008466C3"/>
    <w:rsid w:val="00846809"/>
    <w:rsid w:val="00851458"/>
    <w:rsid w:val="008531E0"/>
    <w:rsid w:val="0085475F"/>
    <w:rsid w:val="00861A47"/>
    <w:rsid w:val="008664E0"/>
    <w:rsid w:val="008707FF"/>
    <w:rsid w:val="00871168"/>
    <w:rsid w:val="008724E5"/>
    <w:rsid w:val="00877AC5"/>
    <w:rsid w:val="00877F27"/>
    <w:rsid w:val="0088173A"/>
    <w:rsid w:val="00881EB9"/>
    <w:rsid w:val="00882964"/>
    <w:rsid w:val="008848E9"/>
    <w:rsid w:val="00884C09"/>
    <w:rsid w:val="00885596"/>
    <w:rsid w:val="00885B33"/>
    <w:rsid w:val="00886B71"/>
    <w:rsid w:val="0089499E"/>
    <w:rsid w:val="00896177"/>
    <w:rsid w:val="008A0BE3"/>
    <w:rsid w:val="008A2566"/>
    <w:rsid w:val="008A5A49"/>
    <w:rsid w:val="008A625D"/>
    <w:rsid w:val="008A6663"/>
    <w:rsid w:val="008B5F60"/>
    <w:rsid w:val="008B6B4C"/>
    <w:rsid w:val="008B7346"/>
    <w:rsid w:val="008C20AD"/>
    <w:rsid w:val="008C70DB"/>
    <w:rsid w:val="008C7F60"/>
    <w:rsid w:val="008D061A"/>
    <w:rsid w:val="008D3BF7"/>
    <w:rsid w:val="008E0A74"/>
    <w:rsid w:val="008E0DAA"/>
    <w:rsid w:val="008E194D"/>
    <w:rsid w:val="008E7410"/>
    <w:rsid w:val="008F16C6"/>
    <w:rsid w:val="008F281F"/>
    <w:rsid w:val="008F2A76"/>
    <w:rsid w:val="008F34A1"/>
    <w:rsid w:val="008F4F13"/>
    <w:rsid w:val="008F5052"/>
    <w:rsid w:val="008F5193"/>
    <w:rsid w:val="0090187D"/>
    <w:rsid w:val="00903C3D"/>
    <w:rsid w:val="0090710F"/>
    <w:rsid w:val="00910B12"/>
    <w:rsid w:val="00911179"/>
    <w:rsid w:val="009121CE"/>
    <w:rsid w:val="009127D8"/>
    <w:rsid w:val="00916F7B"/>
    <w:rsid w:val="00917A4D"/>
    <w:rsid w:val="00921F65"/>
    <w:rsid w:val="00924B4E"/>
    <w:rsid w:val="0092574C"/>
    <w:rsid w:val="009264A7"/>
    <w:rsid w:val="00931034"/>
    <w:rsid w:val="00933CE8"/>
    <w:rsid w:val="009342E8"/>
    <w:rsid w:val="009357B4"/>
    <w:rsid w:val="00946D71"/>
    <w:rsid w:val="009577E1"/>
    <w:rsid w:val="009631BD"/>
    <w:rsid w:val="00971CA1"/>
    <w:rsid w:val="009724D8"/>
    <w:rsid w:val="0097349C"/>
    <w:rsid w:val="009741B9"/>
    <w:rsid w:val="009814C2"/>
    <w:rsid w:val="00982FFD"/>
    <w:rsid w:val="00983473"/>
    <w:rsid w:val="00985265"/>
    <w:rsid w:val="00985856"/>
    <w:rsid w:val="009A4969"/>
    <w:rsid w:val="009B0BE5"/>
    <w:rsid w:val="009B1466"/>
    <w:rsid w:val="009B3291"/>
    <w:rsid w:val="009B6973"/>
    <w:rsid w:val="009C0510"/>
    <w:rsid w:val="009C1A53"/>
    <w:rsid w:val="009C3663"/>
    <w:rsid w:val="009C40A6"/>
    <w:rsid w:val="009C45A8"/>
    <w:rsid w:val="009C4D6E"/>
    <w:rsid w:val="009D0752"/>
    <w:rsid w:val="009D098F"/>
    <w:rsid w:val="009D277E"/>
    <w:rsid w:val="009D4547"/>
    <w:rsid w:val="009D5A49"/>
    <w:rsid w:val="009D5E38"/>
    <w:rsid w:val="009D602F"/>
    <w:rsid w:val="009D68D0"/>
    <w:rsid w:val="009E17AF"/>
    <w:rsid w:val="009E6F15"/>
    <w:rsid w:val="009F0D42"/>
    <w:rsid w:val="009F1B82"/>
    <w:rsid w:val="009F34A4"/>
    <w:rsid w:val="009F3988"/>
    <w:rsid w:val="009F7278"/>
    <w:rsid w:val="00A003D0"/>
    <w:rsid w:val="00A073FD"/>
    <w:rsid w:val="00A150C7"/>
    <w:rsid w:val="00A2307A"/>
    <w:rsid w:val="00A462C6"/>
    <w:rsid w:val="00A519A2"/>
    <w:rsid w:val="00A51BDC"/>
    <w:rsid w:val="00A5295A"/>
    <w:rsid w:val="00A535B7"/>
    <w:rsid w:val="00A55B02"/>
    <w:rsid w:val="00A5709F"/>
    <w:rsid w:val="00A616C4"/>
    <w:rsid w:val="00A61F20"/>
    <w:rsid w:val="00A64796"/>
    <w:rsid w:val="00A66CD4"/>
    <w:rsid w:val="00A70883"/>
    <w:rsid w:val="00A70970"/>
    <w:rsid w:val="00A77AEB"/>
    <w:rsid w:val="00A81F0A"/>
    <w:rsid w:val="00A85C7A"/>
    <w:rsid w:val="00A86042"/>
    <w:rsid w:val="00AA36F9"/>
    <w:rsid w:val="00AA444A"/>
    <w:rsid w:val="00AB1528"/>
    <w:rsid w:val="00AB1AD5"/>
    <w:rsid w:val="00AB79BC"/>
    <w:rsid w:val="00AB7F40"/>
    <w:rsid w:val="00AD6BD4"/>
    <w:rsid w:val="00AE1B18"/>
    <w:rsid w:val="00AE1D83"/>
    <w:rsid w:val="00AE2DFB"/>
    <w:rsid w:val="00AE3061"/>
    <w:rsid w:val="00AF15BA"/>
    <w:rsid w:val="00AF1C32"/>
    <w:rsid w:val="00AF65C6"/>
    <w:rsid w:val="00B11AE3"/>
    <w:rsid w:val="00B121A6"/>
    <w:rsid w:val="00B252FE"/>
    <w:rsid w:val="00B300B8"/>
    <w:rsid w:val="00B32A28"/>
    <w:rsid w:val="00B33904"/>
    <w:rsid w:val="00B3751E"/>
    <w:rsid w:val="00B427FE"/>
    <w:rsid w:val="00B4349D"/>
    <w:rsid w:val="00B51737"/>
    <w:rsid w:val="00B6102A"/>
    <w:rsid w:val="00B6167A"/>
    <w:rsid w:val="00B62ED0"/>
    <w:rsid w:val="00B64196"/>
    <w:rsid w:val="00B66A7A"/>
    <w:rsid w:val="00B70266"/>
    <w:rsid w:val="00B72A31"/>
    <w:rsid w:val="00B74304"/>
    <w:rsid w:val="00B82F05"/>
    <w:rsid w:val="00B84C65"/>
    <w:rsid w:val="00B87142"/>
    <w:rsid w:val="00B8750E"/>
    <w:rsid w:val="00B92374"/>
    <w:rsid w:val="00B924C8"/>
    <w:rsid w:val="00B95E33"/>
    <w:rsid w:val="00B973B5"/>
    <w:rsid w:val="00B97FD1"/>
    <w:rsid w:val="00BA09C8"/>
    <w:rsid w:val="00BB1062"/>
    <w:rsid w:val="00BB28EF"/>
    <w:rsid w:val="00BB5DEE"/>
    <w:rsid w:val="00BC002E"/>
    <w:rsid w:val="00BC393F"/>
    <w:rsid w:val="00BC7487"/>
    <w:rsid w:val="00BC75FC"/>
    <w:rsid w:val="00BD0AB0"/>
    <w:rsid w:val="00BD59BD"/>
    <w:rsid w:val="00BE5B3F"/>
    <w:rsid w:val="00BF351F"/>
    <w:rsid w:val="00BF3F50"/>
    <w:rsid w:val="00BF6F37"/>
    <w:rsid w:val="00C02924"/>
    <w:rsid w:val="00C04344"/>
    <w:rsid w:val="00C05023"/>
    <w:rsid w:val="00C17FE4"/>
    <w:rsid w:val="00C21897"/>
    <w:rsid w:val="00C276EE"/>
    <w:rsid w:val="00C43757"/>
    <w:rsid w:val="00C43BCE"/>
    <w:rsid w:val="00C47CF1"/>
    <w:rsid w:val="00C52006"/>
    <w:rsid w:val="00C53AB4"/>
    <w:rsid w:val="00C542F1"/>
    <w:rsid w:val="00C572B3"/>
    <w:rsid w:val="00C57CA1"/>
    <w:rsid w:val="00C6300B"/>
    <w:rsid w:val="00C6426B"/>
    <w:rsid w:val="00C6478B"/>
    <w:rsid w:val="00C75D77"/>
    <w:rsid w:val="00C8192A"/>
    <w:rsid w:val="00C87194"/>
    <w:rsid w:val="00C90629"/>
    <w:rsid w:val="00C90C51"/>
    <w:rsid w:val="00CA3ED6"/>
    <w:rsid w:val="00CA7CF4"/>
    <w:rsid w:val="00CB0F37"/>
    <w:rsid w:val="00CB1135"/>
    <w:rsid w:val="00CB1231"/>
    <w:rsid w:val="00CB590B"/>
    <w:rsid w:val="00CC02C5"/>
    <w:rsid w:val="00CC2BC6"/>
    <w:rsid w:val="00CC393A"/>
    <w:rsid w:val="00CC3AAB"/>
    <w:rsid w:val="00CC6898"/>
    <w:rsid w:val="00CD324E"/>
    <w:rsid w:val="00CD4A28"/>
    <w:rsid w:val="00CD54BD"/>
    <w:rsid w:val="00CD6C36"/>
    <w:rsid w:val="00CE2586"/>
    <w:rsid w:val="00CE3788"/>
    <w:rsid w:val="00CF05D7"/>
    <w:rsid w:val="00CF34A6"/>
    <w:rsid w:val="00CF3F93"/>
    <w:rsid w:val="00D020F3"/>
    <w:rsid w:val="00D04515"/>
    <w:rsid w:val="00D065AD"/>
    <w:rsid w:val="00D22831"/>
    <w:rsid w:val="00D404B7"/>
    <w:rsid w:val="00D43343"/>
    <w:rsid w:val="00D44509"/>
    <w:rsid w:val="00D448CB"/>
    <w:rsid w:val="00D46724"/>
    <w:rsid w:val="00D47226"/>
    <w:rsid w:val="00D47ED5"/>
    <w:rsid w:val="00D61779"/>
    <w:rsid w:val="00D71995"/>
    <w:rsid w:val="00D7356C"/>
    <w:rsid w:val="00D73DB6"/>
    <w:rsid w:val="00D809E5"/>
    <w:rsid w:val="00D81948"/>
    <w:rsid w:val="00D90819"/>
    <w:rsid w:val="00D93291"/>
    <w:rsid w:val="00D9501F"/>
    <w:rsid w:val="00DA38A8"/>
    <w:rsid w:val="00DB50D5"/>
    <w:rsid w:val="00DC5537"/>
    <w:rsid w:val="00DD11EE"/>
    <w:rsid w:val="00DD1FAF"/>
    <w:rsid w:val="00DD52A0"/>
    <w:rsid w:val="00DE2489"/>
    <w:rsid w:val="00DE5590"/>
    <w:rsid w:val="00DE6364"/>
    <w:rsid w:val="00DE78B8"/>
    <w:rsid w:val="00DF1D9E"/>
    <w:rsid w:val="00DF3DA3"/>
    <w:rsid w:val="00DF5DA4"/>
    <w:rsid w:val="00E02099"/>
    <w:rsid w:val="00E06492"/>
    <w:rsid w:val="00E065CE"/>
    <w:rsid w:val="00E06A00"/>
    <w:rsid w:val="00E13E03"/>
    <w:rsid w:val="00E22B99"/>
    <w:rsid w:val="00E24A9D"/>
    <w:rsid w:val="00E258D9"/>
    <w:rsid w:val="00E35B8C"/>
    <w:rsid w:val="00E40EDE"/>
    <w:rsid w:val="00E4340C"/>
    <w:rsid w:val="00E439CA"/>
    <w:rsid w:val="00E46DDB"/>
    <w:rsid w:val="00E473F3"/>
    <w:rsid w:val="00E5219B"/>
    <w:rsid w:val="00E56905"/>
    <w:rsid w:val="00E63D17"/>
    <w:rsid w:val="00E64BE4"/>
    <w:rsid w:val="00E85565"/>
    <w:rsid w:val="00E87F91"/>
    <w:rsid w:val="00E92244"/>
    <w:rsid w:val="00E94BC6"/>
    <w:rsid w:val="00EA0563"/>
    <w:rsid w:val="00EA198F"/>
    <w:rsid w:val="00EA2EA1"/>
    <w:rsid w:val="00EA3CB9"/>
    <w:rsid w:val="00EA4C6D"/>
    <w:rsid w:val="00EA59EB"/>
    <w:rsid w:val="00EA67F3"/>
    <w:rsid w:val="00EB48F8"/>
    <w:rsid w:val="00EB73E1"/>
    <w:rsid w:val="00EC4F3D"/>
    <w:rsid w:val="00ED0C60"/>
    <w:rsid w:val="00ED3D26"/>
    <w:rsid w:val="00ED5218"/>
    <w:rsid w:val="00ED6010"/>
    <w:rsid w:val="00EE1D9D"/>
    <w:rsid w:val="00EF0BCB"/>
    <w:rsid w:val="00EF0E74"/>
    <w:rsid w:val="00EF2549"/>
    <w:rsid w:val="00F00E8A"/>
    <w:rsid w:val="00F16242"/>
    <w:rsid w:val="00F17FCB"/>
    <w:rsid w:val="00F20047"/>
    <w:rsid w:val="00F226CC"/>
    <w:rsid w:val="00F2691E"/>
    <w:rsid w:val="00F279DD"/>
    <w:rsid w:val="00F3242E"/>
    <w:rsid w:val="00F33650"/>
    <w:rsid w:val="00F348F9"/>
    <w:rsid w:val="00F35C6D"/>
    <w:rsid w:val="00F37E4B"/>
    <w:rsid w:val="00F4144E"/>
    <w:rsid w:val="00F41B00"/>
    <w:rsid w:val="00F473CB"/>
    <w:rsid w:val="00F50245"/>
    <w:rsid w:val="00F63DDA"/>
    <w:rsid w:val="00F67029"/>
    <w:rsid w:val="00F70858"/>
    <w:rsid w:val="00F71BBC"/>
    <w:rsid w:val="00F7397F"/>
    <w:rsid w:val="00F75949"/>
    <w:rsid w:val="00F75CF4"/>
    <w:rsid w:val="00F772F9"/>
    <w:rsid w:val="00F866CD"/>
    <w:rsid w:val="00F87007"/>
    <w:rsid w:val="00F941F0"/>
    <w:rsid w:val="00F96802"/>
    <w:rsid w:val="00F97FF5"/>
    <w:rsid w:val="00FA4B21"/>
    <w:rsid w:val="00FA7CE6"/>
    <w:rsid w:val="00FB0B5B"/>
    <w:rsid w:val="00FB1313"/>
    <w:rsid w:val="00FC1013"/>
    <w:rsid w:val="00FC2238"/>
    <w:rsid w:val="00FC2459"/>
    <w:rsid w:val="00FC268E"/>
    <w:rsid w:val="00FC2BFD"/>
    <w:rsid w:val="00FC309D"/>
    <w:rsid w:val="00FC47E0"/>
    <w:rsid w:val="00FD1C42"/>
    <w:rsid w:val="00FD1E96"/>
    <w:rsid w:val="00FD1FE7"/>
    <w:rsid w:val="00FD5A85"/>
    <w:rsid w:val="00FD6442"/>
    <w:rsid w:val="00FE15F6"/>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21071"/>
  <w15:docId w15:val="{6A70ADE7-CEE1-44E5-AFF4-A9A91E5D8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character" w:customStyle="1" w:styleId="UnresolvedMention20">
    <w:name w:val="Unresolved Mention2"/>
    <w:basedOn w:val="DefaultParagraphFont"/>
    <w:uiPriority w:val="99"/>
    <w:semiHidden/>
    <w:unhideWhenUsed/>
    <w:rsid w:val="00741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F0D06-1533-4026-AB2B-7B0C393A8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template_20190423.dotx</Template>
  <TotalTime>1</TotalTime>
  <Pages>2</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Proschan</dc:creator>
  <cp:lastModifiedBy>Joseph, George</cp:lastModifiedBy>
  <cp:revision>2</cp:revision>
  <dcterms:created xsi:type="dcterms:W3CDTF">2022-04-06T09:42:00Z</dcterms:created>
  <dcterms:modified xsi:type="dcterms:W3CDTF">2022-04-06T09:42:00Z</dcterms:modified>
</cp:coreProperties>
</file>