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91B9"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F866CD" w14:paraId="55AC04EF" w14:textId="77777777" w:rsidTr="00741CDB">
        <w:trPr>
          <w:cantSplit/>
        </w:trPr>
        <w:tc>
          <w:tcPr>
            <w:tcW w:w="786" w:type="pct"/>
            <w:shd w:val="clear" w:color="auto" w:fill="auto"/>
          </w:tcPr>
          <w:p w14:paraId="0F8B3A21"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B41C83F" w14:textId="77777777" w:rsidR="005473CF" w:rsidRPr="00F866CD" w:rsidRDefault="00DD1FAF" w:rsidP="00DD1FAF">
            <w:pPr>
              <w:keepLines/>
              <w:spacing w:before="120"/>
              <w:ind w:left="567" w:hanging="567"/>
              <w:rPr>
                <w:rFonts w:ascii="Arial" w:hAnsi="Arial" w:cs="Arial"/>
                <w:b/>
                <w:szCs w:val="22"/>
              </w:rPr>
            </w:pPr>
            <w:r w:rsidRPr="00DD1FAF">
              <w:rPr>
                <w:rFonts w:ascii="Arial" w:hAnsi="Arial" w:cs="Arial"/>
                <w:b/>
                <w:szCs w:val="22"/>
              </w:rPr>
              <w:t>2.</w:t>
            </w:r>
            <w:r>
              <w:rPr>
                <w:rFonts w:ascii="Arial" w:hAnsi="Arial" w:cs="Arial"/>
                <w:b/>
                <w:szCs w:val="22"/>
              </w:rPr>
              <w:t xml:space="preserve"> </w:t>
            </w:r>
            <w:r>
              <w:rPr>
                <w:rFonts w:ascii="Arial" w:hAnsi="Arial" w:cs="Arial"/>
                <w:b/>
                <w:szCs w:val="22"/>
              </w:rPr>
              <w:tab/>
            </w:r>
            <w:r w:rsidRPr="00DD1FAF">
              <w:rPr>
                <w:rFonts w:ascii="Arial" w:hAnsi="Arial" w:cs="Arial"/>
                <w:b/>
                <w:szCs w:val="22"/>
              </w:rPr>
              <w:t>Extent to which programmes support the strengthening of human capacities to promote safeguarding and management of ICH</w:t>
            </w:r>
          </w:p>
        </w:tc>
      </w:tr>
      <w:tr w:rsidR="005B0FE5" w:rsidRPr="00F866CD" w14:paraId="1D753E4A" w14:textId="77777777" w:rsidTr="00741CDB">
        <w:trPr>
          <w:cantSplit/>
        </w:trPr>
        <w:tc>
          <w:tcPr>
            <w:tcW w:w="786" w:type="pct"/>
            <w:vMerge w:val="restart"/>
            <w:shd w:val="clear" w:color="auto" w:fill="auto"/>
          </w:tcPr>
          <w:p w14:paraId="43461BF7"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3ABB615"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DD1FAF">
              <w:rPr>
                <w:rFonts w:ascii="Arial" w:hAnsi="Arial" w:cs="Arial"/>
                <w:szCs w:val="22"/>
              </w:rPr>
              <w:t>three</w:t>
            </w:r>
            <w:r w:rsidRPr="00F866CD">
              <w:rPr>
                <w:rFonts w:ascii="Arial" w:hAnsi="Arial" w:cs="Arial"/>
                <w:szCs w:val="22"/>
              </w:rPr>
              <w:t xml:space="preserve"> country-level factors monitored and reported by each State Party:</w:t>
            </w:r>
          </w:p>
        </w:tc>
      </w:tr>
      <w:tr w:rsidR="00DD1FAF" w:rsidRPr="00F866CD" w14:paraId="09968D5D" w14:textId="77777777" w:rsidTr="00741CDB">
        <w:trPr>
          <w:cantSplit/>
        </w:trPr>
        <w:tc>
          <w:tcPr>
            <w:tcW w:w="786" w:type="pct"/>
            <w:vMerge/>
            <w:shd w:val="clear" w:color="auto" w:fill="auto"/>
          </w:tcPr>
          <w:p w14:paraId="35E35DB2"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6E8E5412" w14:textId="77777777" w:rsidR="00DD1FAF" w:rsidRPr="00DD1FAF" w:rsidRDefault="00DD1FAF" w:rsidP="00A55B02">
            <w:pPr>
              <w:pStyle w:val="ListParagraph"/>
              <w:keepLines/>
              <w:numPr>
                <w:ilvl w:val="1"/>
                <w:numId w:val="75"/>
              </w:numPr>
              <w:spacing w:before="120" w:after="120" w:line="240" w:lineRule="auto"/>
              <w:ind w:left="567" w:hanging="567"/>
              <w:rPr>
                <w:rFonts w:ascii="Arial" w:hAnsi="Arial" w:cs="Arial"/>
                <w:sz w:val="20"/>
                <w:szCs w:val="20"/>
              </w:rPr>
            </w:pPr>
            <w:r w:rsidRPr="00DD1FAF">
              <w:rPr>
                <w:rFonts w:ascii="Arial" w:hAnsi="Arial" w:cs="Arial"/>
                <w:sz w:val="20"/>
                <w:szCs w:val="20"/>
              </w:rPr>
              <w:t>Tertiary education institutions offer curricula and degrees in ICH safeguarding and management, on an inclusive basis.</w:t>
            </w:r>
          </w:p>
        </w:tc>
        <w:tc>
          <w:tcPr>
            <w:tcW w:w="796" w:type="pct"/>
            <w:shd w:val="clear" w:color="auto" w:fill="auto"/>
            <w:vAlign w:val="center"/>
          </w:tcPr>
          <w:p w14:paraId="653C31A5" w14:textId="77777777" w:rsidR="00DD1FAF" w:rsidRPr="00DD1FAF" w:rsidRDefault="00DD1FAF" w:rsidP="00DD1FAF">
            <w:pPr>
              <w:keepLines/>
              <w:spacing w:before="120"/>
              <w:jc w:val="both"/>
              <w:rPr>
                <w:rFonts w:ascii="Arial" w:hAnsi="Arial" w:cs="Arial"/>
                <w:sz w:val="20"/>
                <w:szCs w:val="20"/>
                <w:lang w:val="en-US"/>
              </w:rPr>
            </w:pPr>
            <w:r w:rsidRPr="00DD1FAF">
              <w:rPr>
                <w:rFonts w:ascii="Arial" w:hAnsi="Arial" w:cs="Arial"/>
                <w:sz w:val="20"/>
                <w:szCs w:val="20"/>
              </w:rPr>
              <w:t>Article 14(a</w:t>
            </w:r>
            <w:r w:rsidRPr="00DD1FAF">
              <w:rPr>
                <w:rFonts w:ascii="Arial" w:hAnsi="Arial" w:cs="Arial"/>
                <w:sz w:val="20"/>
                <w:szCs w:val="20"/>
                <w:lang w:val="en-US"/>
              </w:rPr>
              <w:t>)(iii)</w:t>
            </w:r>
          </w:p>
          <w:p w14:paraId="51497190" w14:textId="77777777" w:rsidR="00DD1FAF" w:rsidRPr="00DD1FAF" w:rsidRDefault="00DD1FAF" w:rsidP="00DD1FAF">
            <w:pPr>
              <w:keepLines/>
              <w:spacing w:before="120"/>
              <w:jc w:val="both"/>
              <w:rPr>
                <w:rFonts w:ascii="Arial" w:hAnsi="Arial" w:cs="Arial"/>
                <w:sz w:val="20"/>
                <w:szCs w:val="20"/>
              </w:rPr>
            </w:pPr>
            <w:r w:rsidRPr="00DD1FAF">
              <w:rPr>
                <w:rFonts w:ascii="Arial" w:hAnsi="Arial" w:cs="Arial"/>
                <w:sz w:val="20"/>
                <w:szCs w:val="20"/>
              </w:rPr>
              <w:t>OD 107(k)</w:t>
            </w:r>
          </w:p>
        </w:tc>
      </w:tr>
      <w:tr w:rsidR="00DD1FAF" w:rsidRPr="00F866CD" w14:paraId="6AC7F934" w14:textId="77777777" w:rsidTr="00741CDB">
        <w:trPr>
          <w:cantSplit/>
        </w:trPr>
        <w:tc>
          <w:tcPr>
            <w:tcW w:w="786" w:type="pct"/>
            <w:vMerge/>
            <w:shd w:val="clear" w:color="auto" w:fill="auto"/>
          </w:tcPr>
          <w:p w14:paraId="6FB9D969"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7D68CED" w14:textId="77777777" w:rsidR="00DD1FAF" w:rsidRPr="00DD1FAF" w:rsidRDefault="00DD1FAF" w:rsidP="00A55B02">
            <w:pPr>
              <w:pStyle w:val="ListParagraph"/>
              <w:keepLines/>
              <w:numPr>
                <w:ilvl w:val="1"/>
                <w:numId w:val="75"/>
              </w:numPr>
              <w:spacing w:before="120" w:after="120" w:line="240" w:lineRule="auto"/>
              <w:ind w:left="567" w:hanging="567"/>
              <w:rPr>
                <w:rFonts w:ascii="Arial" w:hAnsi="Arial" w:cs="Arial"/>
                <w:sz w:val="20"/>
                <w:szCs w:val="20"/>
              </w:rPr>
            </w:pPr>
            <w:r w:rsidRPr="00DD1FAF">
              <w:rPr>
                <w:rFonts w:ascii="Arial" w:hAnsi="Arial" w:cs="Arial"/>
                <w:sz w:val="20"/>
                <w:szCs w:val="20"/>
              </w:rPr>
              <w:t xml:space="preserve">Governmental institutions, </w:t>
            </w:r>
            <w:proofErr w:type="spellStart"/>
            <w:r w:rsidRPr="00DD1FAF">
              <w:rPr>
                <w:rFonts w:ascii="Arial" w:hAnsi="Arial" w:cs="Arial"/>
                <w:sz w:val="20"/>
                <w:szCs w:val="20"/>
              </w:rPr>
              <w:t>centres</w:t>
            </w:r>
            <w:proofErr w:type="spellEnd"/>
            <w:r w:rsidRPr="00DD1FAF">
              <w:rPr>
                <w:rFonts w:ascii="Arial" w:hAnsi="Arial" w:cs="Arial"/>
                <w:sz w:val="20"/>
                <w:szCs w:val="20"/>
              </w:rPr>
              <w:t xml:space="preserve"> and other bodies provide training in ICH safeguarding and management, on an inclusive basis.</w:t>
            </w:r>
          </w:p>
        </w:tc>
        <w:tc>
          <w:tcPr>
            <w:tcW w:w="796" w:type="pct"/>
            <w:shd w:val="clear" w:color="auto" w:fill="auto"/>
            <w:vAlign w:val="center"/>
          </w:tcPr>
          <w:p w14:paraId="0CE93CA3" w14:textId="77777777" w:rsidR="00DD1FAF" w:rsidRPr="00CE3788" w:rsidRDefault="009C45A8" w:rsidP="00741CDB">
            <w:pPr>
              <w:keepLines/>
              <w:spacing w:before="120"/>
              <w:jc w:val="both"/>
              <w:rPr>
                <w:rFonts w:ascii="Arial" w:hAnsi="Arial"/>
                <w:sz w:val="20"/>
                <w:lang w:val="en-US"/>
              </w:rPr>
            </w:pPr>
            <w:r w:rsidRPr="00CE3788">
              <w:rPr>
                <w:rFonts w:ascii="Arial" w:hAnsi="Arial" w:cs="Arial"/>
                <w:sz w:val="20"/>
                <w:szCs w:val="20"/>
              </w:rPr>
              <w:t>Article 14(a</w:t>
            </w:r>
            <w:r w:rsidRPr="00CE3788">
              <w:rPr>
                <w:rFonts w:ascii="Arial" w:hAnsi="Arial" w:cs="Arial"/>
                <w:sz w:val="20"/>
                <w:szCs w:val="20"/>
                <w:lang w:val="en-US"/>
              </w:rPr>
              <w:t>)(iii)</w:t>
            </w:r>
          </w:p>
        </w:tc>
      </w:tr>
      <w:tr w:rsidR="00DD1FAF" w:rsidRPr="00F866CD" w14:paraId="059AAAB8" w14:textId="77777777" w:rsidTr="00741CDB">
        <w:trPr>
          <w:cantSplit/>
        </w:trPr>
        <w:tc>
          <w:tcPr>
            <w:tcW w:w="786" w:type="pct"/>
            <w:vMerge/>
            <w:shd w:val="clear" w:color="auto" w:fill="auto"/>
          </w:tcPr>
          <w:p w14:paraId="14B01E61" w14:textId="77777777" w:rsidR="00DD1FAF" w:rsidRPr="00F866CD" w:rsidRDefault="00DD1FAF" w:rsidP="00DD1FAF">
            <w:pPr>
              <w:spacing w:before="120"/>
              <w:rPr>
                <w:rFonts w:ascii="Arial" w:hAnsi="Arial" w:cs="Arial"/>
                <w:b/>
                <w:szCs w:val="22"/>
              </w:rPr>
            </w:pPr>
          </w:p>
        </w:tc>
        <w:tc>
          <w:tcPr>
            <w:tcW w:w="3418" w:type="pct"/>
            <w:shd w:val="clear" w:color="auto" w:fill="auto"/>
            <w:vAlign w:val="center"/>
          </w:tcPr>
          <w:p w14:paraId="438A24AA" w14:textId="77777777" w:rsidR="00DD1FAF" w:rsidRPr="00DD1FAF" w:rsidRDefault="00DD1FAF" w:rsidP="00A55B02">
            <w:pPr>
              <w:pStyle w:val="ListParagraph"/>
              <w:keepLines/>
              <w:numPr>
                <w:ilvl w:val="1"/>
                <w:numId w:val="75"/>
              </w:numPr>
              <w:spacing w:before="120" w:after="120" w:line="240" w:lineRule="auto"/>
              <w:ind w:left="567" w:hanging="567"/>
              <w:rPr>
                <w:rFonts w:ascii="Arial" w:hAnsi="Arial" w:cs="Arial"/>
                <w:sz w:val="20"/>
                <w:szCs w:val="20"/>
              </w:rPr>
            </w:pPr>
            <w:r w:rsidRPr="00DD1FAF">
              <w:rPr>
                <w:rFonts w:ascii="Arial" w:hAnsi="Arial" w:cs="Arial"/>
                <w:sz w:val="20"/>
                <w:szCs w:val="20"/>
              </w:rPr>
              <w:t>Community-based or NGO-based initiatives provide training in ICH safeguarding and management, on an inclusive basis.</w:t>
            </w:r>
          </w:p>
        </w:tc>
        <w:tc>
          <w:tcPr>
            <w:tcW w:w="796" w:type="pct"/>
            <w:shd w:val="clear" w:color="auto" w:fill="auto"/>
            <w:vAlign w:val="center"/>
          </w:tcPr>
          <w:p w14:paraId="25AD54CB" w14:textId="77777777" w:rsidR="00DD1FAF" w:rsidRPr="00CE3788" w:rsidRDefault="009C45A8" w:rsidP="00DD1FAF">
            <w:pPr>
              <w:keepLines/>
              <w:spacing w:before="120"/>
              <w:rPr>
                <w:rFonts w:ascii="Arial" w:hAnsi="Arial" w:cs="Arial"/>
                <w:sz w:val="20"/>
                <w:szCs w:val="20"/>
              </w:rPr>
            </w:pPr>
            <w:r w:rsidRPr="00CE3788">
              <w:rPr>
                <w:rFonts w:ascii="Arial" w:hAnsi="Arial" w:cs="Arial"/>
                <w:sz w:val="20"/>
                <w:szCs w:val="20"/>
              </w:rPr>
              <w:t>Article 14(a</w:t>
            </w:r>
            <w:r w:rsidRPr="00CE3788">
              <w:rPr>
                <w:rFonts w:ascii="Arial" w:hAnsi="Arial" w:cs="Arial"/>
                <w:sz w:val="20"/>
                <w:szCs w:val="20"/>
                <w:lang w:val="en-US"/>
              </w:rPr>
              <w:t>)(iii)</w:t>
            </w:r>
          </w:p>
        </w:tc>
      </w:tr>
      <w:tr w:rsidR="005473CF" w:rsidRPr="00F866CD" w14:paraId="5DB3A022" w14:textId="77777777" w:rsidTr="00741CDB">
        <w:trPr>
          <w:cantSplit/>
        </w:trPr>
        <w:tc>
          <w:tcPr>
            <w:tcW w:w="786" w:type="pct"/>
            <w:shd w:val="clear" w:color="auto" w:fill="auto"/>
          </w:tcPr>
          <w:p w14:paraId="19940673"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5EC826B1" w14:textId="761B412C" w:rsidR="00741CDB" w:rsidRPr="00F866CD" w:rsidRDefault="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9724D8">
              <w:rPr>
                <w:rFonts w:ascii="Arial" w:hAnsi="Arial" w:cs="Arial"/>
                <w:szCs w:val="22"/>
              </w:rPr>
              <w:t>This indicator responds as a whole to SDG Target 11.4, ‘</w:t>
            </w:r>
            <w:r w:rsidR="001C6F2B">
              <w:rPr>
                <w:rFonts w:ascii="Arial" w:hAnsi="Arial" w:cs="Arial"/>
                <w:szCs w:val="22"/>
              </w:rPr>
              <w:t>s</w:t>
            </w:r>
            <w:r w:rsidR="009724D8">
              <w:rPr>
                <w:rFonts w:ascii="Arial" w:hAnsi="Arial" w:cs="Arial"/>
                <w:szCs w:val="22"/>
              </w:rPr>
              <w:t xml:space="preserve">trengthen efforts to protect and safeguard the world’s cultural and natural heritage.’ If a developing State Party benefits from international support for its capacity-building efforts, this indicator also responds to SDG Target 17.9, which focusses on </w:t>
            </w:r>
            <w:r w:rsidR="009D277E">
              <w:rPr>
                <w:rFonts w:ascii="Arial" w:hAnsi="Arial" w:cs="Arial"/>
                <w:szCs w:val="22"/>
              </w:rPr>
              <w:t>‘</w:t>
            </w:r>
            <w:r w:rsidR="009724D8">
              <w:rPr>
                <w:rFonts w:ascii="Arial" w:hAnsi="Arial" w:cs="Arial"/>
                <w:szCs w:val="22"/>
              </w:rPr>
              <w:t xml:space="preserve">international support for </w:t>
            </w:r>
            <w:r w:rsidR="009D277E">
              <w:rPr>
                <w:rFonts w:ascii="Arial" w:hAnsi="Arial" w:cs="Arial"/>
                <w:szCs w:val="22"/>
              </w:rPr>
              <w:t xml:space="preserve">implementing </w:t>
            </w:r>
            <w:r w:rsidR="009724D8">
              <w:rPr>
                <w:rFonts w:ascii="Arial" w:hAnsi="Arial" w:cs="Arial"/>
                <w:szCs w:val="22"/>
              </w:rPr>
              <w:t xml:space="preserve">effective and targeted capacity-building </w:t>
            </w:r>
            <w:r w:rsidR="009D277E">
              <w:rPr>
                <w:rFonts w:ascii="Arial" w:hAnsi="Arial" w:cs="Arial"/>
                <w:szCs w:val="22"/>
              </w:rPr>
              <w:t xml:space="preserve">in developing countries’ </w:t>
            </w:r>
            <w:r w:rsidR="009724D8">
              <w:rPr>
                <w:rFonts w:ascii="Arial" w:hAnsi="Arial" w:cs="Arial"/>
                <w:szCs w:val="22"/>
              </w:rPr>
              <w:t xml:space="preserve">to </w:t>
            </w:r>
            <w:r w:rsidR="009D277E">
              <w:rPr>
                <w:rFonts w:ascii="Arial" w:hAnsi="Arial" w:cs="Arial"/>
                <w:szCs w:val="22"/>
              </w:rPr>
              <w:t>strengthen</w:t>
            </w:r>
            <w:r w:rsidR="009724D8">
              <w:rPr>
                <w:rFonts w:ascii="Arial" w:hAnsi="Arial" w:cs="Arial"/>
                <w:szCs w:val="22"/>
              </w:rPr>
              <w:t xml:space="preserve"> national implementation of the SDGs.</w:t>
            </w:r>
            <w:r w:rsidR="00741CDB">
              <w:rPr>
                <w:rFonts w:ascii="Arial" w:hAnsi="Arial" w:cs="Arial"/>
                <w:szCs w:val="22"/>
              </w:rPr>
              <w:t xml:space="preserve"> </w:t>
            </w:r>
            <w:r w:rsidR="008140A1">
              <w:rPr>
                <w:rFonts w:ascii="Arial" w:hAnsi="Arial" w:cs="Arial"/>
                <w:szCs w:val="22"/>
              </w:rPr>
              <w:t xml:space="preserve">It also </w:t>
            </w:r>
            <w:r w:rsidR="00741CDB">
              <w:rPr>
                <w:rFonts w:ascii="Arial" w:hAnsi="Arial" w:cs="Arial"/>
                <w:szCs w:val="22"/>
              </w:rPr>
              <w:t>complement</w:t>
            </w:r>
            <w:r w:rsidR="008140A1">
              <w:rPr>
                <w:rFonts w:ascii="Arial" w:hAnsi="Arial" w:cs="Arial"/>
                <w:szCs w:val="22"/>
              </w:rPr>
              <w:t>s</w:t>
            </w:r>
            <w:r w:rsidR="00741CDB">
              <w:rPr>
                <w:rFonts w:ascii="Arial" w:hAnsi="Arial" w:cs="Arial"/>
                <w:szCs w:val="22"/>
              </w:rPr>
              <w:t xml:space="preserve"> SDG Target 4.7, which refers to learners acquiring ‘the knowledge and skills needed to promote sustainable development…[notably] appreciation of culture’s contribution to sustainable development.’</w:t>
            </w:r>
          </w:p>
          <w:p w14:paraId="3F8147FE" w14:textId="77777777" w:rsidR="005473CF" w:rsidRPr="004F7AFD" w:rsidRDefault="005473CF" w:rsidP="00741CDB">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4F7AFD">
              <w:rPr>
                <w:rFonts w:ascii="Arial" w:hAnsi="Arial" w:cs="Arial"/>
                <w:bCs/>
                <w:szCs w:val="22"/>
              </w:rPr>
              <w:t xml:space="preserve">This indicator concerns specialized training in ICH safeguarding and management at the post-secondary level as well as </w:t>
            </w:r>
            <w:r w:rsidR="00741CDB">
              <w:rPr>
                <w:rFonts w:ascii="Arial" w:hAnsi="Arial" w:cs="Arial"/>
                <w:bCs/>
                <w:szCs w:val="22"/>
              </w:rPr>
              <w:t xml:space="preserve">short-term </w:t>
            </w:r>
            <w:r w:rsidR="004F7AFD">
              <w:rPr>
                <w:rFonts w:ascii="Arial" w:hAnsi="Arial" w:cs="Arial"/>
                <w:bCs/>
                <w:szCs w:val="22"/>
              </w:rPr>
              <w:t>training opportunities that may not lead to a degree</w:t>
            </w:r>
            <w:r w:rsidR="003B3775">
              <w:rPr>
                <w:rFonts w:ascii="Arial" w:hAnsi="Arial" w:cs="Arial"/>
                <w:bCs/>
                <w:szCs w:val="22"/>
              </w:rPr>
              <w:t>, focussing on the availability of a diverse range of such opportunities</w:t>
            </w:r>
            <w:r w:rsidR="004F7AFD">
              <w:rPr>
                <w:rFonts w:ascii="Arial" w:hAnsi="Arial" w:cs="Arial"/>
                <w:bCs/>
                <w:szCs w:val="22"/>
              </w:rPr>
              <w:t>. Indicator 3 addresses the audiences for such training programmes</w:t>
            </w:r>
            <w:r w:rsidR="003B3775">
              <w:rPr>
                <w:rFonts w:ascii="Arial" w:hAnsi="Arial" w:cs="Arial"/>
                <w:bCs/>
                <w:szCs w:val="22"/>
              </w:rPr>
              <w:t xml:space="preserve"> and their effectiveness</w:t>
            </w:r>
            <w:r w:rsidR="004F7AFD">
              <w:rPr>
                <w:rFonts w:ascii="Arial" w:hAnsi="Arial" w:cs="Arial"/>
                <w:bCs/>
                <w:szCs w:val="22"/>
              </w:rPr>
              <w:t xml:space="preserve">. Indicators 4, 5 and 6 address educational programmes at primary, secondary and post-secondary levels that are typically focussed not on safeguarding and management of ICH but </w:t>
            </w:r>
            <w:r w:rsidR="00494997">
              <w:rPr>
                <w:rFonts w:ascii="Arial" w:hAnsi="Arial" w:cs="Arial"/>
                <w:bCs/>
                <w:szCs w:val="22"/>
              </w:rPr>
              <w:t xml:space="preserve">are rather aimed </w:t>
            </w:r>
            <w:r w:rsidR="004F7AFD">
              <w:rPr>
                <w:rFonts w:ascii="Arial" w:hAnsi="Arial" w:cs="Arial"/>
                <w:bCs/>
                <w:szCs w:val="22"/>
              </w:rPr>
              <w:t xml:space="preserve">at its practice and transmission </w:t>
            </w:r>
            <w:r w:rsidR="007F2F3A">
              <w:rPr>
                <w:rFonts w:ascii="Arial" w:hAnsi="Arial" w:cs="Arial"/>
                <w:bCs/>
                <w:szCs w:val="22"/>
              </w:rPr>
              <w:t>as well as</w:t>
            </w:r>
            <w:r w:rsidR="004F7AFD">
              <w:rPr>
                <w:rFonts w:ascii="Arial" w:hAnsi="Arial" w:cs="Arial"/>
                <w:bCs/>
                <w:szCs w:val="22"/>
              </w:rPr>
              <w:t xml:space="preserve"> on promoting greater respect for it. </w:t>
            </w:r>
          </w:p>
        </w:tc>
      </w:tr>
      <w:tr w:rsidR="00896177" w:rsidRPr="00F866CD" w14:paraId="179DB465" w14:textId="77777777" w:rsidTr="00741CDB">
        <w:trPr>
          <w:cantSplit/>
        </w:trPr>
        <w:tc>
          <w:tcPr>
            <w:tcW w:w="786" w:type="pct"/>
            <w:shd w:val="clear" w:color="auto" w:fill="auto"/>
          </w:tcPr>
          <w:p w14:paraId="4F130F6B"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29435842" w14:textId="5F1B92D6" w:rsidR="00704766" w:rsidRPr="00F866CD" w:rsidRDefault="00C8192A" w:rsidP="002E2E75">
            <w:pPr>
              <w:keepLines/>
              <w:spacing w:before="120"/>
              <w:jc w:val="both"/>
              <w:rPr>
                <w:rFonts w:asciiTheme="minorBidi" w:hAnsiTheme="minorBidi" w:cstheme="minorBidi"/>
                <w:szCs w:val="22"/>
              </w:rPr>
            </w:pPr>
            <w:r>
              <w:rPr>
                <w:rFonts w:asciiTheme="minorBidi" w:hAnsiTheme="minorBidi" w:cstheme="minorBidi"/>
                <w:szCs w:val="22"/>
              </w:rPr>
              <w:t xml:space="preserve">Capacity building for the safeguarding of ICH </w:t>
            </w:r>
            <w:r w:rsidR="002C10CA">
              <w:rPr>
                <w:rFonts w:asciiTheme="minorBidi" w:hAnsiTheme="minorBidi" w:cstheme="minorBidi"/>
                <w:szCs w:val="22"/>
              </w:rPr>
              <w:t>is an ongoing need of</w:t>
            </w:r>
            <w:r>
              <w:rPr>
                <w:rFonts w:asciiTheme="minorBidi" w:hAnsiTheme="minorBidi" w:cstheme="minorBidi"/>
                <w:szCs w:val="22"/>
              </w:rPr>
              <w:t xml:space="preserve"> all</w:t>
            </w:r>
            <w:r w:rsidR="002C10CA">
              <w:rPr>
                <w:rFonts w:asciiTheme="minorBidi" w:hAnsiTheme="minorBidi" w:cstheme="minorBidi"/>
                <w:szCs w:val="22"/>
              </w:rPr>
              <w:t xml:space="preserve"> States, whether they have long experience in ICH safeguarding or have come to the task more recently. The need to strengthen human capacities can be addressed through academic training offered by colleges and universities, but it can also be addressed through </w:t>
            </w:r>
            <w:r w:rsidR="00741CDB">
              <w:rPr>
                <w:rFonts w:asciiTheme="minorBidi" w:hAnsiTheme="minorBidi" w:cstheme="minorBidi"/>
                <w:szCs w:val="22"/>
              </w:rPr>
              <w:t xml:space="preserve">short-term </w:t>
            </w:r>
            <w:r w:rsidR="002C10CA">
              <w:rPr>
                <w:rFonts w:asciiTheme="minorBidi" w:hAnsiTheme="minorBidi" w:cstheme="minorBidi"/>
                <w:szCs w:val="22"/>
              </w:rPr>
              <w:t xml:space="preserve">training offered by </w:t>
            </w:r>
            <w:r w:rsidR="002C10CA" w:rsidRPr="00471430">
              <w:rPr>
                <w:rFonts w:ascii="Arial" w:hAnsi="Arial" w:cs="Arial"/>
                <w:bCs/>
                <w:szCs w:val="22"/>
              </w:rPr>
              <w:t>government</w:t>
            </w:r>
            <w:r w:rsidR="002C10CA">
              <w:rPr>
                <w:rFonts w:asciiTheme="minorBidi" w:hAnsiTheme="minorBidi" w:cstheme="minorBidi"/>
                <w:szCs w:val="22"/>
              </w:rPr>
              <w:t xml:space="preserve"> institutions and bodies of many kinds</w:t>
            </w:r>
            <w:r>
              <w:rPr>
                <w:rFonts w:asciiTheme="minorBidi" w:hAnsiTheme="minorBidi" w:cstheme="minorBidi"/>
                <w:szCs w:val="22"/>
              </w:rPr>
              <w:t xml:space="preserve"> including</w:t>
            </w:r>
            <w:r w:rsidR="002C10CA">
              <w:rPr>
                <w:rFonts w:asciiTheme="minorBidi" w:hAnsiTheme="minorBidi" w:cstheme="minorBidi"/>
                <w:szCs w:val="22"/>
              </w:rPr>
              <w:t xml:space="preserve"> </w:t>
            </w:r>
            <w:r>
              <w:rPr>
                <w:rFonts w:asciiTheme="minorBidi" w:hAnsiTheme="minorBidi" w:cstheme="minorBidi"/>
                <w:szCs w:val="22"/>
              </w:rPr>
              <w:t>non-governmental or community organizations</w:t>
            </w:r>
            <w:r w:rsidR="002C10CA">
              <w:rPr>
                <w:rFonts w:asciiTheme="minorBidi" w:hAnsiTheme="minorBidi" w:cstheme="minorBidi"/>
                <w:szCs w:val="22"/>
              </w:rPr>
              <w:t xml:space="preserve">. </w:t>
            </w:r>
            <w:r>
              <w:rPr>
                <w:rFonts w:asciiTheme="minorBidi" w:hAnsiTheme="minorBidi" w:cstheme="minorBidi"/>
                <w:szCs w:val="22"/>
              </w:rPr>
              <w:t xml:space="preserve">For all </w:t>
            </w:r>
            <w:r w:rsidR="002C10CA">
              <w:rPr>
                <w:rFonts w:asciiTheme="minorBidi" w:hAnsiTheme="minorBidi" w:cstheme="minorBidi"/>
                <w:szCs w:val="22"/>
              </w:rPr>
              <w:t xml:space="preserve">types of training and capacity-building, </w:t>
            </w:r>
            <w:r w:rsidR="00471430">
              <w:rPr>
                <w:rFonts w:asciiTheme="minorBidi" w:hAnsiTheme="minorBidi" w:cstheme="minorBidi"/>
                <w:szCs w:val="22"/>
              </w:rPr>
              <w:t>inclusiveness</w:t>
            </w:r>
            <w:r w:rsidR="002C10CA">
              <w:rPr>
                <w:rFonts w:asciiTheme="minorBidi" w:hAnsiTheme="minorBidi" w:cstheme="minorBidi"/>
                <w:szCs w:val="22"/>
              </w:rPr>
              <w:t xml:space="preserve"> is </w:t>
            </w:r>
            <w:r>
              <w:rPr>
                <w:rFonts w:asciiTheme="minorBidi" w:hAnsiTheme="minorBidi" w:cstheme="minorBidi"/>
                <w:szCs w:val="22"/>
              </w:rPr>
              <w:t>essential</w:t>
            </w:r>
            <w:r w:rsidR="002C10CA">
              <w:rPr>
                <w:rFonts w:asciiTheme="minorBidi" w:hAnsiTheme="minorBidi" w:cstheme="minorBidi"/>
                <w:szCs w:val="22"/>
              </w:rPr>
              <w:t>, given the importance of the widest possible participation of communities, groups and individuals in ICH safeguarding and management (Article 15).</w:t>
            </w:r>
          </w:p>
        </w:tc>
      </w:tr>
      <w:tr w:rsidR="00704766" w:rsidRPr="00F866CD" w14:paraId="20770F56" w14:textId="77777777" w:rsidTr="00741CDB">
        <w:trPr>
          <w:cantSplit/>
        </w:trPr>
        <w:tc>
          <w:tcPr>
            <w:tcW w:w="786" w:type="pct"/>
            <w:shd w:val="clear" w:color="auto" w:fill="auto"/>
          </w:tcPr>
          <w:p w14:paraId="18ECD952"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5159CC45" w14:textId="77777777" w:rsidR="00704766" w:rsidRDefault="00DD1FA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p w14:paraId="7CFE56B8" w14:textId="77777777" w:rsidR="001869E2" w:rsidRDefault="001869E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Training</w:t>
            </w:r>
          </w:p>
          <w:p w14:paraId="4451C103" w14:textId="4711F818" w:rsidR="002E2E75" w:rsidRPr="00BA09C8" w:rsidRDefault="002E2E75" w:rsidP="00BA09C8">
            <w:pPr>
              <w:pStyle w:val="ListParagraph"/>
              <w:numPr>
                <w:ilvl w:val="0"/>
                <w:numId w:val="71"/>
              </w:numPr>
              <w:spacing w:before="120" w:after="120"/>
              <w:ind w:left="714" w:hanging="357"/>
              <w:jc w:val="both"/>
              <w:rPr>
                <w:rFonts w:asciiTheme="minorBidi" w:hAnsiTheme="minorBidi" w:cstheme="minorBidi"/>
                <w:lang w:val="en-GB"/>
              </w:rPr>
            </w:pPr>
            <w:r w:rsidRPr="00BA09C8">
              <w:rPr>
                <w:rFonts w:asciiTheme="minorBidi" w:hAnsiTheme="minorBidi" w:cstheme="minorBidi"/>
                <w:lang w:val="en-GB"/>
              </w:rPr>
              <w:t>Non-governmental</w:t>
            </w:r>
            <w:r w:rsidR="00BA09C8">
              <w:rPr>
                <w:rFonts w:asciiTheme="minorBidi" w:hAnsiTheme="minorBidi" w:cstheme="minorBidi"/>
                <w:lang w:val="en-GB"/>
              </w:rPr>
              <w:t>/</w:t>
            </w:r>
            <w:r w:rsidRPr="00BA09C8">
              <w:rPr>
                <w:rFonts w:asciiTheme="minorBidi" w:hAnsiTheme="minorBidi" w:cstheme="minorBidi"/>
                <w:lang w:val="en-GB"/>
              </w:rPr>
              <w:t>Community organizations</w:t>
            </w:r>
          </w:p>
          <w:p w14:paraId="0F6666C9" w14:textId="0DD0B3CD" w:rsidR="00DD1FAF" w:rsidRDefault="002E2E75"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 xml:space="preserve">Capacity building </w:t>
            </w:r>
          </w:p>
          <w:p w14:paraId="6681E690" w14:textId="77777777" w:rsidR="00882964" w:rsidRPr="00F866CD" w:rsidRDefault="00882964"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 xml:space="preserve">Tertiary education </w:t>
            </w:r>
          </w:p>
        </w:tc>
      </w:tr>
    </w:tbl>
    <w:p w14:paraId="129414BC"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5EC3681" w14:textId="77777777" w:rsidR="0054175C" w:rsidRPr="00F866CD" w:rsidRDefault="0054175C" w:rsidP="00704766">
      <w:pPr>
        <w:jc w:val="center"/>
        <w:rPr>
          <w:rFonts w:ascii="Arial" w:hAnsi="Arial" w:cs="Arial"/>
          <w:b/>
          <w:sz w:val="24"/>
        </w:rPr>
      </w:pPr>
      <w:r w:rsidRPr="00F866CD">
        <w:rPr>
          <w:rFonts w:ascii="Arial" w:hAnsi="Arial" w:cs="Arial"/>
          <w:b/>
          <w:sz w:val="24"/>
        </w:rPr>
        <w:lastRenderedPageBreak/>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F866CD" w14:paraId="7C74F128" w14:textId="77777777" w:rsidTr="00741CDB">
        <w:tc>
          <w:tcPr>
            <w:tcW w:w="730" w:type="pct"/>
            <w:shd w:val="clear" w:color="auto" w:fill="auto"/>
          </w:tcPr>
          <w:p w14:paraId="61F3D445"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62233A00" w14:textId="74D7D71E" w:rsidR="002C28BA" w:rsidRPr="00621208" w:rsidRDefault="002B5410" w:rsidP="006525D7">
            <w:pPr>
              <w:keepLines/>
              <w:spacing w:before="120"/>
              <w:jc w:val="both"/>
              <w:rPr>
                <w:rFonts w:ascii="Arial" w:hAnsi="Arial" w:cs="Arial"/>
                <w:bCs/>
                <w:szCs w:val="22"/>
              </w:rPr>
            </w:pPr>
            <w:r>
              <w:rPr>
                <w:rFonts w:ascii="Arial" w:hAnsi="Arial" w:cs="Arial"/>
                <w:bCs/>
                <w:szCs w:val="22"/>
              </w:rPr>
              <w:t>Taking stock of training programmes and institutions can help a State</w:t>
            </w:r>
            <w:r w:rsidR="005E1482">
              <w:rPr>
                <w:rFonts w:ascii="Arial" w:hAnsi="Arial" w:cs="Arial"/>
                <w:bCs/>
                <w:szCs w:val="22"/>
              </w:rPr>
              <w:t xml:space="preserve"> </w:t>
            </w:r>
            <w:r>
              <w:rPr>
                <w:rFonts w:ascii="Arial" w:hAnsi="Arial" w:cs="Arial"/>
                <w:bCs/>
                <w:szCs w:val="22"/>
              </w:rPr>
              <w:t>to understand the scale and scope of capacity-building needs</w:t>
            </w:r>
            <w:r w:rsidR="00494997">
              <w:rPr>
                <w:rFonts w:ascii="Arial" w:hAnsi="Arial" w:cs="Arial"/>
                <w:bCs/>
                <w:szCs w:val="22"/>
              </w:rPr>
              <w:t xml:space="preserve"> in relation to ICH management</w:t>
            </w:r>
            <w:r w:rsidR="00007BE1">
              <w:rPr>
                <w:rFonts w:ascii="Arial" w:hAnsi="Arial" w:cs="Arial"/>
                <w:bCs/>
                <w:szCs w:val="22"/>
              </w:rPr>
              <w:t xml:space="preserve">. </w:t>
            </w:r>
            <w:r w:rsidR="0085475F">
              <w:rPr>
                <w:rFonts w:ascii="Arial" w:hAnsi="Arial" w:cs="Arial"/>
                <w:bCs/>
                <w:szCs w:val="22"/>
              </w:rPr>
              <w:t>I</w:t>
            </w:r>
            <w:r w:rsidR="00007BE1">
              <w:rPr>
                <w:rFonts w:ascii="Arial" w:hAnsi="Arial" w:cs="Arial"/>
                <w:bCs/>
                <w:szCs w:val="22"/>
              </w:rPr>
              <w:t xml:space="preserve">t can </w:t>
            </w:r>
            <w:r w:rsidR="0085475F">
              <w:rPr>
                <w:rFonts w:ascii="Arial" w:hAnsi="Arial" w:cs="Arial"/>
                <w:bCs/>
                <w:szCs w:val="22"/>
              </w:rPr>
              <w:t>aid it in assessing</w:t>
            </w:r>
            <w:r w:rsidR="00007BE1">
              <w:rPr>
                <w:rFonts w:ascii="Arial" w:hAnsi="Arial" w:cs="Arial"/>
                <w:bCs/>
                <w:szCs w:val="22"/>
              </w:rPr>
              <w:t xml:space="preserve"> which </w:t>
            </w:r>
            <w:r>
              <w:rPr>
                <w:rFonts w:ascii="Arial" w:hAnsi="Arial" w:cs="Arial"/>
                <w:bCs/>
                <w:szCs w:val="22"/>
              </w:rPr>
              <w:t xml:space="preserve">needs are being </w:t>
            </w:r>
            <w:r w:rsidR="00660F3B">
              <w:rPr>
                <w:rFonts w:ascii="Arial" w:hAnsi="Arial" w:cs="Arial"/>
                <w:bCs/>
                <w:szCs w:val="22"/>
              </w:rPr>
              <w:t>met</w:t>
            </w:r>
            <w:r>
              <w:rPr>
                <w:rFonts w:ascii="Arial" w:hAnsi="Arial" w:cs="Arial"/>
                <w:bCs/>
                <w:szCs w:val="22"/>
              </w:rPr>
              <w:t xml:space="preserve"> at present, and </w:t>
            </w:r>
            <w:r w:rsidR="0085475F">
              <w:rPr>
                <w:rFonts w:ascii="Arial" w:hAnsi="Arial" w:cs="Arial"/>
                <w:bCs/>
                <w:szCs w:val="22"/>
              </w:rPr>
              <w:t xml:space="preserve">can </w:t>
            </w:r>
            <w:r>
              <w:rPr>
                <w:rFonts w:ascii="Arial" w:hAnsi="Arial" w:cs="Arial"/>
                <w:bCs/>
                <w:szCs w:val="22"/>
              </w:rPr>
              <w:t xml:space="preserve">identify gaps </w:t>
            </w:r>
            <w:r w:rsidR="0085475F">
              <w:rPr>
                <w:rFonts w:ascii="Arial" w:hAnsi="Arial" w:cs="Arial"/>
                <w:bCs/>
                <w:szCs w:val="22"/>
              </w:rPr>
              <w:t>to</w:t>
            </w:r>
            <w:r>
              <w:rPr>
                <w:rFonts w:ascii="Arial" w:hAnsi="Arial" w:cs="Arial"/>
                <w:bCs/>
                <w:szCs w:val="22"/>
              </w:rPr>
              <w:t xml:space="preserve"> be addressed </w:t>
            </w:r>
            <w:r w:rsidR="00494997">
              <w:rPr>
                <w:rFonts w:ascii="Arial" w:hAnsi="Arial" w:cs="Arial"/>
                <w:bCs/>
                <w:szCs w:val="22"/>
              </w:rPr>
              <w:t xml:space="preserve">over </w:t>
            </w:r>
            <w:r>
              <w:rPr>
                <w:rFonts w:ascii="Arial" w:hAnsi="Arial" w:cs="Arial"/>
                <w:bCs/>
                <w:szCs w:val="22"/>
              </w:rPr>
              <w:t>the medium or longer term</w:t>
            </w:r>
            <w:r w:rsidR="000975E3">
              <w:rPr>
                <w:rFonts w:ascii="Arial" w:hAnsi="Arial" w:cs="Arial"/>
                <w:bCs/>
                <w:szCs w:val="22"/>
              </w:rPr>
              <w:t xml:space="preserve">, allowing the State </w:t>
            </w:r>
            <w:r>
              <w:rPr>
                <w:rFonts w:ascii="Arial" w:hAnsi="Arial" w:cs="Arial"/>
                <w:bCs/>
                <w:szCs w:val="22"/>
              </w:rPr>
              <w:t xml:space="preserve">to ensure that its own personnel </w:t>
            </w:r>
            <w:r w:rsidR="008C20AD">
              <w:rPr>
                <w:rFonts w:ascii="Arial" w:hAnsi="Arial" w:cs="Arial"/>
                <w:bCs/>
                <w:szCs w:val="22"/>
              </w:rPr>
              <w:t xml:space="preserve">will </w:t>
            </w:r>
            <w:r>
              <w:rPr>
                <w:rFonts w:ascii="Arial" w:hAnsi="Arial" w:cs="Arial"/>
                <w:bCs/>
                <w:szCs w:val="22"/>
              </w:rPr>
              <w:t xml:space="preserve">have access to </w:t>
            </w:r>
            <w:r w:rsidR="000975E3">
              <w:rPr>
                <w:rFonts w:ascii="Arial" w:hAnsi="Arial" w:cs="Arial"/>
                <w:bCs/>
                <w:szCs w:val="22"/>
              </w:rPr>
              <w:t xml:space="preserve">appropriate </w:t>
            </w:r>
            <w:r>
              <w:rPr>
                <w:rFonts w:ascii="Arial" w:hAnsi="Arial" w:cs="Arial"/>
                <w:bCs/>
                <w:szCs w:val="22"/>
              </w:rPr>
              <w:t xml:space="preserve">training opportunities and resources. At the global level, monitoring and reporting </w:t>
            </w:r>
            <w:r w:rsidR="008C20AD">
              <w:rPr>
                <w:rFonts w:ascii="Arial" w:hAnsi="Arial" w:cs="Arial"/>
                <w:bCs/>
                <w:szCs w:val="22"/>
              </w:rPr>
              <w:t>can highlight opportunities for international cooperation</w:t>
            </w:r>
            <w:r w:rsidR="0085475F">
              <w:rPr>
                <w:rFonts w:ascii="Arial" w:hAnsi="Arial" w:cs="Arial"/>
                <w:bCs/>
                <w:szCs w:val="22"/>
              </w:rPr>
              <w:t xml:space="preserve"> – including</w:t>
            </w:r>
            <w:r w:rsidR="008C20AD">
              <w:rPr>
                <w:rFonts w:ascii="Arial" w:hAnsi="Arial" w:cs="Arial"/>
                <w:bCs/>
                <w:szCs w:val="22"/>
              </w:rPr>
              <w:t xml:space="preserve"> where personnel might take advantage of training opportunities outside of their own countries</w:t>
            </w:r>
            <w:r w:rsidR="0085475F">
              <w:rPr>
                <w:rFonts w:ascii="Arial" w:hAnsi="Arial" w:cs="Arial"/>
                <w:bCs/>
                <w:szCs w:val="22"/>
              </w:rPr>
              <w:t xml:space="preserve"> – and can </w:t>
            </w:r>
            <w:r>
              <w:rPr>
                <w:rFonts w:ascii="Arial" w:hAnsi="Arial" w:cs="Arial"/>
                <w:bCs/>
                <w:szCs w:val="22"/>
              </w:rPr>
              <w:t>identify training gaps that UNESCO</w:t>
            </w:r>
            <w:r w:rsidR="008C20AD">
              <w:rPr>
                <w:rFonts w:ascii="Arial" w:hAnsi="Arial" w:cs="Arial"/>
                <w:bCs/>
                <w:szCs w:val="22"/>
              </w:rPr>
              <w:t xml:space="preserve">, with its affiliated partners and institutions, </w:t>
            </w:r>
            <w:r>
              <w:rPr>
                <w:rFonts w:ascii="Arial" w:hAnsi="Arial" w:cs="Arial"/>
                <w:bCs/>
                <w:szCs w:val="22"/>
              </w:rPr>
              <w:t xml:space="preserve">might address through </w:t>
            </w:r>
            <w:r w:rsidR="008C70DB">
              <w:rPr>
                <w:rFonts w:ascii="Arial" w:hAnsi="Arial" w:cs="Arial"/>
                <w:bCs/>
                <w:szCs w:val="22"/>
              </w:rPr>
              <w:t>the global</w:t>
            </w:r>
            <w:r>
              <w:rPr>
                <w:rFonts w:ascii="Arial" w:hAnsi="Arial" w:cs="Arial"/>
                <w:bCs/>
                <w:szCs w:val="22"/>
              </w:rPr>
              <w:t xml:space="preserve"> capacity-building programme</w:t>
            </w:r>
            <w:r w:rsidR="00660F3B">
              <w:rPr>
                <w:rFonts w:ascii="Arial" w:hAnsi="Arial" w:cs="Arial"/>
                <w:bCs/>
                <w:szCs w:val="22"/>
              </w:rPr>
              <w:t>.</w:t>
            </w:r>
          </w:p>
        </w:tc>
      </w:tr>
      <w:tr w:rsidR="0054175C" w:rsidRPr="00F866CD" w14:paraId="59E7CFDE" w14:textId="77777777" w:rsidTr="00741CDB">
        <w:tc>
          <w:tcPr>
            <w:tcW w:w="730" w:type="pct"/>
            <w:shd w:val="clear" w:color="auto" w:fill="auto"/>
          </w:tcPr>
          <w:p w14:paraId="2D547F99"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1DAFD1FF" w14:textId="1D40BFAF" w:rsidR="0054175C" w:rsidRPr="00F866CD" w:rsidRDefault="00C05023" w:rsidP="0054175C">
            <w:pPr>
              <w:spacing w:before="120"/>
              <w:jc w:val="both"/>
              <w:rPr>
                <w:rFonts w:ascii="Arial" w:hAnsi="Arial" w:cs="Arial"/>
                <w:szCs w:val="22"/>
              </w:rPr>
            </w:pPr>
            <w:r>
              <w:rPr>
                <w:rFonts w:ascii="Arial" w:hAnsi="Arial" w:cs="Arial"/>
                <w:szCs w:val="22"/>
              </w:rPr>
              <w:t>A</w:t>
            </w:r>
            <w:r w:rsidR="005E1482">
              <w:rPr>
                <w:rFonts w:ascii="Arial" w:hAnsi="Arial" w:cs="Arial"/>
                <w:szCs w:val="22"/>
              </w:rPr>
              <w:t xml:space="preserve"> Ministry of </w:t>
            </w:r>
            <w:r w:rsidR="0085475F">
              <w:rPr>
                <w:rFonts w:ascii="Arial" w:hAnsi="Arial" w:cs="Arial"/>
                <w:szCs w:val="22"/>
              </w:rPr>
              <w:t xml:space="preserve">Education or of </w:t>
            </w:r>
            <w:r w:rsidR="005E1482">
              <w:rPr>
                <w:rFonts w:ascii="Arial" w:hAnsi="Arial" w:cs="Arial"/>
                <w:szCs w:val="22"/>
              </w:rPr>
              <w:t xml:space="preserve">Higher Education </w:t>
            </w:r>
            <w:r>
              <w:rPr>
                <w:rFonts w:ascii="Arial" w:hAnsi="Arial" w:cs="Arial"/>
                <w:szCs w:val="22"/>
              </w:rPr>
              <w:t>might be</w:t>
            </w:r>
            <w:r w:rsidR="005E1482">
              <w:rPr>
                <w:rFonts w:ascii="Arial" w:hAnsi="Arial" w:cs="Arial"/>
                <w:szCs w:val="22"/>
              </w:rPr>
              <w:t xml:space="preserve"> responsible for authorizing degrees or certificates in specific fields such as ICH, and if so, it would maintain information on where such programmes are offered (Assessment Factor 2.1). If the State has a consultative body or cooperation mechanism (see Indicator 1), </w:t>
            </w:r>
            <w:r w:rsidR="00A5295A">
              <w:rPr>
                <w:rFonts w:ascii="Arial" w:hAnsi="Arial" w:cs="Arial"/>
                <w:szCs w:val="22"/>
              </w:rPr>
              <w:t>it might</w:t>
            </w:r>
            <w:r w:rsidR="005E1482">
              <w:rPr>
                <w:rFonts w:ascii="Arial" w:hAnsi="Arial" w:cs="Arial"/>
                <w:szCs w:val="22"/>
              </w:rPr>
              <w:t xml:space="preserve"> collect and disseminate information about training opportunities, whether offered by governmental institutions (Assessment Factor 2.2) or by </w:t>
            </w:r>
            <w:r>
              <w:rPr>
                <w:rFonts w:ascii="Arial" w:hAnsi="Arial" w:cs="Arial"/>
                <w:szCs w:val="22"/>
              </w:rPr>
              <w:t>non-governmental organizations</w:t>
            </w:r>
            <w:r w:rsidR="005E1482">
              <w:rPr>
                <w:rFonts w:ascii="Arial" w:hAnsi="Arial" w:cs="Arial"/>
                <w:szCs w:val="22"/>
              </w:rPr>
              <w:t xml:space="preserve"> and communities themselves (Assessment Factor 2.3).</w:t>
            </w:r>
          </w:p>
          <w:p w14:paraId="7D17ED10"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19EE7F51" w14:textId="7DDAE912" w:rsidR="005E1482" w:rsidRDefault="005E1482" w:rsidP="00BE5B3F">
            <w:pPr>
              <w:pStyle w:val="ListParagraph"/>
              <w:numPr>
                <w:ilvl w:val="0"/>
                <w:numId w:val="73"/>
              </w:numPr>
              <w:spacing w:before="120"/>
              <w:jc w:val="both"/>
              <w:rPr>
                <w:rFonts w:ascii="Arial" w:hAnsi="Arial" w:cs="Arial"/>
                <w:lang w:val="en-GB"/>
              </w:rPr>
            </w:pPr>
            <w:r>
              <w:rPr>
                <w:rFonts w:ascii="Arial" w:hAnsi="Arial" w:cs="Arial"/>
                <w:lang w:val="en-GB"/>
              </w:rPr>
              <w:t xml:space="preserve">Records and notices of a Ministry of </w:t>
            </w:r>
            <w:r w:rsidR="0085475F">
              <w:rPr>
                <w:rFonts w:ascii="Arial" w:hAnsi="Arial" w:cs="Arial"/>
                <w:lang w:val="en-GB"/>
              </w:rPr>
              <w:t xml:space="preserve">Education or of </w:t>
            </w:r>
            <w:r>
              <w:rPr>
                <w:rFonts w:ascii="Arial" w:hAnsi="Arial" w:cs="Arial"/>
                <w:lang w:val="en-GB"/>
              </w:rPr>
              <w:t>Higher Education</w:t>
            </w:r>
          </w:p>
          <w:p w14:paraId="6D970DAE" w14:textId="77777777" w:rsidR="0054175C" w:rsidRDefault="005E1482" w:rsidP="00BE5B3F">
            <w:pPr>
              <w:pStyle w:val="ListParagraph"/>
              <w:numPr>
                <w:ilvl w:val="0"/>
                <w:numId w:val="73"/>
              </w:numPr>
              <w:spacing w:before="120"/>
              <w:jc w:val="both"/>
              <w:rPr>
                <w:rFonts w:ascii="Arial" w:hAnsi="Arial" w:cs="Arial"/>
                <w:lang w:val="en-GB"/>
              </w:rPr>
            </w:pPr>
            <w:r>
              <w:rPr>
                <w:rFonts w:ascii="Arial" w:hAnsi="Arial" w:cs="Arial"/>
                <w:lang w:val="en-GB"/>
              </w:rPr>
              <w:t>College and university curricula and websites</w:t>
            </w:r>
          </w:p>
          <w:p w14:paraId="56F4C272" w14:textId="77777777" w:rsidR="00154138" w:rsidRDefault="00154138" w:rsidP="00BE5B3F">
            <w:pPr>
              <w:pStyle w:val="ListParagraph"/>
              <w:numPr>
                <w:ilvl w:val="0"/>
                <w:numId w:val="73"/>
              </w:numPr>
              <w:spacing w:before="120"/>
              <w:jc w:val="both"/>
              <w:rPr>
                <w:rFonts w:ascii="Arial" w:hAnsi="Arial" w:cs="Arial"/>
                <w:lang w:val="en-GB"/>
              </w:rPr>
            </w:pPr>
            <w:r>
              <w:rPr>
                <w:rFonts w:ascii="Arial" w:hAnsi="Arial" w:cs="Arial"/>
                <w:lang w:val="en-GB"/>
              </w:rPr>
              <w:t>Capacity-building strategy of the Ministry of Culture or other agencies responsible for ICH</w:t>
            </w:r>
          </w:p>
          <w:p w14:paraId="06D48189" w14:textId="77777777" w:rsidR="007510FC" w:rsidRDefault="007510FC" w:rsidP="00BE5B3F">
            <w:pPr>
              <w:pStyle w:val="ListParagraph"/>
              <w:numPr>
                <w:ilvl w:val="0"/>
                <w:numId w:val="73"/>
              </w:numPr>
              <w:spacing w:before="120"/>
              <w:jc w:val="both"/>
              <w:rPr>
                <w:rFonts w:ascii="Arial" w:hAnsi="Arial" w:cs="Arial"/>
                <w:lang w:val="en-GB"/>
              </w:rPr>
            </w:pPr>
            <w:r>
              <w:rPr>
                <w:rFonts w:ascii="Arial" w:hAnsi="Arial" w:cs="Arial"/>
                <w:lang w:val="en-GB"/>
              </w:rPr>
              <w:t>Dedicated training organizations and bodies</w:t>
            </w:r>
          </w:p>
          <w:p w14:paraId="217A0A63" w14:textId="58064B7A" w:rsidR="00627107" w:rsidRDefault="00627107" w:rsidP="00BE5B3F">
            <w:pPr>
              <w:pStyle w:val="ListParagraph"/>
              <w:numPr>
                <w:ilvl w:val="0"/>
                <w:numId w:val="73"/>
              </w:numPr>
              <w:spacing w:before="120"/>
              <w:jc w:val="both"/>
              <w:rPr>
                <w:rFonts w:ascii="Arial" w:hAnsi="Arial" w:cs="Arial"/>
                <w:lang w:val="en-GB"/>
              </w:rPr>
            </w:pPr>
            <w:r>
              <w:rPr>
                <w:rFonts w:ascii="Arial" w:hAnsi="Arial" w:cs="Arial"/>
                <w:lang w:val="en-GB"/>
              </w:rPr>
              <w:t>Websites of non-governmental bodies active in the area of ICH</w:t>
            </w:r>
          </w:p>
          <w:p w14:paraId="61ED327B" w14:textId="77777777" w:rsidR="005E1482" w:rsidRDefault="00154138" w:rsidP="00BE5B3F">
            <w:pPr>
              <w:pStyle w:val="ListParagraph"/>
              <w:numPr>
                <w:ilvl w:val="0"/>
                <w:numId w:val="73"/>
              </w:numPr>
              <w:spacing w:before="120"/>
              <w:jc w:val="both"/>
              <w:rPr>
                <w:rFonts w:ascii="Arial" w:hAnsi="Arial" w:cs="Arial"/>
                <w:lang w:val="en-GB"/>
              </w:rPr>
            </w:pPr>
            <w:r>
              <w:rPr>
                <w:rFonts w:ascii="Arial" w:hAnsi="Arial" w:cs="Arial"/>
                <w:lang w:val="en-GB"/>
              </w:rPr>
              <w:t>Announcements and recruitment notices for workshops and other punctual opportunities</w:t>
            </w:r>
          </w:p>
          <w:p w14:paraId="63B69390" w14:textId="77777777" w:rsidR="00154138" w:rsidRDefault="00154138" w:rsidP="00BE5B3F">
            <w:pPr>
              <w:pStyle w:val="ListParagraph"/>
              <w:numPr>
                <w:ilvl w:val="0"/>
                <w:numId w:val="73"/>
              </w:numPr>
              <w:spacing w:before="120"/>
              <w:jc w:val="both"/>
              <w:rPr>
                <w:rFonts w:ascii="Arial" w:hAnsi="Arial" w:cs="Arial"/>
                <w:lang w:val="en-GB"/>
              </w:rPr>
            </w:pPr>
            <w:r>
              <w:rPr>
                <w:rFonts w:ascii="Arial" w:hAnsi="Arial" w:cs="Arial"/>
                <w:lang w:val="en-GB"/>
              </w:rPr>
              <w:t>Media coverage of such workshops and training activities</w:t>
            </w:r>
          </w:p>
          <w:p w14:paraId="6E47F751" w14:textId="77777777" w:rsidR="00F772F9" w:rsidRPr="00F866CD" w:rsidRDefault="00F772F9" w:rsidP="00BE5B3F">
            <w:pPr>
              <w:pStyle w:val="ListParagraph"/>
              <w:numPr>
                <w:ilvl w:val="0"/>
                <w:numId w:val="73"/>
              </w:numPr>
              <w:spacing w:before="120"/>
              <w:jc w:val="both"/>
              <w:rPr>
                <w:rFonts w:ascii="Arial" w:hAnsi="Arial" w:cs="Arial"/>
                <w:lang w:val="en-GB"/>
              </w:rPr>
            </w:pPr>
            <w:r>
              <w:rPr>
                <w:rFonts w:ascii="Arial" w:hAnsi="Arial" w:cs="Arial"/>
                <w:lang w:val="en-GB"/>
              </w:rPr>
              <w:t>UNESCO’s webpage on capacity-building projects</w:t>
            </w:r>
          </w:p>
        </w:tc>
      </w:tr>
    </w:tbl>
    <w:p w14:paraId="7AA6BBED"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DFDC" w14:textId="77777777" w:rsidR="004D7F00" w:rsidRDefault="004D7F00" w:rsidP="002938F2">
      <w:r>
        <w:separator/>
      </w:r>
    </w:p>
    <w:p w14:paraId="78D9E1DF" w14:textId="77777777" w:rsidR="004D7F00" w:rsidRDefault="004D7F00"/>
  </w:endnote>
  <w:endnote w:type="continuationSeparator" w:id="0">
    <w:p w14:paraId="798FF3EB" w14:textId="77777777" w:rsidR="004D7F00" w:rsidRDefault="004D7F00" w:rsidP="002938F2">
      <w:r>
        <w:continuationSeparator/>
      </w:r>
    </w:p>
    <w:p w14:paraId="228D6EC4" w14:textId="77777777" w:rsidR="004D7F00" w:rsidRDefault="004D7F00"/>
  </w:endnote>
  <w:endnote w:type="continuationNotice" w:id="1">
    <w:p w14:paraId="58032E5C" w14:textId="77777777" w:rsidR="004D7F00" w:rsidRDefault="004D7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F107" w14:textId="36F052EF" w:rsidR="00C04344" w:rsidRPr="000A0709" w:rsidRDefault="00871168"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660F3B">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06E6" w14:textId="77777777" w:rsidR="004D7F00" w:rsidRDefault="004D7F00" w:rsidP="002938F2">
      <w:r>
        <w:separator/>
      </w:r>
    </w:p>
  </w:footnote>
  <w:footnote w:type="continuationSeparator" w:id="0">
    <w:p w14:paraId="1DDD06E3" w14:textId="77777777" w:rsidR="004D7F00" w:rsidRDefault="004D7F00" w:rsidP="002938F2">
      <w:r>
        <w:continuationSeparator/>
      </w:r>
    </w:p>
    <w:p w14:paraId="435DF60D" w14:textId="77777777" w:rsidR="004D7F00" w:rsidRDefault="004D7F00"/>
  </w:footnote>
  <w:footnote w:type="continuationNotice" w:id="1">
    <w:p w14:paraId="6E42F296" w14:textId="77777777" w:rsidR="004D7F00" w:rsidRDefault="004D7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69DA" w14:textId="77777777" w:rsidR="00741CDB" w:rsidRDefault="0074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54A32"/>
    <w:multiLevelType w:val="multilevel"/>
    <w:tmpl w:val="5E98540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C79C0"/>
    <w:multiLevelType w:val="multilevel"/>
    <w:tmpl w:val="1F16EE2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7"/>
  </w:num>
  <w:num w:numId="3">
    <w:abstractNumId w:val="12"/>
  </w:num>
  <w:num w:numId="4">
    <w:abstractNumId w:val="55"/>
  </w:num>
  <w:num w:numId="5">
    <w:abstractNumId w:val="46"/>
  </w:num>
  <w:num w:numId="6">
    <w:abstractNumId w:val="5"/>
  </w:num>
  <w:num w:numId="7">
    <w:abstractNumId w:val="16"/>
  </w:num>
  <w:num w:numId="8">
    <w:abstractNumId w:val="26"/>
  </w:num>
  <w:num w:numId="9">
    <w:abstractNumId w:val="49"/>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39"/>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3"/>
  </w:num>
  <w:num w:numId="27">
    <w:abstractNumId w:val="26"/>
  </w:num>
  <w:num w:numId="28">
    <w:abstractNumId w:val="26"/>
  </w:num>
  <w:num w:numId="29">
    <w:abstractNumId w:val="26"/>
  </w:num>
  <w:num w:numId="30">
    <w:abstractNumId w:val="26"/>
  </w:num>
  <w:num w:numId="31">
    <w:abstractNumId w:val="11"/>
  </w:num>
  <w:num w:numId="32">
    <w:abstractNumId w:val="9"/>
  </w:num>
  <w:num w:numId="33">
    <w:abstractNumId w:val="17"/>
  </w:num>
  <w:num w:numId="34">
    <w:abstractNumId w:val="47"/>
  </w:num>
  <w:num w:numId="35">
    <w:abstractNumId w:val="22"/>
  </w:num>
  <w:num w:numId="36">
    <w:abstractNumId w:val="41"/>
  </w:num>
  <w:num w:numId="37">
    <w:abstractNumId w:val="19"/>
  </w:num>
  <w:num w:numId="38">
    <w:abstractNumId w:val="10"/>
  </w:num>
  <w:num w:numId="39">
    <w:abstractNumId w:val="7"/>
  </w:num>
  <w:num w:numId="40">
    <w:abstractNumId w:val="21"/>
  </w:num>
  <w:num w:numId="41">
    <w:abstractNumId w:val="54"/>
  </w:num>
  <w:num w:numId="42">
    <w:abstractNumId w:val="51"/>
  </w:num>
  <w:num w:numId="43">
    <w:abstractNumId w:val="30"/>
  </w:num>
  <w:num w:numId="44">
    <w:abstractNumId w:val="13"/>
  </w:num>
  <w:num w:numId="45">
    <w:abstractNumId w:val="52"/>
  </w:num>
  <w:num w:numId="46">
    <w:abstractNumId w:val="6"/>
  </w:num>
  <w:num w:numId="47">
    <w:abstractNumId w:val="36"/>
  </w:num>
  <w:num w:numId="48">
    <w:abstractNumId w:val="56"/>
  </w:num>
  <w:num w:numId="49">
    <w:abstractNumId w:val="33"/>
  </w:num>
  <w:num w:numId="50">
    <w:abstractNumId w:val="31"/>
  </w:num>
  <w:num w:numId="51">
    <w:abstractNumId w:val="28"/>
  </w:num>
  <w:num w:numId="52">
    <w:abstractNumId w:val="38"/>
  </w:num>
  <w:num w:numId="53">
    <w:abstractNumId w:val="15"/>
  </w:num>
  <w:num w:numId="54">
    <w:abstractNumId w:val="2"/>
  </w:num>
  <w:num w:numId="55">
    <w:abstractNumId w:val="35"/>
  </w:num>
  <w:num w:numId="56">
    <w:abstractNumId w:val="40"/>
  </w:num>
  <w:num w:numId="57">
    <w:abstractNumId w:val="0"/>
  </w:num>
  <w:num w:numId="58">
    <w:abstractNumId w:val="4"/>
  </w:num>
  <w:num w:numId="59">
    <w:abstractNumId w:val="44"/>
  </w:num>
  <w:num w:numId="60">
    <w:abstractNumId w:val="3"/>
  </w:num>
  <w:num w:numId="61">
    <w:abstractNumId w:val="32"/>
  </w:num>
  <w:num w:numId="62">
    <w:abstractNumId w:val="23"/>
  </w:num>
  <w:num w:numId="63">
    <w:abstractNumId w:val="48"/>
  </w:num>
  <w:num w:numId="64">
    <w:abstractNumId w:val="20"/>
  </w:num>
  <w:num w:numId="65">
    <w:abstractNumId w:val="25"/>
  </w:num>
  <w:num w:numId="66">
    <w:abstractNumId w:val="45"/>
  </w:num>
  <w:num w:numId="67">
    <w:abstractNumId w:val="37"/>
  </w:num>
  <w:num w:numId="68">
    <w:abstractNumId w:val="14"/>
  </w:num>
  <w:num w:numId="69">
    <w:abstractNumId w:val="42"/>
  </w:num>
  <w:num w:numId="70">
    <w:abstractNumId w:val="34"/>
  </w:num>
  <w:num w:numId="71">
    <w:abstractNumId w:val="29"/>
  </w:num>
  <w:num w:numId="72">
    <w:abstractNumId w:val="50"/>
  </w:num>
  <w:num w:numId="73">
    <w:abstractNumId w:val="8"/>
  </w:num>
  <w:num w:numId="74">
    <w:abstractNumId w:val="1"/>
  </w:num>
  <w:num w:numId="75">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AC"/>
    <w:rsid w:val="000016A4"/>
    <w:rsid w:val="000019DB"/>
    <w:rsid w:val="000047CC"/>
    <w:rsid w:val="00005BA5"/>
    <w:rsid w:val="00005BFA"/>
    <w:rsid w:val="00006F66"/>
    <w:rsid w:val="00007BE1"/>
    <w:rsid w:val="00010E2D"/>
    <w:rsid w:val="000120FD"/>
    <w:rsid w:val="00013A65"/>
    <w:rsid w:val="0001506E"/>
    <w:rsid w:val="00015B9D"/>
    <w:rsid w:val="0001601A"/>
    <w:rsid w:val="00021831"/>
    <w:rsid w:val="00022C19"/>
    <w:rsid w:val="00031A37"/>
    <w:rsid w:val="00036843"/>
    <w:rsid w:val="00047E58"/>
    <w:rsid w:val="00054FDC"/>
    <w:rsid w:val="000615DC"/>
    <w:rsid w:val="000632E2"/>
    <w:rsid w:val="0007203D"/>
    <w:rsid w:val="000729D2"/>
    <w:rsid w:val="00073D20"/>
    <w:rsid w:val="00074E7D"/>
    <w:rsid w:val="000755E1"/>
    <w:rsid w:val="0007681B"/>
    <w:rsid w:val="000769F1"/>
    <w:rsid w:val="00083694"/>
    <w:rsid w:val="00085541"/>
    <w:rsid w:val="00092AE6"/>
    <w:rsid w:val="00093063"/>
    <w:rsid w:val="000975E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4936"/>
    <w:rsid w:val="00106B72"/>
    <w:rsid w:val="00106D19"/>
    <w:rsid w:val="0011334A"/>
    <w:rsid w:val="00115830"/>
    <w:rsid w:val="00116489"/>
    <w:rsid w:val="0011750D"/>
    <w:rsid w:val="00121B41"/>
    <w:rsid w:val="001301DF"/>
    <w:rsid w:val="001412DE"/>
    <w:rsid w:val="00142D78"/>
    <w:rsid w:val="00144A4D"/>
    <w:rsid w:val="00151351"/>
    <w:rsid w:val="001530C5"/>
    <w:rsid w:val="00154138"/>
    <w:rsid w:val="00156788"/>
    <w:rsid w:val="001609A1"/>
    <w:rsid w:val="00162554"/>
    <w:rsid w:val="00163F68"/>
    <w:rsid w:val="00173B50"/>
    <w:rsid w:val="00173E0E"/>
    <w:rsid w:val="00174B39"/>
    <w:rsid w:val="00183F6C"/>
    <w:rsid w:val="001869E2"/>
    <w:rsid w:val="00194802"/>
    <w:rsid w:val="00194AEB"/>
    <w:rsid w:val="001A431C"/>
    <w:rsid w:val="001A5519"/>
    <w:rsid w:val="001A7C3A"/>
    <w:rsid w:val="001B5C26"/>
    <w:rsid w:val="001C08BC"/>
    <w:rsid w:val="001C56BA"/>
    <w:rsid w:val="001C6D7D"/>
    <w:rsid w:val="001C6F2B"/>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D5F"/>
    <w:rsid w:val="0029148C"/>
    <w:rsid w:val="002938F2"/>
    <w:rsid w:val="00293CCC"/>
    <w:rsid w:val="002A195D"/>
    <w:rsid w:val="002B43D6"/>
    <w:rsid w:val="002B5410"/>
    <w:rsid w:val="002B6B98"/>
    <w:rsid w:val="002C10CA"/>
    <w:rsid w:val="002C28BA"/>
    <w:rsid w:val="002C3B8F"/>
    <w:rsid w:val="002C444C"/>
    <w:rsid w:val="002C5021"/>
    <w:rsid w:val="002C5280"/>
    <w:rsid w:val="002C5C29"/>
    <w:rsid w:val="002D396D"/>
    <w:rsid w:val="002D71D4"/>
    <w:rsid w:val="002E113D"/>
    <w:rsid w:val="002E2E75"/>
    <w:rsid w:val="002F17E1"/>
    <w:rsid w:val="003043A9"/>
    <w:rsid w:val="0030454E"/>
    <w:rsid w:val="00320242"/>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3775"/>
    <w:rsid w:val="003B504D"/>
    <w:rsid w:val="003C0FE0"/>
    <w:rsid w:val="003C385E"/>
    <w:rsid w:val="003C7065"/>
    <w:rsid w:val="003D2E0D"/>
    <w:rsid w:val="003D33CE"/>
    <w:rsid w:val="003D5113"/>
    <w:rsid w:val="003D5BFC"/>
    <w:rsid w:val="003D6E10"/>
    <w:rsid w:val="003E0C0F"/>
    <w:rsid w:val="003E0E28"/>
    <w:rsid w:val="003E19D5"/>
    <w:rsid w:val="003E76A8"/>
    <w:rsid w:val="003F5B90"/>
    <w:rsid w:val="00404856"/>
    <w:rsid w:val="004057C7"/>
    <w:rsid w:val="00406ED7"/>
    <w:rsid w:val="004108B6"/>
    <w:rsid w:val="0041110F"/>
    <w:rsid w:val="0041300C"/>
    <w:rsid w:val="00414B68"/>
    <w:rsid w:val="00430ED2"/>
    <w:rsid w:val="00434773"/>
    <w:rsid w:val="004367F5"/>
    <w:rsid w:val="004458C9"/>
    <w:rsid w:val="00447C66"/>
    <w:rsid w:val="00462F38"/>
    <w:rsid w:val="004676C1"/>
    <w:rsid w:val="00471430"/>
    <w:rsid w:val="00471B34"/>
    <w:rsid w:val="00474AFE"/>
    <w:rsid w:val="00477E66"/>
    <w:rsid w:val="00480809"/>
    <w:rsid w:val="00486A5E"/>
    <w:rsid w:val="00493F92"/>
    <w:rsid w:val="00494997"/>
    <w:rsid w:val="004A0C2B"/>
    <w:rsid w:val="004A610E"/>
    <w:rsid w:val="004C20E2"/>
    <w:rsid w:val="004D7F00"/>
    <w:rsid w:val="004E056C"/>
    <w:rsid w:val="004E2817"/>
    <w:rsid w:val="004E2AE8"/>
    <w:rsid w:val="004E418A"/>
    <w:rsid w:val="004F7AFD"/>
    <w:rsid w:val="005016FB"/>
    <w:rsid w:val="00504256"/>
    <w:rsid w:val="00511D17"/>
    <w:rsid w:val="005157E2"/>
    <w:rsid w:val="0051699F"/>
    <w:rsid w:val="00516DE3"/>
    <w:rsid w:val="005300BF"/>
    <w:rsid w:val="00532631"/>
    <w:rsid w:val="005414A1"/>
    <w:rsid w:val="0054175C"/>
    <w:rsid w:val="005473CF"/>
    <w:rsid w:val="00567C0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1482"/>
    <w:rsid w:val="005E3A3E"/>
    <w:rsid w:val="005E6A2B"/>
    <w:rsid w:val="005E7C7C"/>
    <w:rsid w:val="00601DD6"/>
    <w:rsid w:val="006032AE"/>
    <w:rsid w:val="00603F71"/>
    <w:rsid w:val="00605202"/>
    <w:rsid w:val="00621092"/>
    <w:rsid w:val="00621208"/>
    <w:rsid w:val="00627107"/>
    <w:rsid w:val="00632B30"/>
    <w:rsid w:val="006340A1"/>
    <w:rsid w:val="00635A19"/>
    <w:rsid w:val="00636760"/>
    <w:rsid w:val="00644B92"/>
    <w:rsid w:val="00645B77"/>
    <w:rsid w:val="0065099D"/>
    <w:rsid w:val="006515C9"/>
    <w:rsid w:val="00651944"/>
    <w:rsid w:val="006522F1"/>
    <w:rsid w:val="00652318"/>
    <w:rsid w:val="00652484"/>
    <w:rsid w:val="006525D7"/>
    <w:rsid w:val="00653314"/>
    <w:rsid w:val="00654BA0"/>
    <w:rsid w:val="00660F3B"/>
    <w:rsid w:val="0067005F"/>
    <w:rsid w:val="0067015A"/>
    <w:rsid w:val="006736EC"/>
    <w:rsid w:val="00673D90"/>
    <w:rsid w:val="00676C1E"/>
    <w:rsid w:val="00686D60"/>
    <w:rsid w:val="00691869"/>
    <w:rsid w:val="00694759"/>
    <w:rsid w:val="006A0D86"/>
    <w:rsid w:val="006A49AE"/>
    <w:rsid w:val="006A56C0"/>
    <w:rsid w:val="006C0911"/>
    <w:rsid w:val="006C3B03"/>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1CDB"/>
    <w:rsid w:val="00742DD1"/>
    <w:rsid w:val="0074360F"/>
    <w:rsid w:val="00746204"/>
    <w:rsid w:val="00747715"/>
    <w:rsid w:val="00747F86"/>
    <w:rsid w:val="00750138"/>
    <w:rsid w:val="007510FC"/>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53AC"/>
    <w:rsid w:val="007A6F91"/>
    <w:rsid w:val="007A7D45"/>
    <w:rsid w:val="007B4ADA"/>
    <w:rsid w:val="007C105C"/>
    <w:rsid w:val="007C1B00"/>
    <w:rsid w:val="007D0F1D"/>
    <w:rsid w:val="007D2881"/>
    <w:rsid w:val="007D31CE"/>
    <w:rsid w:val="007D3AD8"/>
    <w:rsid w:val="007D5BB7"/>
    <w:rsid w:val="007D6A69"/>
    <w:rsid w:val="007E0621"/>
    <w:rsid w:val="007E4E37"/>
    <w:rsid w:val="007F2F3A"/>
    <w:rsid w:val="007F4B07"/>
    <w:rsid w:val="008029A6"/>
    <w:rsid w:val="008140A1"/>
    <w:rsid w:val="008147BA"/>
    <w:rsid w:val="008269B0"/>
    <w:rsid w:val="0083067E"/>
    <w:rsid w:val="00832357"/>
    <w:rsid w:val="0083488D"/>
    <w:rsid w:val="008466C3"/>
    <w:rsid w:val="00846809"/>
    <w:rsid w:val="00851458"/>
    <w:rsid w:val="0085475F"/>
    <w:rsid w:val="00861A47"/>
    <w:rsid w:val="008707FF"/>
    <w:rsid w:val="00871168"/>
    <w:rsid w:val="008724E5"/>
    <w:rsid w:val="00877AC5"/>
    <w:rsid w:val="00877F27"/>
    <w:rsid w:val="0088173A"/>
    <w:rsid w:val="00881EB9"/>
    <w:rsid w:val="00882964"/>
    <w:rsid w:val="008848E9"/>
    <w:rsid w:val="00884C09"/>
    <w:rsid w:val="00885596"/>
    <w:rsid w:val="00885B33"/>
    <w:rsid w:val="00886B71"/>
    <w:rsid w:val="0089499E"/>
    <w:rsid w:val="00896177"/>
    <w:rsid w:val="008A0BE3"/>
    <w:rsid w:val="008A2566"/>
    <w:rsid w:val="008A625D"/>
    <w:rsid w:val="008A6663"/>
    <w:rsid w:val="008B6B4C"/>
    <w:rsid w:val="008B7346"/>
    <w:rsid w:val="008C20AD"/>
    <w:rsid w:val="008C5586"/>
    <w:rsid w:val="008C70DB"/>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24D8"/>
    <w:rsid w:val="0097349C"/>
    <w:rsid w:val="009814C2"/>
    <w:rsid w:val="00982FFD"/>
    <w:rsid w:val="00985265"/>
    <w:rsid w:val="00985856"/>
    <w:rsid w:val="009A4969"/>
    <w:rsid w:val="009B1466"/>
    <w:rsid w:val="009B6973"/>
    <w:rsid w:val="009C0510"/>
    <w:rsid w:val="009C1A53"/>
    <w:rsid w:val="009C3663"/>
    <w:rsid w:val="009C45A8"/>
    <w:rsid w:val="009D098F"/>
    <w:rsid w:val="009D277E"/>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295A"/>
    <w:rsid w:val="00A535B7"/>
    <w:rsid w:val="00A55B02"/>
    <w:rsid w:val="00A5709F"/>
    <w:rsid w:val="00A616C4"/>
    <w:rsid w:val="00A61F20"/>
    <w:rsid w:val="00A64796"/>
    <w:rsid w:val="00A66CD4"/>
    <w:rsid w:val="00A70883"/>
    <w:rsid w:val="00A77AEB"/>
    <w:rsid w:val="00A81F0A"/>
    <w:rsid w:val="00A85C7A"/>
    <w:rsid w:val="00A86042"/>
    <w:rsid w:val="00AA36F9"/>
    <w:rsid w:val="00AA444A"/>
    <w:rsid w:val="00AB1528"/>
    <w:rsid w:val="00AB79BC"/>
    <w:rsid w:val="00AD6BD4"/>
    <w:rsid w:val="00AE1B18"/>
    <w:rsid w:val="00AE1D83"/>
    <w:rsid w:val="00AE2DFB"/>
    <w:rsid w:val="00AE3061"/>
    <w:rsid w:val="00AF15BA"/>
    <w:rsid w:val="00AF1C32"/>
    <w:rsid w:val="00AF65C6"/>
    <w:rsid w:val="00B11AE3"/>
    <w:rsid w:val="00B121A6"/>
    <w:rsid w:val="00B252FE"/>
    <w:rsid w:val="00B300B8"/>
    <w:rsid w:val="00B32A28"/>
    <w:rsid w:val="00B33904"/>
    <w:rsid w:val="00B3751E"/>
    <w:rsid w:val="00B427FE"/>
    <w:rsid w:val="00B51737"/>
    <w:rsid w:val="00B6102A"/>
    <w:rsid w:val="00B6167A"/>
    <w:rsid w:val="00B62ED0"/>
    <w:rsid w:val="00B64196"/>
    <w:rsid w:val="00B66A7A"/>
    <w:rsid w:val="00B70266"/>
    <w:rsid w:val="00B72A31"/>
    <w:rsid w:val="00B74304"/>
    <w:rsid w:val="00B82F05"/>
    <w:rsid w:val="00B87142"/>
    <w:rsid w:val="00B8750E"/>
    <w:rsid w:val="00B92374"/>
    <w:rsid w:val="00B924C8"/>
    <w:rsid w:val="00B95E33"/>
    <w:rsid w:val="00B973B5"/>
    <w:rsid w:val="00B97FD1"/>
    <w:rsid w:val="00BA09C8"/>
    <w:rsid w:val="00BB1062"/>
    <w:rsid w:val="00BB28EF"/>
    <w:rsid w:val="00BB5DEE"/>
    <w:rsid w:val="00BC002E"/>
    <w:rsid w:val="00BC393F"/>
    <w:rsid w:val="00BC75FC"/>
    <w:rsid w:val="00BD59BD"/>
    <w:rsid w:val="00BE5B3F"/>
    <w:rsid w:val="00BF351F"/>
    <w:rsid w:val="00BF3F50"/>
    <w:rsid w:val="00BF6F37"/>
    <w:rsid w:val="00C02924"/>
    <w:rsid w:val="00C04344"/>
    <w:rsid w:val="00C05023"/>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192A"/>
    <w:rsid w:val="00C87194"/>
    <w:rsid w:val="00C90629"/>
    <w:rsid w:val="00C90C51"/>
    <w:rsid w:val="00CA3ED6"/>
    <w:rsid w:val="00CA7CF4"/>
    <w:rsid w:val="00CB0F37"/>
    <w:rsid w:val="00CB1135"/>
    <w:rsid w:val="00CB1231"/>
    <w:rsid w:val="00CB590B"/>
    <w:rsid w:val="00CC02C5"/>
    <w:rsid w:val="00CC2BC6"/>
    <w:rsid w:val="00CC3AAB"/>
    <w:rsid w:val="00CD324E"/>
    <w:rsid w:val="00CD4A28"/>
    <w:rsid w:val="00CD54BD"/>
    <w:rsid w:val="00CD6C36"/>
    <w:rsid w:val="00CE2586"/>
    <w:rsid w:val="00CE3788"/>
    <w:rsid w:val="00CF05D7"/>
    <w:rsid w:val="00CF34A6"/>
    <w:rsid w:val="00CF3F93"/>
    <w:rsid w:val="00D020F3"/>
    <w:rsid w:val="00D04515"/>
    <w:rsid w:val="00D065AD"/>
    <w:rsid w:val="00D22831"/>
    <w:rsid w:val="00D404B7"/>
    <w:rsid w:val="00D44509"/>
    <w:rsid w:val="00D448CB"/>
    <w:rsid w:val="00D47226"/>
    <w:rsid w:val="00D47ED5"/>
    <w:rsid w:val="00D61779"/>
    <w:rsid w:val="00D7356C"/>
    <w:rsid w:val="00D73DB6"/>
    <w:rsid w:val="00D809E5"/>
    <w:rsid w:val="00D81948"/>
    <w:rsid w:val="00D90819"/>
    <w:rsid w:val="00D93291"/>
    <w:rsid w:val="00D9501F"/>
    <w:rsid w:val="00DB50D5"/>
    <w:rsid w:val="00DC5537"/>
    <w:rsid w:val="00DD11EE"/>
    <w:rsid w:val="00DD1FAF"/>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4C6D"/>
    <w:rsid w:val="00EA59EB"/>
    <w:rsid w:val="00EA67F3"/>
    <w:rsid w:val="00EB48F8"/>
    <w:rsid w:val="00ED0C60"/>
    <w:rsid w:val="00ED3D26"/>
    <w:rsid w:val="00ED5218"/>
    <w:rsid w:val="00EE1D9D"/>
    <w:rsid w:val="00EF0BCB"/>
    <w:rsid w:val="00EF0E74"/>
    <w:rsid w:val="00EF2549"/>
    <w:rsid w:val="00F00E8A"/>
    <w:rsid w:val="00F16242"/>
    <w:rsid w:val="00F17FCB"/>
    <w:rsid w:val="00F20047"/>
    <w:rsid w:val="00F226CC"/>
    <w:rsid w:val="00F2691E"/>
    <w:rsid w:val="00F279DD"/>
    <w:rsid w:val="00F3242E"/>
    <w:rsid w:val="00F33650"/>
    <w:rsid w:val="00F348F9"/>
    <w:rsid w:val="00F35C6D"/>
    <w:rsid w:val="00F37E4B"/>
    <w:rsid w:val="00F4144E"/>
    <w:rsid w:val="00F41B00"/>
    <w:rsid w:val="00F473CB"/>
    <w:rsid w:val="00F50245"/>
    <w:rsid w:val="00F63DDA"/>
    <w:rsid w:val="00F67029"/>
    <w:rsid w:val="00F70858"/>
    <w:rsid w:val="00F71BBC"/>
    <w:rsid w:val="00F7397F"/>
    <w:rsid w:val="00F75949"/>
    <w:rsid w:val="00F75CF4"/>
    <w:rsid w:val="00F772F9"/>
    <w:rsid w:val="00F866CD"/>
    <w:rsid w:val="00F941F0"/>
    <w:rsid w:val="00F96802"/>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21071"/>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74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9E21-F4EF-4D9B-A2B4-6E9D23A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2019-07-19T19:55:00Z</dcterms:created>
  <dcterms:modified xsi:type="dcterms:W3CDTF">2019-12-06T17:04:00Z</dcterms:modified>
</cp:coreProperties>
</file>