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891B9"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558"/>
        <w:gridCol w:w="1509"/>
      </w:tblGrid>
      <w:tr w:rsidR="005473CF" w:rsidRPr="005F3628" w14:paraId="55AC04EF" w14:textId="77777777" w:rsidTr="00741CDB">
        <w:trPr>
          <w:cantSplit/>
        </w:trPr>
        <w:tc>
          <w:tcPr>
            <w:tcW w:w="786" w:type="pct"/>
            <w:shd w:val="clear" w:color="auto" w:fill="auto"/>
          </w:tcPr>
          <w:p w14:paraId="0F8B3A21"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6B41C83F" w14:textId="77777777" w:rsidR="005473CF" w:rsidRPr="005F3628" w:rsidRDefault="00DD1FAF" w:rsidP="00DD1FAF">
            <w:pPr>
              <w:keepLines/>
              <w:spacing w:before="120"/>
              <w:ind w:left="567" w:hanging="567"/>
              <w:rPr>
                <w:rFonts w:ascii="Arial" w:hAnsi="Arial" w:cs="Arial"/>
                <w:b/>
                <w:szCs w:val="22"/>
                <w:lang w:val="fr-FR"/>
              </w:rPr>
            </w:pPr>
            <w:r>
              <w:rPr>
                <w:rFonts w:ascii="Arial" w:hAnsi="Arial" w:cs="Arial"/>
                <w:b/>
                <w:bCs/>
                <w:szCs w:val="22"/>
                <w:lang w:val="es"/>
              </w:rPr>
              <w:t xml:space="preserve">2. </w:t>
            </w:r>
            <w:r>
              <w:rPr>
                <w:rFonts w:ascii="Arial" w:hAnsi="Arial" w:cs="Arial"/>
                <w:szCs w:val="22"/>
                <w:lang w:val="es"/>
              </w:rPr>
              <w:tab/>
            </w:r>
            <w:r>
              <w:rPr>
                <w:rFonts w:ascii="Arial" w:hAnsi="Arial" w:cs="Arial"/>
                <w:b/>
                <w:bCs/>
                <w:szCs w:val="22"/>
                <w:lang w:val="es"/>
              </w:rPr>
              <w:t>Grado en que los programas apoyan el fortalecimiento de las capacidades humanas para promover la salvaguardia y gestión del PCI</w:t>
            </w:r>
          </w:p>
        </w:tc>
      </w:tr>
      <w:tr w:rsidR="005B0FE5" w:rsidRPr="005F3628" w14:paraId="1D753E4A" w14:textId="77777777" w:rsidTr="00741CDB">
        <w:trPr>
          <w:cantSplit/>
        </w:trPr>
        <w:tc>
          <w:tcPr>
            <w:tcW w:w="786" w:type="pct"/>
            <w:vMerge w:val="restart"/>
            <w:shd w:val="clear" w:color="auto" w:fill="auto"/>
          </w:tcPr>
          <w:p w14:paraId="43461BF7"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73ABB615" w14:textId="77777777" w:rsidR="005B0FE5" w:rsidRPr="005F3628"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DD1FAF" w:rsidRPr="00F866CD" w14:paraId="09968D5D" w14:textId="77777777" w:rsidTr="00741CDB">
        <w:trPr>
          <w:cantSplit/>
        </w:trPr>
        <w:tc>
          <w:tcPr>
            <w:tcW w:w="786" w:type="pct"/>
            <w:vMerge/>
            <w:shd w:val="clear" w:color="auto" w:fill="auto"/>
          </w:tcPr>
          <w:p w14:paraId="35E35DB2" w14:textId="77777777" w:rsidR="00DD1FAF" w:rsidRPr="005F3628" w:rsidRDefault="00DD1FAF" w:rsidP="00DD1FAF">
            <w:pPr>
              <w:spacing w:before="120"/>
              <w:rPr>
                <w:rFonts w:ascii="Arial" w:hAnsi="Arial" w:cs="Arial"/>
                <w:b/>
                <w:szCs w:val="22"/>
                <w:lang w:val="fr-FR"/>
              </w:rPr>
            </w:pPr>
          </w:p>
        </w:tc>
        <w:tc>
          <w:tcPr>
            <w:tcW w:w="3418" w:type="pct"/>
            <w:shd w:val="clear" w:color="auto" w:fill="auto"/>
            <w:vAlign w:val="center"/>
          </w:tcPr>
          <w:p w14:paraId="6E8E5412" w14:textId="77777777" w:rsidR="00DD1FAF" w:rsidRPr="005F3628" w:rsidRDefault="00DD1FAF" w:rsidP="00A55B02">
            <w:pPr>
              <w:pStyle w:val="ListParagraph"/>
              <w:keepLines/>
              <w:numPr>
                <w:ilvl w:val="1"/>
                <w:numId w:val="75"/>
              </w:numPr>
              <w:spacing w:before="120" w:after="120" w:line="240" w:lineRule="auto"/>
              <w:ind w:left="567" w:hanging="567"/>
              <w:rPr>
                <w:rFonts w:ascii="Arial" w:hAnsi="Arial" w:cs="Arial"/>
                <w:sz w:val="20"/>
                <w:szCs w:val="20"/>
                <w:lang w:val="fr-FR"/>
              </w:rPr>
            </w:pPr>
            <w:r>
              <w:rPr>
                <w:rFonts w:ascii="Arial" w:hAnsi="Arial" w:cs="Arial"/>
                <w:sz w:val="20"/>
                <w:szCs w:val="20"/>
                <w:lang w:val="es"/>
              </w:rPr>
              <w:t>Instituciones de educación superior ofrecen programas de estudios en materia de salvaguardia y gestión del PCI sobre una base inclusiva.</w:t>
            </w:r>
          </w:p>
        </w:tc>
        <w:tc>
          <w:tcPr>
            <w:tcW w:w="796" w:type="pct"/>
            <w:shd w:val="clear" w:color="auto" w:fill="auto"/>
            <w:vAlign w:val="center"/>
          </w:tcPr>
          <w:p w14:paraId="653C31A5" w14:textId="77777777" w:rsidR="00DD1FAF" w:rsidRPr="00DD1FAF" w:rsidRDefault="00DD1FAF" w:rsidP="00DD1FAF">
            <w:pPr>
              <w:keepLines/>
              <w:spacing w:before="120"/>
              <w:jc w:val="both"/>
              <w:rPr>
                <w:rFonts w:ascii="Arial" w:hAnsi="Arial" w:cs="Arial"/>
                <w:sz w:val="20"/>
                <w:szCs w:val="20"/>
              </w:rPr>
            </w:pPr>
            <w:r>
              <w:rPr>
                <w:rFonts w:ascii="Arial" w:hAnsi="Arial" w:cs="Arial"/>
                <w:sz w:val="20"/>
                <w:szCs w:val="20"/>
                <w:lang w:val="es"/>
              </w:rPr>
              <w:t>Artículo 14 a) iii)</w:t>
            </w:r>
          </w:p>
          <w:p w14:paraId="51497190" w14:textId="77777777" w:rsidR="00DD1FAF" w:rsidRPr="00DD1FAF" w:rsidRDefault="00DD1FAF" w:rsidP="00DD1FAF">
            <w:pPr>
              <w:keepLines/>
              <w:spacing w:before="120"/>
              <w:jc w:val="both"/>
              <w:rPr>
                <w:rFonts w:ascii="Arial" w:hAnsi="Arial" w:cs="Arial"/>
                <w:sz w:val="20"/>
                <w:szCs w:val="20"/>
              </w:rPr>
            </w:pPr>
            <w:r>
              <w:rPr>
                <w:rFonts w:ascii="Arial" w:hAnsi="Arial" w:cs="Arial"/>
                <w:sz w:val="20"/>
                <w:szCs w:val="20"/>
                <w:lang w:val="es"/>
              </w:rPr>
              <w:t>DO 107 k)</w:t>
            </w:r>
          </w:p>
        </w:tc>
      </w:tr>
      <w:tr w:rsidR="00DD1FAF" w:rsidRPr="00F866CD" w14:paraId="6AC7F934" w14:textId="77777777" w:rsidTr="00741CDB">
        <w:trPr>
          <w:cantSplit/>
        </w:trPr>
        <w:tc>
          <w:tcPr>
            <w:tcW w:w="786" w:type="pct"/>
            <w:vMerge/>
            <w:shd w:val="clear" w:color="auto" w:fill="auto"/>
          </w:tcPr>
          <w:p w14:paraId="6FB9D969"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47D68CED" w14:textId="77777777" w:rsidR="00DD1FAF" w:rsidRPr="005F3628" w:rsidRDefault="00DD1FAF" w:rsidP="00A55B02">
            <w:pPr>
              <w:pStyle w:val="ListParagraph"/>
              <w:keepLines/>
              <w:numPr>
                <w:ilvl w:val="1"/>
                <w:numId w:val="75"/>
              </w:numPr>
              <w:spacing w:before="120" w:after="120" w:line="240" w:lineRule="auto"/>
              <w:ind w:left="567" w:hanging="567"/>
              <w:rPr>
                <w:rFonts w:ascii="Arial" w:hAnsi="Arial" w:cs="Arial"/>
                <w:sz w:val="20"/>
                <w:szCs w:val="20"/>
                <w:lang w:val="fr-FR"/>
              </w:rPr>
            </w:pPr>
            <w:r>
              <w:rPr>
                <w:rFonts w:ascii="Arial" w:hAnsi="Arial" w:cs="Arial"/>
                <w:sz w:val="20"/>
                <w:szCs w:val="20"/>
                <w:lang w:val="es"/>
              </w:rPr>
              <w:t>Instituciones, centros y otros órganos gubernamentales proporcionan formación en materia de salvaguardia y gestión del PCI sobre una base inclusiva.</w:t>
            </w:r>
          </w:p>
        </w:tc>
        <w:tc>
          <w:tcPr>
            <w:tcW w:w="796" w:type="pct"/>
            <w:shd w:val="clear" w:color="auto" w:fill="auto"/>
            <w:vAlign w:val="center"/>
          </w:tcPr>
          <w:p w14:paraId="0CE93CA3" w14:textId="77777777" w:rsidR="00DD1FAF" w:rsidRPr="00CE3788" w:rsidRDefault="009C45A8" w:rsidP="00741CDB">
            <w:pPr>
              <w:keepLines/>
              <w:spacing w:before="120"/>
              <w:jc w:val="both"/>
              <w:rPr>
                <w:rFonts w:ascii="Arial" w:hAnsi="Arial"/>
                <w:sz w:val="20"/>
              </w:rPr>
            </w:pPr>
            <w:r>
              <w:rPr>
                <w:rFonts w:ascii="Arial" w:hAnsi="Arial" w:cs="Arial"/>
                <w:sz w:val="20"/>
                <w:szCs w:val="20"/>
                <w:lang w:val="es"/>
              </w:rPr>
              <w:t>Artículo 14 a) iii)</w:t>
            </w:r>
          </w:p>
        </w:tc>
      </w:tr>
      <w:tr w:rsidR="00DD1FAF" w:rsidRPr="00F866CD" w14:paraId="059AAAB8" w14:textId="77777777" w:rsidTr="00741CDB">
        <w:trPr>
          <w:cantSplit/>
        </w:trPr>
        <w:tc>
          <w:tcPr>
            <w:tcW w:w="786" w:type="pct"/>
            <w:vMerge/>
            <w:shd w:val="clear" w:color="auto" w:fill="auto"/>
          </w:tcPr>
          <w:p w14:paraId="14B01E61"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438A24AA" w14:textId="77777777" w:rsidR="00DD1FAF" w:rsidRPr="005F3628" w:rsidRDefault="00DD1FAF" w:rsidP="00A55B02">
            <w:pPr>
              <w:pStyle w:val="ListParagraph"/>
              <w:keepLines/>
              <w:numPr>
                <w:ilvl w:val="1"/>
                <w:numId w:val="75"/>
              </w:numPr>
              <w:spacing w:before="120" w:after="120" w:line="240" w:lineRule="auto"/>
              <w:ind w:left="567" w:hanging="567"/>
              <w:rPr>
                <w:rFonts w:ascii="Arial" w:hAnsi="Arial" w:cs="Arial"/>
                <w:sz w:val="20"/>
                <w:szCs w:val="20"/>
                <w:lang w:val="fr-FR"/>
              </w:rPr>
            </w:pPr>
            <w:r>
              <w:rPr>
                <w:rFonts w:ascii="Arial" w:hAnsi="Arial" w:cs="Arial"/>
                <w:sz w:val="20"/>
                <w:szCs w:val="20"/>
                <w:lang w:val="es"/>
              </w:rPr>
              <w:t>Iniciativas comunitarias o de las ONG proporcionan formación en materia de salvaguardia y gestión del PCI sobre una base inclusiva.</w:t>
            </w:r>
          </w:p>
        </w:tc>
        <w:tc>
          <w:tcPr>
            <w:tcW w:w="796" w:type="pct"/>
            <w:shd w:val="clear" w:color="auto" w:fill="auto"/>
            <w:vAlign w:val="center"/>
          </w:tcPr>
          <w:p w14:paraId="25AD54CB" w14:textId="77777777" w:rsidR="00DD1FAF" w:rsidRPr="00CE3788" w:rsidRDefault="009C45A8" w:rsidP="00DD1FAF">
            <w:pPr>
              <w:keepLines/>
              <w:spacing w:before="120"/>
              <w:rPr>
                <w:rFonts w:ascii="Arial" w:hAnsi="Arial" w:cs="Arial"/>
                <w:sz w:val="20"/>
                <w:szCs w:val="20"/>
              </w:rPr>
            </w:pPr>
            <w:r>
              <w:rPr>
                <w:rFonts w:ascii="Arial" w:hAnsi="Arial" w:cs="Arial"/>
                <w:sz w:val="20"/>
                <w:szCs w:val="20"/>
                <w:lang w:val="es"/>
              </w:rPr>
              <w:t>Artículo 14 a) iii)</w:t>
            </w:r>
          </w:p>
        </w:tc>
      </w:tr>
      <w:tr w:rsidR="005473CF" w:rsidRPr="005F3628" w14:paraId="5DB3A022" w14:textId="77777777" w:rsidTr="00741CDB">
        <w:trPr>
          <w:cantSplit/>
        </w:trPr>
        <w:tc>
          <w:tcPr>
            <w:tcW w:w="786" w:type="pct"/>
            <w:shd w:val="clear" w:color="auto" w:fill="auto"/>
          </w:tcPr>
          <w:p w14:paraId="19940673" w14:textId="77777777" w:rsidR="005473CF" w:rsidRPr="005F3628"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5EC826B1" w14:textId="761B412C" w:rsidR="00741CDB" w:rsidRPr="005F3628" w:rsidRDefault="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Este indicador responde en su conjunto a la meta 11.4 de los ODS, destinada a «redoblar los esfuerzos para proteger y salvaguardar el patrimonio cultural y natural del mundo». Si un Estado Parte en desarrollo se beneficia del apoyo internacional para sus esfuerzos de creación de capacidades, este indicador también responde a la meta 17.9 de los ODS, que se centra en «aumentar el apoyo internacional para realizar actividades de creación de capacidad eficaces y específicas en los países en desarrollo» con el fin de fortalecer la aplicación nacional de los ODS. Asimismo, complementa la meta 4.7 de los ODS, que se refiere a «asegurar que todos los alumnos adquieran los conocimientos teóricos y prácticos necesarios para promover el desarrollo sostenible</w:t>
            </w:r>
            <w:proofErr w:type="gramStart"/>
            <w:r>
              <w:rPr>
                <w:rFonts w:ascii="Arial" w:hAnsi="Arial" w:cs="Arial"/>
                <w:szCs w:val="22"/>
                <w:lang w:val="es"/>
              </w:rPr>
              <w:t>...[</w:t>
            </w:r>
            <w:proofErr w:type="gramEnd"/>
            <w:r>
              <w:rPr>
                <w:rFonts w:ascii="Arial" w:hAnsi="Arial" w:cs="Arial"/>
                <w:szCs w:val="22"/>
                <w:lang w:val="es"/>
              </w:rPr>
              <w:t>en particular] la valoración de la contribución de la cultura al desarrollo sostenible».</w:t>
            </w:r>
          </w:p>
          <w:p w14:paraId="3F8147FE" w14:textId="77777777" w:rsidR="005473CF" w:rsidRPr="005F3628" w:rsidRDefault="005473CF" w:rsidP="00741CDB">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Este indicador se refiere a la formación especializada en materia de salvaguardia y gestión del PCI a nivel superior, así como a las oportunidades de formación a corto plazo que podrían no dar lugar a la obtención de una titulación, centrándose en la disponibilidad de una amplia gama de esas oportunidades. El indicador 3 se refiere a los destinatarios de esos programas de formación y a su eficacia. Los indicadores 4, 5 y 6 se refieren a programas educativos en los niveles primario, secundario y superior que no suelen centrarse en la salvaguardia y la gestión del PCI, sino que más bien están destinados a su práctica y transmisión, así como al fomento de un mayor respeto por este. </w:t>
            </w:r>
          </w:p>
        </w:tc>
      </w:tr>
      <w:tr w:rsidR="00896177" w:rsidRPr="005F3628" w14:paraId="179DB465" w14:textId="77777777" w:rsidTr="00741CDB">
        <w:trPr>
          <w:cantSplit/>
        </w:trPr>
        <w:tc>
          <w:tcPr>
            <w:tcW w:w="786" w:type="pct"/>
            <w:shd w:val="clear" w:color="auto" w:fill="auto"/>
          </w:tcPr>
          <w:p w14:paraId="4F130F6B"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29435842" w14:textId="5F1B92D6" w:rsidR="00704766" w:rsidRPr="005F3628" w:rsidRDefault="00C8192A" w:rsidP="002E2E75">
            <w:pPr>
              <w:keepLines/>
              <w:spacing w:before="120"/>
              <w:jc w:val="both"/>
              <w:rPr>
                <w:rFonts w:asciiTheme="minorBidi" w:hAnsiTheme="minorBidi" w:cstheme="minorBidi"/>
                <w:szCs w:val="22"/>
                <w:lang w:val="fr-FR"/>
              </w:rPr>
            </w:pPr>
            <w:r>
              <w:rPr>
                <w:rFonts w:asciiTheme="minorBidi" w:hAnsiTheme="minorBidi"/>
                <w:szCs w:val="22"/>
                <w:lang w:val="es"/>
              </w:rPr>
              <w:t xml:space="preserve">El fortalecimiento de capacidades para la salvaguardia del PCI es una necesidad permanente de todos los Estados, tanto si cuentan con una dilatada experiencia en la materia como si se han iniciado esta labor más recientemente. La necesidad de fortalecer las capacidades humanas puede abordarse a través de la formación académica ofrecida por facultades y universidades, pero también a través de la formación a corto plazo ofrecida por diferentes instituciones y organismos </w:t>
            </w:r>
            <w:r>
              <w:rPr>
                <w:rFonts w:ascii="Arial" w:hAnsi="Arial"/>
                <w:szCs w:val="22"/>
                <w:lang w:val="es"/>
              </w:rPr>
              <w:t>gubernamentales</w:t>
            </w:r>
            <w:r>
              <w:rPr>
                <w:rFonts w:asciiTheme="minorBidi" w:hAnsiTheme="minorBidi"/>
                <w:szCs w:val="22"/>
                <w:lang w:val="es"/>
              </w:rPr>
              <w:t>, entre los que figuran las organizaciones no gubernamentales o comunitarias. Para todos los tipos de formación y creación de capacidades, la inclusión es esencial, dada la importancia de lograr la participación más amplia posible de las comunidades, los grupos y los individuos en la salvaguardia y gestión del PCI (Artículo 15).</w:t>
            </w:r>
          </w:p>
        </w:tc>
      </w:tr>
      <w:tr w:rsidR="00704766" w:rsidRPr="00F866CD" w14:paraId="20770F56" w14:textId="77777777" w:rsidTr="00741CDB">
        <w:trPr>
          <w:cantSplit/>
        </w:trPr>
        <w:tc>
          <w:tcPr>
            <w:tcW w:w="786" w:type="pct"/>
            <w:shd w:val="clear" w:color="auto" w:fill="auto"/>
          </w:tcPr>
          <w:p w14:paraId="18ECD952"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Palabras clave</w:t>
            </w:r>
          </w:p>
        </w:tc>
        <w:tc>
          <w:tcPr>
            <w:tcW w:w="4214" w:type="pct"/>
            <w:gridSpan w:val="2"/>
            <w:shd w:val="clear" w:color="auto" w:fill="auto"/>
          </w:tcPr>
          <w:p w14:paraId="5159CC45" w14:textId="77777777" w:rsidR="00704766" w:rsidRDefault="00DD1FAF"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Inclusivo/de manera inclusiva</w:t>
            </w:r>
          </w:p>
          <w:p w14:paraId="7CFE56B8" w14:textId="77777777" w:rsidR="001869E2" w:rsidRDefault="001869E2"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Formación</w:t>
            </w:r>
          </w:p>
          <w:p w14:paraId="4451C103" w14:textId="4711F818" w:rsidR="002E2E75" w:rsidRPr="00BA09C8" w:rsidRDefault="002E2E75" w:rsidP="00BA09C8">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Organizaciones no gubernamentales/comunitarias</w:t>
            </w:r>
          </w:p>
          <w:p w14:paraId="0F6666C9" w14:textId="0DD0B3CD" w:rsidR="00DD1FAF" w:rsidRDefault="002E2E75"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 xml:space="preserve">Fortalecimiento de capacidades </w:t>
            </w:r>
          </w:p>
          <w:p w14:paraId="6681E690" w14:textId="77777777" w:rsidR="00882964" w:rsidRPr="00F866CD" w:rsidRDefault="00882964"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 xml:space="preserve">Enseñanza superior </w:t>
            </w:r>
          </w:p>
        </w:tc>
      </w:tr>
    </w:tbl>
    <w:p w14:paraId="129414BC"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55EC3681" w14:textId="77777777" w:rsidR="0054175C" w:rsidRPr="005F3628"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116"/>
      </w:tblGrid>
      <w:tr w:rsidR="009C0510" w:rsidRPr="005F3628" w14:paraId="7C74F128" w14:textId="77777777" w:rsidTr="005F3628">
        <w:tc>
          <w:tcPr>
            <w:tcW w:w="785" w:type="pct"/>
            <w:shd w:val="clear" w:color="auto" w:fill="auto"/>
          </w:tcPr>
          <w:p w14:paraId="61F3D445"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15" w:type="pct"/>
            <w:shd w:val="clear" w:color="auto" w:fill="auto"/>
          </w:tcPr>
          <w:p w14:paraId="62233A00" w14:textId="74D7D71E" w:rsidR="002C28BA" w:rsidRPr="005F3628" w:rsidRDefault="002B5410" w:rsidP="006525D7">
            <w:pPr>
              <w:keepLines/>
              <w:spacing w:before="120"/>
              <w:jc w:val="both"/>
              <w:rPr>
                <w:rFonts w:ascii="Arial" w:hAnsi="Arial" w:cs="Arial"/>
                <w:bCs/>
                <w:szCs w:val="22"/>
                <w:lang w:val="fr-FR"/>
              </w:rPr>
            </w:pPr>
            <w:r>
              <w:rPr>
                <w:rFonts w:ascii="Arial" w:hAnsi="Arial" w:cs="Arial"/>
                <w:szCs w:val="22"/>
                <w:lang w:val="es"/>
              </w:rPr>
              <w:t>Evaluar los programas e instituciones de formación puede ayudar a un Estado a comprender la escala y el alcance de las necesidades de fortalecimiento de capacidades en relación con la gestión del PCI. Además, puede ayudarle a determinar qué necesidades se están satisfaciendo en la actualidad, e identificar las deficiencias que deben abordarse a medio o largo plazo, lo que permite que el Estado garantice que su propio personal tenga acceso a las oportunidades y los recursos de formación adecuados. A nivel mundial, el seguimiento y la presentación de informes pueden poner de relieve oportunidades de cooperación internacional - por ejemplo, oportunidades de formación en el extranjero que el personal puede aprovechar - y detectar las carencias en materia de formación que la UNESCO, junto con sus socios e instituciones afiliadas, podría abordar mediante el programa mundial de fortalecimiento de capacidades.</w:t>
            </w:r>
          </w:p>
        </w:tc>
      </w:tr>
      <w:tr w:rsidR="0054175C" w:rsidRPr="005F3628" w14:paraId="59E7CFDE" w14:textId="77777777" w:rsidTr="005F3628">
        <w:tc>
          <w:tcPr>
            <w:tcW w:w="785" w:type="pct"/>
            <w:shd w:val="clear" w:color="auto" w:fill="auto"/>
          </w:tcPr>
          <w:p w14:paraId="2D547F99" w14:textId="77777777" w:rsidR="0054175C" w:rsidRPr="005F3628"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15" w:type="pct"/>
            <w:shd w:val="clear" w:color="auto" w:fill="auto"/>
          </w:tcPr>
          <w:p w14:paraId="1DAFD1FF" w14:textId="1D40BFAF" w:rsidR="0054175C" w:rsidRPr="005F3628" w:rsidRDefault="00C05023" w:rsidP="0054175C">
            <w:pPr>
              <w:spacing w:before="120"/>
              <w:jc w:val="both"/>
              <w:rPr>
                <w:rFonts w:ascii="Arial" w:hAnsi="Arial" w:cs="Arial"/>
                <w:szCs w:val="22"/>
                <w:lang w:val="es"/>
              </w:rPr>
            </w:pPr>
            <w:r>
              <w:rPr>
                <w:rFonts w:ascii="Arial" w:hAnsi="Arial" w:cs="Arial"/>
                <w:szCs w:val="22"/>
                <w:lang w:val="es"/>
              </w:rPr>
              <w:t>Un Ministerio de Educación o de Educación Superior podría ser responsable de autorizar las titulaciones o certificados en campos específicos como el PCI y, de ser así, mantendría información actualizada sobre los lugares en los que se imparten dichos programas (factor de evaluación 2.1). Si el Estado cuenta con un órgano consultivo o un mecanismo de cooperación (ver indicador 1), podría recopilar y difundir información sobre oportunidades de formación, ya las ofrezcan instituciones gubernamentales (factor de evaluación 2.2) u organizaciones no gubernamentales y las propias comunidades (factor de evaluación 2.3).</w:t>
            </w:r>
          </w:p>
          <w:p w14:paraId="7D17ED10"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19EE7F51" w14:textId="7DDAE912" w:rsidR="005E1482" w:rsidRDefault="005E1482" w:rsidP="00BE5B3F">
            <w:pPr>
              <w:pStyle w:val="ListParagraph"/>
              <w:numPr>
                <w:ilvl w:val="0"/>
                <w:numId w:val="73"/>
              </w:numPr>
              <w:spacing w:before="120"/>
              <w:jc w:val="both"/>
              <w:rPr>
                <w:rFonts w:ascii="Arial" w:hAnsi="Arial" w:cs="Arial"/>
              </w:rPr>
            </w:pPr>
            <w:r>
              <w:rPr>
                <w:rFonts w:ascii="Arial" w:hAnsi="Arial" w:cs="Arial"/>
                <w:lang w:val="es"/>
              </w:rPr>
              <w:t>Registros y notificaciones de un Ministerio de Educación o de Educación Superior</w:t>
            </w:r>
          </w:p>
          <w:p w14:paraId="6D970DAE" w14:textId="77777777" w:rsidR="0054175C" w:rsidRPr="005F3628" w:rsidRDefault="005E1482" w:rsidP="00BE5B3F">
            <w:pPr>
              <w:pStyle w:val="ListParagraph"/>
              <w:numPr>
                <w:ilvl w:val="0"/>
                <w:numId w:val="73"/>
              </w:numPr>
              <w:spacing w:before="120"/>
              <w:jc w:val="both"/>
              <w:rPr>
                <w:rFonts w:ascii="Arial" w:hAnsi="Arial" w:cs="Arial"/>
                <w:lang w:val="fr-FR"/>
              </w:rPr>
            </w:pPr>
            <w:r>
              <w:rPr>
                <w:rFonts w:ascii="Arial" w:hAnsi="Arial" w:cs="Arial"/>
                <w:lang w:val="es"/>
              </w:rPr>
              <w:t>Programas y sitios web de facultades y universidades</w:t>
            </w:r>
          </w:p>
          <w:p w14:paraId="56F4C272" w14:textId="77777777" w:rsidR="00154138" w:rsidRPr="005F3628" w:rsidRDefault="00154138" w:rsidP="00BE5B3F">
            <w:pPr>
              <w:pStyle w:val="ListParagraph"/>
              <w:numPr>
                <w:ilvl w:val="0"/>
                <w:numId w:val="73"/>
              </w:numPr>
              <w:spacing w:before="120"/>
              <w:jc w:val="both"/>
              <w:rPr>
                <w:rFonts w:ascii="Arial" w:hAnsi="Arial" w:cs="Arial"/>
                <w:lang w:val="fr-FR"/>
              </w:rPr>
            </w:pPr>
            <w:r>
              <w:rPr>
                <w:rFonts w:ascii="Arial" w:hAnsi="Arial" w:cs="Arial"/>
                <w:lang w:val="es"/>
              </w:rPr>
              <w:t>Estrategia de fortalecimiento de capacidades del Ministerio de Cultura u otros organismos responsables del PCI</w:t>
            </w:r>
          </w:p>
          <w:p w14:paraId="06D48189" w14:textId="77777777" w:rsidR="007510FC" w:rsidRDefault="007510FC" w:rsidP="00BE5B3F">
            <w:pPr>
              <w:pStyle w:val="ListParagraph"/>
              <w:numPr>
                <w:ilvl w:val="0"/>
                <w:numId w:val="73"/>
              </w:numPr>
              <w:spacing w:before="120"/>
              <w:jc w:val="both"/>
              <w:rPr>
                <w:rFonts w:ascii="Arial" w:hAnsi="Arial" w:cs="Arial"/>
              </w:rPr>
            </w:pPr>
            <w:r>
              <w:rPr>
                <w:rFonts w:ascii="Arial" w:hAnsi="Arial" w:cs="Arial"/>
                <w:lang w:val="es"/>
              </w:rPr>
              <w:t>Organizaciones y organismos dedicados a la formación</w:t>
            </w:r>
          </w:p>
          <w:p w14:paraId="217A0A63" w14:textId="58064B7A" w:rsidR="00627107" w:rsidRDefault="00627107" w:rsidP="00BE5B3F">
            <w:pPr>
              <w:pStyle w:val="ListParagraph"/>
              <w:numPr>
                <w:ilvl w:val="0"/>
                <w:numId w:val="73"/>
              </w:numPr>
              <w:spacing w:before="120"/>
              <w:jc w:val="both"/>
              <w:rPr>
                <w:rFonts w:ascii="Arial" w:hAnsi="Arial" w:cs="Arial"/>
              </w:rPr>
            </w:pPr>
            <w:r>
              <w:rPr>
                <w:rFonts w:ascii="Arial" w:hAnsi="Arial" w:cs="Arial"/>
                <w:lang w:val="es"/>
              </w:rPr>
              <w:t>Sitios web de organismos no gubernamentales involucrados en la salvaguardia del PCI</w:t>
            </w:r>
          </w:p>
          <w:p w14:paraId="61ED327B" w14:textId="77777777" w:rsidR="005E1482" w:rsidRPr="005F3628" w:rsidRDefault="00154138" w:rsidP="00BE5B3F">
            <w:pPr>
              <w:pStyle w:val="ListParagraph"/>
              <w:numPr>
                <w:ilvl w:val="0"/>
                <w:numId w:val="73"/>
              </w:numPr>
              <w:spacing w:before="120"/>
              <w:jc w:val="both"/>
              <w:rPr>
                <w:rFonts w:ascii="Arial" w:hAnsi="Arial" w:cs="Arial"/>
                <w:lang w:val="fr-FR"/>
              </w:rPr>
            </w:pPr>
            <w:r>
              <w:rPr>
                <w:rFonts w:ascii="Arial" w:hAnsi="Arial" w:cs="Arial"/>
                <w:lang w:val="es"/>
              </w:rPr>
              <w:t>Anuncios y avisos de selección para talleres y otras oportunidades puntuales</w:t>
            </w:r>
          </w:p>
          <w:p w14:paraId="63B69390" w14:textId="77777777" w:rsidR="00154138" w:rsidRPr="005F3628" w:rsidRDefault="00154138" w:rsidP="00BE5B3F">
            <w:pPr>
              <w:pStyle w:val="ListParagraph"/>
              <w:numPr>
                <w:ilvl w:val="0"/>
                <w:numId w:val="73"/>
              </w:numPr>
              <w:spacing w:before="120"/>
              <w:jc w:val="both"/>
              <w:rPr>
                <w:rFonts w:ascii="Arial" w:hAnsi="Arial" w:cs="Arial"/>
                <w:lang w:val="fr-FR"/>
              </w:rPr>
            </w:pPr>
            <w:r>
              <w:rPr>
                <w:rFonts w:ascii="Arial" w:hAnsi="Arial" w:cs="Arial"/>
                <w:lang w:val="es"/>
              </w:rPr>
              <w:t>Cobertura mediática de dichos talleres y actividades de formación</w:t>
            </w:r>
          </w:p>
          <w:p w14:paraId="6E47F751" w14:textId="77777777" w:rsidR="00F772F9" w:rsidRPr="005F3628" w:rsidRDefault="00F772F9" w:rsidP="00BE5B3F">
            <w:pPr>
              <w:pStyle w:val="ListParagraph"/>
              <w:numPr>
                <w:ilvl w:val="0"/>
                <w:numId w:val="73"/>
              </w:numPr>
              <w:spacing w:before="120"/>
              <w:jc w:val="both"/>
              <w:rPr>
                <w:rFonts w:ascii="Arial" w:hAnsi="Arial" w:cs="Arial"/>
                <w:lang w:val="fr-FR"/>
              </w:rPr>
            </w:pPr>
            <w:r>
              <w:rPr>
                <w:rFonts w:ascii="Arial" w:hAnsi="Arial" w:cs="Arial"/>
                <w:lang w:val="es"/>
              </w:rPr>
              <w:t>Sitio web de la UNESCO sobre proyectos de fortalecimiento de capacidades</w:t>
            </w:r>
          </w:p>
        </w:tc>
      </w:tr>
    </w:tbl>
    <w:p w14:paraId="7AA6BBED"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DFDC" w14:textId="77777777" w:rsidR="004D7F00" w:rsidRDefault="004D7F00" w:rsidP="002938F2">
      <w:r>
        <w:separator/>
      </w:r>
    </w:p>
    <w:p w14:paraId="78D9E1DF" w14:textId="77777777" w:rsidR="004D7F00" w:rsidRDefault="004D7F00"/>
  </w:endnote>
  <w:endnote w:type="continuationSeparator" w:id="0">
    <w:p w14:paraId="798FF3EB" w14:textId="77777777" w:rsidR="004D7F00" w:rsidRDefault="004D7F00" w:rsidP="002938F2">
      <w:r>
        <w:continuationSeparator/>
      </w:r>
    </w:p>
    <w:p w14:paraId="228D6EC4" w14:textId="77777777" w:rsidR="004D7F00" w:rsidRDefault="004D7F00"/>
  </w:endnote>
  <w:endnote w:type="continuationNotice" w:id="1">
    <w:p w14:paraId="58032E5C" w14:textId="77777777" w:rsidR="004D7F00" w:rsidRDefault="004D7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F107" w14:textId="36F052EF" w:rsidR="00C04344" w:rsidRPr="000A0709" w:rsidRDefault="00871168"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06E6" w14:textId="77777777" w:rsidR="004D7F00" w:rsidRDefault="004D7F00" w:rsidP="002938F2">
      <w:r>
        <w:separator/>
      </w:r>
    </w:p>
  </w:footnote>
  <w:footnote w:type="continuationSeparator" w:id="0">
    <w:p w14:paraId="1DDD06E3" w14:textId="77777777" w:rsidR="004D7F00" w:rsidRDefault="004D7F00" w:rsidP="002938F2">
      <w:r>
        <w:continuationSeparator/>
      </w:r>
    </w:p>
    <w:p w14:paraId="435DF60D" w14:textId="77777777" w:rsidR="004D7F00" w:rsidRDefault="004D7F00"/>
  </w:footnote>
  <w:footnote w:type="continuationNotice" w:id="1">
    <w:p w14:paraId="6E42F296" w14:textId="77777777" w:rsidR="004D7F00" w:rsidRDefault="004D7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69DA" w14:textId="77777777" w:rsidR="00741CDB" w:rsidRDefault="0074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354A32"/>
    <w:multiLevelType w:val="multilevel"/>
    <w:tmpl w:val="5E98540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C79C0"/>
    <w:multiLevelType w:val="multilevel"/>
    <w:tmpl w:val="1F16EE2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7"/>
  </w:num>
  <w:num w:numId="3">
    <w:abstractNumId w:val="12"/>
  </w:num>
  <w:num w:numId="4">
    <w:abstractNumId w:val="55"/>
  </w:num>
  <w:num w:numId="5">
    <w:abstractNumId w:val="46"/>
  </w:num>
  <w:num w:numId="6">
    <w:abstractNumId w:val="5"/>
  </w:num>
  <w:num w:numId="7">
    <w:abstractNumId w:val="16"/>
  </w:num>
  <w:num w:numId="8">
    <w:abstractNumId w:val="26"/>
  </w:num>
  <w:num w:numId="9">
    <w:abstractNumId w:val="49"/>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39"/>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3"/>
  </w:num>
  <w:num w:numId="27">
    <w:abstractNumId w:val="26"/>
  </w:num>
  <w:num w:numId="28">
    <w:abstractNumId w:val="26"/>
  </w:num>
  <w:num w:numId="29">
    <w:abstractNumId w:val="26"/>
  </w:num>
  <w:num w:numId="30">
    <w:abstractNumId w:val="26"/>
  </w:num>
  <w:num w:numId="31">
    <w:abstractNumId w:val="11"/>
  </w:num>
  <w:num w:numId="32">
    <w:abstractNumId w:val="9"/>
  </w:num>
  <w:num w:numId="33">
    <w:abstractNumId w:val="17"/>
  </w:num>
  <w:num w:numId="34">
    <w:abstractNumId w:val="47"/>
  </w:num>
  <w:num w:numId="35">
    <w:abstractNumId w:val="22"/>
  </w:num>
  <w:num w:numId="36">
    <w:abstractNumId w:val="41"/>
  </w:num>
  <w:num w:numId="37">
    <w:abstractNumId w:val="19"/>
  </w:num>
  <w:num w:numId="38">
    <w:abstractNumId w:val="10"/>
  </w:num>
  <w:num w:numId="39">
    <w:abstractNumId w:val="7"/>
  </w:num>
  <w:num w:numId="40">
    <w:abstractNumId w:val="21"/>
  </w:num>
  <w:num w:numId="41">
    <w:abstractNumId w:val="54"/>
  </w:num>
  <w:num w:numId="42">
    <w:abstractNumId w:val="51"/>
  </w:num>
  <w:num w:numId="43">
    <w:abstractNumId w:val="30"/>
  </w:num>
  <w:num w:numId="44">
    <w:abstractNumId w:val="13"/>
  </w:num>
  <w:num w:numId="45">
    <w:abstractNumId w:val="52"/>
  </w:num>
  <w:num w:numId="46">
    <w:abstractNumId w:val="6"/>
  </w:num>
  <w:num w:numId="47">
    <w:abstractNumId w:val="36"/>
  </w:num>
  <w:num w:numId="48">
    <w:abstractNumId w:val="56"/>
  </w:num>
  <w:num w:numId="49">
    <w:abstractNumId w:val="33"/>
  </w:num>
  <w:num w:numId="50">
    <w:abstractNumId w:val="31"/>
  </w:num>
  <w:num w:numId="51">
    <w:abstractNumId w:val="28"/>
  </w:num>
  <w:num w:numId="52">
    <w:abstractNumId w:val="38"/>
  </w:num>
  <w:num w:numId="53">
    <w:abstractNumId w:val="15"/>
  </w:num>
  <w:num w:numId="54">
    <w:abstractNumId w:val="2"/>
  </w:num>
  <w:num w:numId="55">
    <w:abstractNumId w:val="35"/>
  </w:num>
  <w:num w:numId="56">
    <w:abstractNumId w:val="40"/>
  </w:num>
  <w:num w:numId="57">
    <w:abstractNumId w:val="0"/>
  </w:num>
  <w:num w:numId="58">
    <w:abstractNumId w:val="4"/>
  </w:num>
  <w:num w:numId="59">
    <w:abstractNumId w:val="44"/>
  </w:num>
  <w:num w:numId="60">
    <w:abstractNumId w:val="3"/>
  </w:num>
  <w:num w:numId="61">
    <w:abstractNumId w:val="32"/>
  </w:num>
  <w:num w:numId="62">
    <w:abstractNumId w:val="23"/>
  </w:num>
  <w:num w:numId="63">
    <w:abstractNumId w:val="48"/>
  </w:num>
  <w:num w:numId="64">
    <w:abstractNumId w:val="20"/>
  </w:num>
  <w:num w:numId="65">
    <w:abstractNumId w:val="25"/>
  </w:num>
  <w:num w:numId="66">
    <w:abstractNumId w:val="45"/>
  </w:num>
  <w:num w:numId="67">
    <w:abstractNumId w:val="37"/>
  </w:num>
  <w:num w:numId="68">
    <w:abstractNumId w:val="14"/>
  </w:num>
  <w:num w:numId="69">
    <w:abstractNumId w:val="42"/>
  </w:num>
  <w:num w:numId="70">
    <w:abstractNumId w:val="34"/>
  </w:num>
  <w:num w:numId="71">
    <w:abstractNumId w:val="29"/>
  </w:num>
  <w:num w:numId="72">
    <w:abstractNumId w:val="50"/>
  </w:num>
  <w:num w:numId="73">
    <w:abstractNumId w:val="8"/>
  </w:num>
  <w:num w:numId="74">
    <w:abstractNumId w:val="1"/>
  </w:num>
  <w:num w:numId="75">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AC"/>
    <w:rsid w:val="000016A4"/>
    <w:rsid w:val="000019DB"/>
    <w:rsid w:val="000047CC"/>
    <w:rsid w:val="00005BA5"/>
    <w:rsid w:val="00005BFA"/>
    <w:rsid w:val="00006F66"/>
    <w:rsid w:val="00007BE1"/>
    <w:rsid w:val="00010E2D"/>
    <w:rsid w:val="000120FD"/>
    <w:rsid w:val="00013A65"/>
    <w:rsid w:val="0001506E"/>
    <w:rsid w:val="00015B9D"/>
    <w:rsid w:val="0001601A"/>
    <w:rsid w:val="00021831"/>
    <w:rsid w:val="00022C19"/>
    <w:rsid w:val="00031A37"/>
    <w:rsid w:val="00036843"/>
    <w:rsid w:val="00047E58"/>
    <w:rsid w:val="00054FDC"/>
    <w:rsid w:val="000615DC"/>
    <w:rsid w:val="000632E2"/>
    <w:rsid w:val="0007203D"/>
    <w:rsid w:val="000729D2"/>
    <w:rsid w:val="00073D20"/>
    <w:rsid w:val="00074E7D"/>
    <w:rsid w:val="000755E1"/>
    <w:rsid w:val="0007681B"/>
    <w:rsid w:val="000769F1"/>
    <w:rsid w:val="00083694"/>
    <w:rsid w:val="00085541"/>
    <w:rsid w:val="00092AE6"/>
    <w:rsid w:val="00093063"/>
    <w:rsid w:val="000975E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4936"/>
    <w:rsid w:val="00106B72"/>
    <w:rsid w:val="00106D19"/>
    <w:rsid w:val="0011334A"/>
    <w:rsid w:val="00115830"/>
    <w:rsid w:val="00116489"/>
    <w:rsid w:val="0011750D"/>
    <w:rsid w:val="00121B41"/>
    <w:rsid w:val="001301DF"/>
    <w:rsid w:val="001412DE"/>
    <w:rsid w:val="00142D78"/>
    <w:rsid w:val="00144A4D"/>
    <w:rsid w:val="00151351"/>
    <w:rsid w:val="001530C5"/>
    <w:rsid w:val="00154138"/>
    <w:rsid w:val="00156788"/>
    <w:rsid w:val="001609A1"/>
    <w:rsid w:val="00162554"/>
    <w:rsid w:val="00163F68"/>
    <w:rsid w:val="00173B50"/>
    <w:rsid w:val="00173E0E"/>
    <w:rsid w:val="00174B39"/>
    <w:rsid w:val="00183F6C"/>
    <w:rsid w:val="001869E2"/>
    <w:rsid w:val="00194802"/>
    <w:rsid w:val="00194AEB"/>
    <w:rsid w:val="001A431C"/>
    <w:rsid w:val="001A5519"/>
    <w:rsid w:val="001A7C3A"/>
    <w:rsid w:val="001B5C26"/>
    <w:rsid w:val="001C08BC"/>
    <w:rsid w:val="001C56BA"/>
    <w:rsid w:val="001C6D7D"/>
    <w:rsid w:val="001C6F2B"/>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D5F"/>
    <w:rsid w:val="0029148C"/>
    <w:rsid w:val="002938F2"/>
    <w:rsid w:val="00293CCC"/>
    <w:rsid w:val="002A195D"/>
    <w:rsid w:val="002B43D6"/>
    <w:rsid w:val="002B5410"/>
    <w:rsid w:val="002B6B98"/>
    <w:rsid w:val="002C10CA"/>
    <w:rsid w:val="002C28BA"/>
    <w:rsid w:val="002C3B8F"/>
    <w:rsid w:val="002C444C"/>
    <w:rsid w:val="002C5021"/>
    <w:rsid w:val="002C5280"/>
    <w:rsid w:val="002C5C29"/>
    <w:rsid w:val="002D396D"/>
    <w:rsid w:val="002D71D4"/>
    <w:rsid w:val="002E113D"/>
    <w:rsid w:val="002E2E75"/>
    <w:rsid w:val="002F17E1"/>
    <w:rsid w:val="003043A9"/>
    <w:rsid w:val="0030454E"/>
    <w:rsid w:val="00320242"/>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3775"/>
    <w:rsid w:val="003B504D"/>
    <w:rsid w:val="003C0FE0"/>
    <w:rsid w:val="003C385E"/>
    <w:rsid w:val="003C7065"/>
    <w:rsid w:val="003D2E0D"/>
    <w:rsid w:val="003D33CE"/>
    <w:rsid w:val="003D5113"/>
    <w:rsid w:val="003D5BFC"/>
    <w:rsid w:val="003D6E10"/>
    <w:rsid w:val="003E0C0F"/>
    <w:rsid w:val="003E0E28"/>
    <w:rsid w:val="003E19D5"/>
    <w:rsid w:val="003E76A8"/>
    <w:rsid w:val="003F5B90"/>
    <w:rsid w:val="00404856"/>
    <w:rsid w:val="004057C7"/>
    <w:rsid w:val="00406ED7"/>
    <w:rsid w:val="004108B6"/>
    <w:rsid w:val="0041110F"/>
    <w:rsid w:val="0041300C"/>
    <w:rsid w:val="00414B68"/>
    <w:rsid w:val="00430ED2"/>
    <w:rsid w:val="00434773"/>
    <w:rsid w:val="004367F5"/>
    <w:rsid w:val="004458C9"/>
    <w:rsid w:val="00447C66"/>
    <w:rsid w:val="00462F38"/>
    <w:rsid w:val="004676C1"/>
    <w:rsid w:val="00471430"/>
    <w:rsid w:val="00471B34"/>
    <w:rsid w:val="00474AFE"/>
    <w:rsid w:val="00477E66"/>
    <w:rsid w:val="00480809"/>
    <w:rsid w:val="00486A5E"/>
    <w:rsid w:val="00493F92"/>
    <w:rsid w:val="00494997"/>
    <w:rsid w:val="004A0C2B"/>
    <w:rsid w:val="004A610E"/>
    <w:rsid w:val="004C20E2"/>
    <w:rsid w:val="004D7F00"/>
    <w:rsid w:val="004E056C"/>
    <w:rsid w:val="004E2817"/>
    <w:rsid w:val="004E2AE8"/>
    <w:rsid w:val="004E418A"/>
    <w:rsid w:val="004F7AFD"/>
    <w:rsid w:val="005016FB"/>
    <w:rsid w:val="00504256"/>
    <w:rsid w:val="00511D17"/>
    <w:rsid w:val="005157E2"/>
    <w:rsid w:val="0051699F"/>
    <w:rsid w:val="00516DE3"/>
    <w:rsid w:val="005300BF"/>
    <w:rsid w:val="00532631"/>
    <w:rsid w:val="005414A1"/>
    <w:rsid w:val="0054175C"/>
    <w:rsid w:val="005473CF"/>
    <w:rsid w:val="00567C0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1482"/>
    <w:rsid w:val="005E3A3E"/>
    <w:rsid w:val="005E6A2B"/>
    <w:rsid w:val="005E7C7C"/>
    <w:rsid w:val="005F3628"/>
    <w:rsid w:val="00601DD6"/>
    <w:rsid w:val="006032AE"/>
    <w:rsid w:val="00603F71"/>
    <w:rsid w:val="00605202"/>
    <w:rsid w:val="00621092"/>
    <w:rsid w:val="00621208"/>
    <w:rsid w:val="00627107"/>
    <w:rsid w:val="00632B30"/>
    <w:rsid w:val="006340A1"/>
    <w:rsid w:val="00635A19"/>
    <w:rsid w:val="00636760"/>
    <w:rsid w:val="00644B92"/>
    <w:rsid w:val="00645B77"/>
    <w:rsid w:val="0065099D"/>
    <w:rsid w:val="006515C9"/>
    <w:rsid w:val="00651944"/>
    <w:rsid w:val="006522F1"/>
    <w:rsid w:val="00652318"/>
    <w:rsid w:val="00652484"/>
    <w:rsid w:val="006525D7"/>
    <w:rsid w:val="00653314"/>
    <w:rsid w:val="00654BA0"/>
    <w:rsid w:val="00660F3B"/>
    <w:rsid w:val="0067005F"/>
    <w:rsid w:val="0067015A"/>
    <w:rsid w:val="006736EC"/>
    <w:rsid w:val="00673D90"/>
    <w:rsid w:val="00676C1E"/>
    <w:rsid w:val="00686D60"/>
    <w:rsid w:val="00691869"/>
    <w:rsid w:val="00694759"/>
    <w:rsid w:val="006A0D86"/>
    <w:rsid w:val="006A49AE"/>
    <w:rsid w:val="006A56C0"/>
    <w:rsid w:val="006C0911"/>
    <w:rsid w:val="006C3B03"/>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1CDB"/>
    <w:rsid w:val="00742DD1"/>
    <w:rsid w:val="0074360F"/>
    <w:rsid w:val="00746204"/>
    <w:rsid w:val="00747715"/>
    <w:rsid w:val="00747F86"/>
    <w:rsid w:val="00750138"/>
    <w:rsid w:val="007510FC"/>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53AC"/>
    <w:rsid w:val="007A6F91"/>
    <w:rsid w:val="007A7D45"/>
    <w:rsid w:val="007B4ADA"/>
    <w:rsid w:val="007C105C"/>
    <w:rsid w:val="007C1B00"/>
    <w:rsid w:val="007D0F1D"/>
    <w:rsid w:val="007D2881"/>
    <w:rsid w:val="007D31CE"/>
    <w:rsid w:val="007D3AD8"/>
    <w:rsid w:val="007D5BB7"/>
    <w:rsid w:val="007D6A69"/>
    <w:rsid w:val="007E0621"/>
    <w:rsid w:val="007E4E37"/>
    <w:rsid w:val="007F2F3A"/>
    <w:rsid w:val="007F4B07"/>
    <w:rsid w:val="008029A6"/>
    <w:rsid w:val="008140A1"/>
    <w:rsid w:val="008147BA"/>
    <w:rsid w:val="008269B0"/>
    <w:rsid w:val="0083067E"/>
    <w:rsid w:val="00832357"/>
    <w:rsid w:val="0083488D"/>
    <w:rsid w:val="008466C3"/>
    <w:rsid w:val="00846809"/>
    <w:rsid w:val="00851458"/>
    <w:rsid w:val="0085475F"/>
    <w:rsid w:val="00861A47"/>
    <w:rsid w:val="008707FF"/>
    <w:rsid w:val="00871168"/>
    <w:rsid w:val="008724E5"/>
    <w:rsid w:val="00877AC5"/>
    <w:rsid w:val="00877F27"/>
    <w:rsid w:val="0088173A"/>
    <w:rsid w:val="00881EB9"/>
    <w:rsid w:val="00882964"/>
    <w:rsid w:val="008848E9"/>
    <w:rsid w:val="00884C09"/>
    <w:rsid w:val="00885596"/>
    <w:rsid w:val="00885B33"/>
    <w:rsid w:val="00886B71"/>
    <w:rsid w:val="0089499E"/>
    <w:rsid w:val="00896177"/>
    <w:rsid w:val="008A0BE3"/>
    <w:rsid w:val="008A2566"/>
    <w:rsid w:val="008A625D"/>
    <w:rsid w:val="008A6663"/>
    <w:rsid w:val="008B6B4C"/>
    <w:rsid w:val="008B7346"/>
    <w:rsid w:val="008C20AD"/>
    <w:rsid w:val="008C70DB"/>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24D8"/>
    <w:rsid w:val="0097349C"/>
    <w:rsid w:val="009814C2"/>
    <w:rsid w:val="00982FFD"/>
    <w:rsid w:val="00985265"/>
    <w:rsid w:val="00985856"/>
    <w:rsid w:val="009A4969"/>
    <w:rsid w:val="009B1466"/>
    <w:rsid w:val="009B6973"/>
    <w:rsid w:val="009C0510"/>
    <w:rsid w:val="009C1A53"/>
    <w:rsid w:val="009C3663"/>
    <w:rsid w:val="009C45A8"/>
    <w:rsid w:val="009D098F"/>
    <w:rsid w:val="009D277E"/>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295A"/>
    <w:rsid w:val="00A535B7"/>
    <w:rsid w:val="00A55B02"/>
    <w:rsid w:val="00A5709F"/>
    <w:rsid w:val="00A616C4"/>
    <w:rsid w:val="00A61F20"/>
    <w:rsid w:val="00A64796"/>
    <w:rsid w:val="00A66CD4"/>
    <w:rsid w:val="00A70883"/>
    <w:rsid w:val="00A77AEB"/>
    <w:rsid w:val="00A81F0A"/>
    <w:rsid w:val="00A85C7A"/>
    <w:rsid w:val="00A86042"/>
    <w:rsid w:val="00AA36F9"/>
    <w:rsid w:val="00AA444A"/>
    <w:rsid w:val="00AB1528"/>
    <w:rsid w:val="00AB79BC"/>
    <w:rsid w:val="00AD6BD4"/>
    <w:rsid w:val="00AE1B18"/>
    <w:rsid w:val="00AE1D83"/>
    <w:rsid w:val="00AE2DFB"/>
    <w:rsid w:val="00AE3061"/>
    <w:rsid w:val="00AF15BA"/>
    <w:rsid w:val="00AF1C32"/>
    <w:rsid w:val="00AF65C6"/>
    <w:rsid w:val="00B11AE3"/>
    <w:rsid w:val="00B121A6"/>
    <w:rsid w:val="00B252FE"/>
    <w:rsid w:val="00B300B8"/>
    <w:rsid w:val="00B32A28"/>
    <w:rsid w:val="00B33904"/>
    <w:rsid w:val="00B3751E"/>
    <w:rsid w:val="00B427FE"/>
    <w:rsid w:val="00B51737"/>
    <w:rsid w:val="00B6102A"/>
    <w:rsid w:val="00B6167A"/>
    <w:rsid w:val="00B62ED0"/>
    <w:rsid w:val="00B64196"/>
    <w:rsid w:val="00B66A7A"/>
    <w:rsid w:val="00B70266"/>
    <w:rsid w:val="00B72A31"/>
    <w:rsid w:val="00B74304"/>
    <w:rsid w:val="00B82F05"/>
    <w:rsid w:val="00B87142"/>
    <w:rsid w:val="00B8750E"/>
    <w:rsid w:val="00B92374"/>
    <w:rsid w:val="00B924C8"/>
    <w:rsid w:val="00B95E33"/>
    <w:rsid w:val="00B973B5"/>
    <w:rsid w:val="00B97FD1"/>
    <w:rsid w:val="00BA09C8"/>
    <w:rsid w:val="00BB1062"/>
    <w:rsid w:val="00BB28EF"/>
    <w:rsid w:val="00BB5DEE"/>
    <w:rsid w:val="00BC002E"/>
    <w:rsid w:val="00BC393F"/>
    <w:rsid w:val="00BC75FC"/>
    <w:rsid w:val="00BD59BD"/>
    <w:rsid w:val="00BE5B3F"/>
    <w:rsid w:val="00BF351F"/>
    <w:rsid w:val="00BF3F50"/>
    <w:rsid w:val="00BF6F37"/>
    <w:rsid w:val="00C02924"/>
    <w:rsid w:val="00C04344"/>
    <w:rsid w:val="00C05023"/>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8192A"/>
    <w:rsid w:val="00C87194"/>
    <w:rsid w:val="00C90629"/>
    <w:rsid w:val="00C90C51"/>
    <w:rsid w:val="00CA3ED6"/>
    <w:rsid w:val="00CA7CF4"/>
    <w:rsid w:val="00CB0F37"/>
    <w:rsid w:val="00CB1135"/>
    <w:rsid w:val="00CB1231"/>
    <w:rsid w:val="00CB590B"/>
    <w:rsid w:val="00CC02C5"/>
    <w:rsid w:val="00CC2BC6"/>
    <w:rsid w:val="00CC3AAB"/>
    <w:rsid w:val="00CD324E"/>
    <w:rsid w:val="00CD4A28"/>
    <w:rsid w:val="00CD54BD"/>
    <w:rsid w:val="00CD6C36"/>
    <w:rsid w:val="00CE2586"/>
    <w:rsid w:val="00CE3788"/>
    <w:rsid w:val="00CF05D7"/>
    <w:rsid w:val="00CF34A6"/>
    <w:rsid w:val="00CF3F93"/>
    <w:rsid w:val="00D020F3"/>
    <w:rsid w:val="00D04515"/>
    <w:rsid w:val="00D065AD"/>
    <w:rsid w:val="00D22831"/>
    <w:rsid w:val="00D404B7"/>
    <w:rsid w:val="00D44509"/>
    <w:rsid w:val="00D448CB"/>
    <w:rsid w:val="00D47226"/>
    <w:rsid w:val="00D47ED5"/>
    <w:rsid w:val="00D61779"/>
    <w:rsid w:val="00D7356C"/>
    <w:rsid w:val="00D73DB6"/>
    <w:rsid w:val="00D809E5"/>
    <w:rsid w:val="00D81948"/>
    <w:rsid w:val="00D90819"/>
    <w:rsid w:val="00D93291"/>
    <w:rsid w:val="00D9501F"/>
    <w:rsid w:val="00DB50D5"/>
    <w:rsid w:val="00DC5537"/>
    <w:rsid w:val="00DD11EE"/>
    <w:rsid w:val="00DD1FAF"/>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4C6D"/>
    <w:rsid w:val="00EA59EB"/>
    <w:rsid w:val="00EA67F3"/>
    <w:rsid w:val="00EB48F8"/>
    <w:rsid w:val="00ED0C60"/>
    <w:rsid w:val="00ED3D26"/>
    <w:rsid w:val="00ED5218"/>
    <w:rsid w:val="00EE1D9D"/>
    <w:rsid w:val="00EF0BCB"/>
    <w:rsid w:val="00EF0E74"/>
    <w:rsid w:val="00EF2549"/>
    <w:rsid w:val="00F00E8A"/>
    <w:rsid w:val="00F16242"/>
    <w:rsid w:val="00F17FCB"/>
    <w:rsid w:val="00F20047"/>
    <w:rsid w:val="00F226CC"/>
    <w:rsid w:val="00F2691E"/>
    <w:rsid w:val="00F279DD"/>
    <w:rsid w:val="00F3242E"/>
    <w:rsid w:val="00F33650"/>
    <w:rsid w:val="00F348F9"/>
    <w:rsid w:val="00F35C6D"/>
    <w:rsid w:val="00F37E4B"/>
    <w:rsid w:val="00F4144E"/>
    <w:rsid w:val="00F41B00"/>
    <w:rsid w:val="00F473CB"/>
    <w:rsid w:val="00F50245"/>
    <w:rsid w:val="00F63DDA"/>
    <w:rsid w:val="00F67029"/>
    <w:rsid w:val="00F70858"/>
    <w:rsid w:val="00F71BBC"/>
    <w:rsid w:val="00F7397F"/>
    <w:rsid w:val="00F75949"/>
    <w:rsid w:val="00F75CF4"/>
    <w:rsid w:val="00F772F9"/>
    <w:rsid w:val="00F866CD"/>
    <w:rsid w:val="00F941F0"/>
    <w:rsid w:val="00F96802"/>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21071"/>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74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6D4A-9FD4-48A9-89DF-C5F2E2B8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20</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2019-07-19T19:55:00Z</dcterms:created>
  <dcterms:modified xsi:type="dcterms:W3CDTF">2019-12-06T17:14:00Z</dcterms:modified>
</cp:coreProperties>
</file>