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91B9"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777F2E" w14:paraId="55AC04EF" w14:textId="77777777" w:rsidTr="00741CDB">
        <w:trPr>
          <w:cantSplit/>
        </w:trPr>
        <w:tc>
          <w:tcPr>
            <w:tcW w:w="786" w:type="pct"/>
            <w:shd w:val="clear" w:color="auto" w:fill="auto"/>
          </w:tcPr>
          <w:p w14:paraId="0F8B3A21"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6B41C83F" w14:textId="77777777" w:rsidR="005473CF" w:rsidRPr="008511B1" w:rsidRDefault="00DD1FAF" w:rsidP="00DD1FAF">
            <w:pPr>
              <w:keepLines/>
              <w:spacing w:before="120"/>
              <w:ind w:left="567" w:hanging="567"/>
              <w:rPr>
                <w:rFonts w:ascii="Arial" w:hAnsi="Arial" w:cs="Arial"/>
                <w:b/>
                <w:szCs w:val="22"/>
                <w:lang w:val="fr-FR"/>
              </w:rPr>
            </w:pPr>
            <w:r>
              <w:rPr>
                <w:rFonts w:ascii="Arial" w:hAnsi="Arial" w:cs="Arial"/>
                <w:b/>
                <w:bCs/>
                <w:szCs w:val="22"/>
                <w:lang w:val="fr"/>
              </w:rPr>
              <w:t xml:space="preserve">2. </w:t>
            </w:r>
            <w:r>
              <w:rPr>
                <w:rFonts w:ascii="Arial" w:hAnsi="Arial" w:cs="Arial"/>
                <w:szCs w:val="22"/>
                <w:lang w:val="fr"/>
              </w:rPr>
              <w:tab/>
            </w:r>
            <w:r>
              <w:rPr>
                <w:rFonts w:ascii="Arial" w:hAnsi="Arial" w:cs="Arial"/>
                <w:b/>
                <w:bCs/>
                <w:szCs w:val="22"/>
                <w:lang w:val="fr"/>
              </w:rPr>
              <w:t>Mesure dans laquelle les programmes soutiennent le renforcement des capacités humaines pour promouvoir la sauvegarde et la gestion du PCI</w:t>
            </w:r>
          </w:p>
        </w:tc>
      </w:tr>
      <w:tr w:rsidR="005B0FE5" w:rsidRPr="00E72DF4" w14:paraId="1D753E4A" w14:textId="77777777" w:rsidTr="00741CDB">
        <w:trPr>
          <w:cantSplit/>
        </w:trPr>
        <w:tc>
          <w:tcPr>
            <w:tcW w:w="786" w:type="pct"/>
            <w:vMerge w:val="restart"/>
            <w:shd w:val="clear" w:color="auto" w:fill="auto"/>
          </w:tcPr>
          <w:p w14:paraId="43461BF7" w14:textId="363CE810"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270B83" w:rsidRPr="00E72DF4">
              <w:rPr>
                <w:rFonts w:ascii="Arial" w:hAnsi="Arial" w:cs="Arial"/>
                <w:b/>
                <w:bCs/>
                <w:szCs w:val="22"/>
                <w:lang w:val="fr"/>
              </w:rPr>
              <w:t>appréciation</w:t>
            </w:r>
          </w:p>
        </w:tc>
        <w:tc>
          <w:tcPr>
            <w:tcW w:w="4214" w:type="pct"/>
            <w:gridSpan w:val="2"/>
            <w:shd w:val="clear" w:color="auto" w:fill="auto"/>
          </w:tcPr>
          <w:p w14:paraId="73ABB615" w14:textId="77777777" w:rsidR="005B0FE5" w:rsidRPr="008511B1"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nationaux suivis et rapportés par chaque État partie :</w:t>
            </w:r>
          </w:p>
        </w:tc>
      </w:tr>
      <w:tr w:rsidR="00DD1FAF" w:rsidRPr="00F866CD" w14:paraId="09968D5D" w14:textId="77777777" w:rsidTr="00741CDB">
        <w:trPr>
          <w:cantSplit/>
        </w:trPr>
        <w:tc>
          <w:tcPr>
            <w:tcW w:w="786" w:type="pct"/>
            <w:vMerge/>
            <w:shd w:val="clear" w:color="auto" w:fill="auto"/>
          </w:tcPr>
          <w:p w14:paraId="35E35DB2" w14:textId="77777777" w:rsidR="00DD1FAF" w:rsidRPr="008511B1" w:rsidRDefault="00DD1FAF" w:rsidP="00DD1FAF">
            <w:pPr>
              <w:spacing w:before="120"/>
              <w:rPr>
                <w:rFonts w:ascii="Arial" w:hAnsi="Arial" w:cs="Arial"/>
                <w:b/>
                <w:szCs w:val="22"/>
                <w:lang w:val="fr-FR"/>
              </w:rPr>
            </w:pPr>
          </w:p>
        </w:tc>
        <w:tc>
          <w:tcPr>
            <w:tcW w:w="3418" w:type="pct"/>
            <w:shd w:val="clear" w:color="auto" w:fill="auto"/>
            <w:vAlign w:val="center"/>
          </w:tcPr>
          <w:p w14:paraId="6E8E5412" w14:textId="77777777" w:rsidR="00DD1FAF" w:rsidRPr="008511B1" w:rsidRDefault="00DD1FAF" w:rsidP="00A55B02">
            <w:pPr>
              <w:pStyle w:val="Paragraphedeliste"/>
              <w:keepLines/>
              <w:numPr>
                <w:ilvl w:val="1"/>
                <w:numId w:val="75"/>
              </w:numPr>
              <w:spacing w:before="120" w:after="120" w:line="240" w:lineRule="auto"/>
              <w:ind w:left="567" w:hanging="567"/>
              <w:rPr>
                <w:rFonts w:ascii="Arial" w:hAnsi="Arial" w:cs="Arial"/>
                <w:sz w:val="20"/>
                <w:szCs w:val="20"/>
                <w:lang w:val="fr-FR"/>
              </w:rPr>
            </w:pPr>
            <w:r>
              <w:rPr>
                <w:rFonts w:ascii="Arial" w:hAnsi="Arial" w:cs="Arial"/>
                <w:sz w:val="20"/>
                <w:szCs w:val="20"/>
                <w:lang w:val="fr"/>
              </w:rPr>
              <w:t>Les établissements d’enseignement supérieur proposent des programmes et des diplômes en sauvegarde et gestion du PCI, sur une base inclusive.</w:t>
            </w:r>
          </w:p>
        </w:tc>
        <w:tc>
          <w:tcPr>
            <w:tcW w:w="796" w:type="pct"/>
            <w:shd w:val="clear" w:color="auto" w:fill="auto"/>
            <w:vAlign w:val="center"/>
          </w:tcPr>
          <w:p w14:paraId="653C31A5" w14:textId="77777777" w:rsidR="00DD1FAF" w:rsidRPr="00DD1FAF" w:rsidRDefault="00DD1FAF" w:rsidP="00DD1FAF">
            <w:pPr>
              <w:keepLines/>
              <w:spacing w:before="120"/>
              <w:jc w:val="both"/>
              <w:rPr>
                <w:rFonts w:ascii="Arial" w:hAnsi="Arial" w:cs="Arial"/>
                <w:sz w:val="20"/>
                <w:szCs w:val="20"/>
              </w:rPr>
            </w:pPr>
            <w:r w:rsidRPr="008511B1">
              <w:rPr>
                <w:rFonts w:ascii="Arial" w:hAnsi="Arial" w:cs="Arial"/>
                <w:sz w:val="20"/>
                <w:szCs w:val="20"/>
              </w:rPr>
              <w:t>Article 14(a)(iii)</w:t>
            </w:r>
          </w:p>
          <w:p w14:paraId="51497190" w14:textId="77777777" w:rsidR="00DD1FAF" w:rsidRPr="00DD1FAF" w:rsidRDefault="00DD1FAF" w:rsidP="00DD1FAF">
            <w:pPr>
              <w:keepLines/>
              <w:spacing w:before="120"/>
              <w:jc w:val="both"/>
              <w:rPr>
                <w:rFonts w:ascii="Arial" w:hAnsi="Arial" w:cs="Arial"/>
                <w:sz w:val="20"/>
                <w:szCs w:val="20"/>
              </w:rPr>
            </w:pPr>
            <w:r w:rsidRPr="008511B1">
              <w:rPr>
                <w:rFonts w:ascii="Arial" w:hAnsi="Arial" w:cs="Arial"/>
                <w:sz w:val="20"/>
                <w:szCs w:val="20"/>
              </w:rPr>
              <w:t>DO 107(k)</w:t>
            </w:r>
          </w:p>
        </w:tc>
      </w:tr>
      <w:tr w:rsidR="00DD1FAF" w:rsidRPr="00F866CD" w14:paraId="6AC7F934" w14:textId="77777777" w:rsidTr="00741CDB">
        <w:trPr>
          <w:cantSplit/>
        </w:trPr>
        <w:tc>
          <w:tcPr>
            <w:tcW w:w="786" w:type="pct"/>
            <w:vMerge/>
            <w:shd w:val="clear" w:color="auto" w:fill="auto"/>
          </w:tcPr>
          <w:p w14:paraId="6FB9D969" w14:textId="77777777" w:rsidR="00DD1FAF" w:rsidRPr="00F866CD" w:rsidRDefault="00DD1FAF" w:rsidP="00DD1FAF">
            <w:pPr>
              <w:spacing w:before="120"/>
              <w:rPr>
                <w:rFonts w:ascii="Arial" w:hAnsi="Arial" w:cs="Arial"/>
                <w:b/>
                <w:szCs w:val="22"/>
              </w:rPr>
            </w:pPr>
          </w:p>
        </w:tc>
        <w:tc>
          <w:tcPr>
            <w:tcW w:w="3418" w:type="pct"/>
            <w:shd w:val="clear" w:color="auto" w:fill="auto"/>
            <w:vAlign w:val="center"/>
          </w:tcPr>
          <w:p w14:paraId="47D68CED" w14:textId="77777777" w:rsidR="00DD1FAF" w:rsidRPr="008511B1" w:rsidRDefault="00DD1FAF" w:rsidP="00A55B02">
            <w:pPr>
              <w:pStyle w:val="Paragraphedeliste"/>
              <w:keepLines/>
              <w:numPr>
                <w:ilvl w:val="1"/>
                <w:numId w:val="75"/>
              </w:numPr>
              <w:spacing w:before="120" w:after="120" w:line="240" w:lineRule="auto"/>
              <w:ind w:left="567" w:hanging="567"/>
              <w:rPr>
                <w:rFonts w:ascii="Arial" w:hAnsi="Arial" w:cs="Arial"/>
                <w:sz w:val="20"/>
                <w:szCs w:val="20"/>
                <w:lang w:val="fr-FR"/>
              </w:rPr>
            </w:pPr>
            <w:r>
              <w:rPr>
                <w:rFonts w:ascii="Arial" w:hAnsi="Arial" w:cs="Arial"/>
                <w:sz w:val="20"/>
                <w:szCs w:val="20"/>
                <w:lang w:val="fr"/>
              </w:rPr>
              <w:t>Les institutions, centres et autres organismes gouvernementaux offrent une formation en sauvegarde et gestion du PCI, sur une base inclusive.</w:t>
            </w:r>
          </w:p>
        </w:tc>
        <w:tc>
          <w:tcPr>
            <w:tcW w:w="796" w:type="pct"/>
            <w:shd w:val="clear" w:color="auto" w:fill="auto"/>
            <w:vAlign w:val="center"/>
          </w:tcPr>
          <w:p w14:paraId="0CE93CA3" w14:textId="77777777" w:rsidR="00DD1FAF" w:rsidRPr="00CE3788" w:rsidRDefault="009C45A8" w:rsidP="00741CDB">
            <w:pPr>
              <w:keepLines/>
              <w:spacing w:before="120"/>
              <w:jc w:val="both"/>
              <w:rPr>
                <w:rFonts w:ascii="Arial" w:hAnsi="Arial"/>
                <w:sz w:val="20"/>
              </w:rPr>
            </w:pPr>
            <w:r>
              <w:rPr>
                <w:rFonts w:ascii="Arial" w:hAnsi="Arial" w:cs="Arial"/>
                <w:sz w:val="20"/>
                <w:szCs w:val="20"/>
                <w:lang w:val="fr"/>
              </w:rPr>
              <w:t>Article 14(a)(iii)</w:t>
            </w:r>
          </w:p>
        </w:tc>
      </w:tr>
      <w:tr w:rsidR="00DD1FAF" w:rsidRPr="00F866CD" w14:paraId="059AAAB8" w14:textId="77777777" w:rsidTr="00741CDB">
        <w:trPr>
          <w:cantSplit/>
        </w:trPr>
        <w:tc>
          <w:tcPr>
            <w:tcW w:w="786" w:type="pct"/>
            <w:vMerge/>
            <w:shd w:val="clear" w:color="auto" w:fill="auto"/>
          </w:tcPr>
          <w:p w14:paraId="14B01E61" w14:textId="77777777" w:rsidR="00DD1FAF" w:rsidRPr="00F866CD" w:rsidRDefault="00DD1FAF" w:rsidP="00DD1FAF">
            <w:pPr>
              <w:spacing w:before="120"/>
              <w:rPr>
                <w:rFonts w:ascii="Arial" w:hAnsi="Arial" w:cs="Arial"/>
                <w:b/>
                <w:szCs w:val="22"/>
              </w:rPr>
            </w:pPr>
          </w:p>
        </w:tc>
        <w:tc>
          <w:tcPr>
            <w:tcW w:w="3418" w:type="pct"/>
            <w:shd w:val="clear" w:color="auto" w:fill="auto"/>
            <w:vAlign w:val="center"/>
          </w:tcPr>
          <w:p w14:paraId="438A24AA" w14:textId="77777777" w:rsidR="00DD1FAF" w:rsidRPr="008511B1" w:rsidRDefault="00DD1FAF" w:rsidP="00A55B02">
            <w:pPr>
              <w:pStyle w:val="Paragraphedeliste"/>
              <w:keepLines/>
              <w:numPr>
                <w:ilvl w:val="1"/>
                <w:numId w:val="75"/>
              </w:numPr>
              <w:spacing w:before="120" w:after="120" w:line="240" w:lineRule="auto"/>
              <w:ind w:left="567" w:hanging="567"/>
              <w:rPr>
                <w:rFonts w:ascii="Arial" w:hAnsi="Arial" w:cs="Arial"/>
                <w:sz w:val="20"/>
                <w:szCs w:val="20"/>
                <w:lang w:val="fr-FR"/>
              </w:rPr>
            </w:pPr>
            <w:r>
              <w:rPr>
                <w:rFonts w:ascii="Arial" w:hAnsi="Arial" w:cs="Arial"/>
                <w:sz w:val="20"/>
                <w:szCs w:val="20"/>
                <w:lang w:val="fr"/>
              </w:rPr>
              <w:t>Des initiatives menées par les communautés ou par les ONG offrent une formation en sauvegarde et gestion du PCI, sur une base inclusive.</w:t>
            </w:r>
          </w:p>
        </w:tc>
        <w:tc>
          <w:tcPr>
            <w:tcW w:w="796" w:type="pct"/>
            <w:shd w:val="clear" w:color="auto" w:fill="auto"/>
            <w:vAlign w:val="center"/>
          </w:tcPr>
          <w:p w14:paraId="25AD54CB" w14:textId="77777777" w:rsidR="00DD1FAF" w:rsidRPr="00CE3788" w:rsidRDefault="009C45A8" w:rsidP="00DD1FAF">
            <w:pPr>
              <w:keepLines/>
              <w:spacing w:before="120"/>
              <w:rPr>
                <w:rFonts w:ascii="Arial" w:hAnsi="Arial" w:cs="Arial"/>
                <w:sz w:val="20"/>
                <w:szCs w:val="20"/>
              </w:rPr>
            </w:pPr>
            <w:r>
              <w:rPr>
                <w:rFonts w:ascii="Arial" w:hAnsi="Arial" w:cs="Arial"/>
                <w:sz w:val="20"/>
                <w:szCs w:val="20"/>
                <w:lang w:val="fr"/>
              </w:rPr>
              <w:t>Article 14(a)(iii)</w:t>
            </w:r>
          </w:p>
        </w:tc>
      </w:tr>
      <w:tr w:rsidR="005473CF" w:rsidRPr="00E72DF4" w14:paraId="5DB3A022" w14:textId="77777777" w:rsidTr="00741CDB">
        <w:trPr>
          <w:cantSplit/>
        </w:trPr>
        <w:tc>
          <w:tcPr>
            <w:tcW w:w="786" w:type="pct"/>
            <w:shd w:val="clear" w:color="auto" w:fill="auto"/>
          </w:tcPr>
          <w:p w14:paraId="19940673" w14:textId="77777777" w:rsidR="005473CF" w:rsidRPr="008511B1"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5EC826B1" w14:textId="0D057A2D" w:rsidR="00741CDB" w:rsidRPr="008511B1" w:rsidRDefault="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Cet indicateur répond dans son ensemble à l</w:t>
            </w:r>
            <w:r w:rsidR="003E581D">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 Si un État partie en développement bénéficie d'un soutien international pour ses efforts de renforcement des capacités, cet indicateur répond également à l</w:t>
            </w:r>
            <w:r w:rsidR="003E581D">
              <w:rPr>
                <w:rFonts w:ascii="Arial" w:hAnsi="Arial" w:cs="Arial"/>
                <w:szCs w:val="22"/>
                <w:lang w:val="fr"/>
              </w:rPr>
              <w:t>a cible</w:t>
            </w:r>
            <w:r>
              <w:rPr>
                <w:rFonts w:ascii="Arial" w:hAnsi="Arial" w:cs="Arial"/>
                <w:szCs w:val="22"/>
                <w:lang w:val="fr"/>
              </w:rPr>
              <w:t xml:space="preserve"> 17.9 des </w:t>
            </w:r>
            <w:r w:rsidR="005C0E21">
              <w:rPr>
                <w:rFonts w:ascii="Arial" w:hAnsi="Arial" w:cs="Arial"/>
                <w:szCs w:val="22"/>
                <w:lang w:val="fr"/>
              </w:rPr>
              <w:t>ODD</w:t>
            </w:r>
            <w:r>
              <w:rPr>
                <w:rFonts w:ascii="Arial" w:hAnsi="Arial" w:cs="Arial"/>
                <w:szCs w:val="22"/>
                <w:lang w:val="fr"/>
              </w:rPr>
              <w:t xml:space="preserve">, qui met l'accent sur « le soutien international à la mise en œuvre d'un renforcement efficace et ciblé des capacités dans les pays en développement » pour renforcer la mise en œuvre nationale des objectifs. Il complète également </w:t>
            </w:r>
            <w:r w:rsidR="003E581D">
              <w:rPr>
                <w:rFonts w:ascii="Arial" w:hAnsi="Arial" w:cs="Arial"/>
                <w:szCs w:val="22"/>
                <w:lang w:val="fr"/>
              </w:rPr>
              <w:t xml:space="preserve">la cible </w:t>
            </w:r>
            <w:r>
              <w:rPr>
                <w:rFonts w:ascii="Arial" w:hAnsi="Arial" w:cs="Arial"/>
                <w:szCs w:val="22"/>
                <w:lang w:val="fr"/>
              </w:rPr>
              <w:t>4.7 des ODD, qui fait référence à l'acquisition par les apprenants « des connaissances et des compétences nécessaires pour promouvoir le développement durable...[notamment] l'appréciation de la contribution de la culture au développement durable. ».</w:t>
            </w:r>
          </w:p>
          <w:p w14:paraId="3F8147FE" w14:textId="77777777" w:rsidR="005473CF" w:rsidRPr="008511B1" w:rsidRDefault="005473CF" w:rsidP="00741CDB">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Cet indicateur concerne la formation spécialisée dans la sauvegarde et la gestion du patrimoine culturel immatériel au niveau postsecondaire ainsi que les possibilités de formation à court terme qui peuvent ne pas déboucher sur un diplôme, l'accent étant mis sur la disponibilité d'un large éventail de ces possibilités. L'indicateur 3 porte sur les publics visés par ces programmes de formation et leur efficacité. Les indicateurs 4, 5 et 6 concernent les programmes éducatifs aux niveaux primaire, secondaire et postsecondaire qui ne sont généralement pas axés sur la sauvegarde et la gestion du PCI, mais plutôt sur sa pratique et sa transmission ainsi que sur la promotion d'un plus grand respect de celui-ci. </w:t>
            </w:r>
          </w:p>
        </w:tc>
      </w:tr>
      <w:tr w:rsidR="00896177" w:rsidRPr="00E72DF4" w14:paraId="179DB465" w14:textId="77777777" w:rsidTr="00741CDB">
        <w:trPr>
          <w:cantSplit/>
        </w:trPr>
        <w:tc>
          <w:tcPr>
            <w:tcW w:w="786" w:type="pct"/>
            <w:shd w:val="clear" w:color="auto" w:fill="auto"/>
          </w:tcPr>
          <w:p w14:paraId="4F130F6B"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29435842" w14:textId="5F1B92D6" w:rsidR="00704766" w:rsidRPr="008511B1" w:rsidRDefault="00C8192A" w:rsidP="002E2E75">
            <w:pPr>
              <w:keepLines/>
              <w:spacing w:before="120"/>
              <w:jc w:val="both"/>
              <w:rPr>
                <w:rFonts w:asciiTheme="minorBidi" w:hAnsiTheme="minorBidi" w:cstheme="minorBidi"/>
                <w:szCs w:val="22"/>
                <w:lang w:val="fr-FR"/>
              </w:rPr>
            </w:pPr>
            <w:r>
              <w:rPr>
                <w:rFonts w:asciiTheme="minorBidi" w:hAnsiTheme="minorBidi"/>
                <w:szCs w:val="22"/>
                <w:lang w:val="fr"/>
              </w:rPr>
              <w:t xml:space="preserve">Le renforcement des capacités pour la sauvegarde du PCI est un besoin permanent de tous les États, qu'ils aient une longue expérience de la sauvegarde du PCI ou qu'ils s'en soient acquittés plus récemment. Le besoin de renforcer les capacités humaines peut être comblé par la formation universitaire proposée par les collèges et les universités, mais il peut aussi l'être par la formation à court terme offerte par les institutions et organismes </w:t>
            </w:r>
            <w:r>
              <w:rPr>
                <w:rFonts w:ascii="Arial" w:hAnsi="Arial"/>
                <w:szCs w:val="22"/>
                <w:lang w:val="fr"/>
              </w:rPr>
              <w:t>gouvernementaux</w:t>
            </w:r>
            <w:r>
              <w:rPr>
                <w:rFonts w:asciiTheme="minorBidi" w:hAnsiTheme="minorBidi"/>
                <w:szCs w:val="22"/>
                <w:lang w:val="fr"/>
              </w:rPr>
              <w:t xml:space="preserve"> de toutes sortes, notamment les organisations non gouvernementales ou communautaires. Pour tous les types de formation et de renforcement des capacités, l'inclusion est essentielle, étant donné l'importance de la participation </w:t>
            </w:r>
            <w:proofErr w:type="gramStart"/>
            <w:r>
              <w:rPr>
                <w:rFonts w:asciiTheme="minorBidi" w:hAnsiTheme="minorBidi"/>
                <w:szCs w:val="22"/>
                <w:lang w:val="fr"/>
              </w:rPr>
              <w:t>la plus large possible</w:t>
            </w:r>
            <w:proofErr w:type="gramEnd"/>
            <w:r>
              <w:rPr>
                <w:rFonts w:asciiTheme="minorBidi" w:hAnsiTheme="minorBidi"/>
                <w:szCs w:val="22"/>
                <w:lang w:val="fr"/>
              </w:rPr>
              <w:t xml:space="preserve"> des communautés, des groupes et des individus à la sauvegarde et à la gestion du PCI (Article 15).</w:t>
            </w:r>
          </w:p>
        </w:tc>
      </w:tr>
      <w:tr w:rsidR="00704766" w:rsidRPr="00F866CD" w14:paraId="20770F56" w14:textId="77777777" w:rsidTr="00741CDB">
        <w:trPr>
          <w:cantSplit/>
        </w:trPr>
        <w:tc>
          <w:tcPr>
            <w:tcW w:w="786" w:type="pct"/>
            <w:shd w:val="clear" w:color="auto" w:fill="auto"/>
          </w:tcPr>
          <w:p w14:paraId="18ECD952"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lastRenderedPageBreak/>
              <w:t>Termes clés</w:t>
            </w:r>
          </w:p>
        </w:tc>
        <w:tc>
          <w:tcPr>
            <w:tcW w:w="4214" w:type="pct"/>
            <w:gridSpan w:val="2"/>
            <w:shd w:val="clear" w:color="auto" w:fill="auto"/>
          </w:tcPr>
          <w:p w14:paraId="5159CC45" w14:textId="77777777" w:rsidR="00704766" w:rsidRDefault="00DD1FAF"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Inclusif/de manière inclusive</w:t>
            </w:r>
          </w:p>
          <w:p w14:paraId="7CFE56B8" w14:textId="77777777" w:rsidR="001869E2" w:rsidRDefault="001869E2"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Formation</w:t>
            </w:r>
          </w:p>
          <w:p w14:paraId="4451C103" w14:textId="4711F818" w:rsidR="002E2E75" w:rsidRPr="00BA09C8" w:rsidRDefault="002E2E75" w:rsidP="00BA09C8">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Organisations non gouvernementales et communautaires</w:t>
            </w:r>
          </w:p>
          <w:p w14:paraId="0F6666C9" w14:textId="0DD0B3CD" w:rsidR="00DD1FAF" w:rsidRDefault="002E2E75"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 xml:space="preserve">Renforcement des capacités </w:t>
            </w:r>
          </w:p>
          <w:p w14:paraId="6681E690" w14:textId="77777777" w:rsidR="00882964" w:rsidRPr="00F866CD" w:rsidRDefault="00882964"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 xml:space="preserve">Enseignement supérieur </w:t>
            </w:r>
          </w:p>
        </w:tc>
      </w:tr>
    </w:tbl>
    <w:p w14:paraId="129414BC"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55EC3681" w14:textId="77777777" w:rsidR="0054175C" w:rsidRPr="008511B1"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E72DF4" w14:paraId="7C74F128" w14:textId="77777777" w:rsidTr="00777F2E">
        <w:tc>
          <w:tcPr>
            <w:tcW w:w="747" w:type="pct"/>
            <w:shd w:val="clear" w:color="auto" w:fill="auto"/>
          </w:tcPr>
          <w:p w14:paraId="61F3D445"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62233A00" w14:textId="74D7D71E" w:rsidR="002C28BA" w:rsidRPr="008511B1" w:rsidRDefault="002B5410" w:rsidP="006525D7">
            <w:pPr>
              <w:keepLines/>
              <w:spacing w:before="120"/>
              <w:jc w:val="both"/>
              <w:rPr>
                <w:rFonts w:ascii="Arial" w:hAnsi="Arial" w:cs="Arial"/>
                <w:bCs/>
                <w:szCs w:val="22"/>
                <w:lang w:val="fr-FR"/>
              </w:rPr>
            </w:pPr>
            <w:r>
              <w:rPr>
                <w:rFonts w:ascii="Arial" w:hAnsi="Arial" w:cs="Arial"/>
                <w:szCs w:val="22"/>
                <w:lang w:val="fr"/>
              </w:rPr>
              <w:t>Faire le point sur les programmes et les institutions de formation peut aider un État à comprendre l'ampleur et la portée des besoins de renforcement des capacités en matière de gestion du PCI. Cela peut l'aider à évaluer quels besoins sont actuellement satisfaits et à identifier les lacunes à combler à moyen ou à long terme, ce qui permet à l'État de s'assurer que son propre personnel aura accès à des possibilités de formation et à des ressources appropriées. Au niveau mondial, le suivi et l'établissement de rapports peuvent mettre en évidence les possibilités de coopération internationale - y compris lorsque le personnel peut tirer parti des possibilités de formation en dehors de son propre pays - et identifier les lacunes que l'UNESCO, avec ses partenaires et institutions affiliés, pourrait combler grâce au programme mondial de renforcement des capacités.</w:t>
            </w:r>
          </w:p>
        </w:tc>
      </w:tr>
      <w:tr w:rsidR="0054175C" w:rsidRPr="00E72DF4" w14:paraId="59E7CFDE" w14:textId="77777777" w:rsidTr="00777F2E">
        <w:tc>
          <w:tcPr>
            <w:tcW w:w="747" w:type="pct"/>
            <w:shd w:val="clear" w:color="auto" w:fill="auto"/>
          </w:tcPr>
          <w:p w14:paraId="2D547F99" w14:textId="77777777" w:rsidR="0054175C" w:rsidRPr="008511B1"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1DAFD1FF" w14:textId="7F463956" w:rsidR="0054175C" w:rsidRPr="008511B1" w:rsidRDefault="00C05023" w:rsidP="0054175C">
            <w:pPr>
              <w:spacing w:before="120"/>
              <w:jc w:val="both"/>
              <w:rPr>
                <w:rFonts w:ascii="Arial" w:hAnsi="Arial" w:cs="Arial"/>
                <w:szCs w:val="22"/>
                <w:lang w:val="fr-FR"/>
              </w:rPr>
            </w:pPr>
            <w:r>
              <w:rPr>
                <w:rFonts w:ascii="Arial" w:hAnsi="Arial" w:cs="Arial"/>
                <w:szCs w:val="22"/>
                <w:lang w:val="fr"/>
              </w:rPr>
              <w:t>Un ministère de l'Éducation ou de l'Enseignement supérieur pourrait être chargé d'autoriser les diplômes ou certificats dans des domaines spécifiques tels que le PCI et, dans l'affirmative, il conserverait des informations sur l'endroit où ces programmes sont proposés (facteur d'</w:t>
            </w:r>
            <w:r w:rsidR="003E0B78" w:rsidRPr="003E0B78">
              <w:rPr>
                <w:rFonts w:ascii="Arial" w:hAnsi="Arial" w:cs="Arial"/>
                <w:szCs w:val="22"/>
                <w:lang w:val="fr"/>
              </w:rPr>
              <w:t>appréciation</w:t>
            </w:r>
            <w:r>
              <w:rPr>
                <w:rFonts w:ascii="Arial" w:hAnsi="Arial" w:cs="Arial"/>
                <w:szCs w:val="22"/>
                <w:lang w:val="fr"/>
              </w:rPr>
              <w:t xml:space="preserve"> 2.1). Si l'État dispose d'un conseil consultatif ou d'un mécanisme de coopération (voir indicateur 1), il peut recueillir et diffuser des informations sur les possibilités de formation, qu'elles soient offertes par des institutions gouvernementales (Facteur d'</w:t>
            </w:r>
            <w:r w:rsidR="003E0B78" w:rsidRPr="003E0B78">
              <w:rPr>
                <w:rFonts w:ascii="Arial" w:hAnsi="Arial" w:cs="Arial"/>
                <w:szCs w:val="22"/>
                <w:lang w:val="fr"/>
              </w:rPr>
              <w:t>appréciation</w:t>
            </w:r>
            <w:r>
              <w:rPr>
                <w:rFonts w:ascii="Arial" w:hAnsi="Arial" w:cs="Arial"/>
                <w:szCs w:val="22"/>
                <w:lang w:val="fr"/>
              </w:rPr>
              <w:t xml:space="preserve"> 2.2) ou par des organisations non gouvernementales et des communautés elles-mêmes (Facteur d'</w:t>
            </w:r>
            <w:r w:rsidR="003E0B78" w:rsidRPr="003E0B78">
              <w:rPr>
                <w:rFonts w:ascii="Arial" w:hAnsi="Arial" w:cs="Arial"/>
                <w:szCs w:val="22"/>
                <w:lang w:val="fr"/>
              </w:rPr>
              <w:t>appréciation</w:t>
            </w:r>
            <w:r>
              <w:rPr>
                <w:rFonts w:ascii="Arial" w:hAnsi="Arial" w:cs="Arial"/>
                <w:szCs w:val="22"/>
                <w:lang w:val="fr"/>
              </w:rPr>
              <w:t xml:space="preserve"> 2.3).</w:t>
            </w:r>
          </w:p>
          <w:p w14:paraId="7D17ED10"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19EE7F51" w14:textId="7DDAE912" w:rsidR="005E1482" w:rsidRPr="008511B1" w:rsidRDefault="005E1482" w:rsidP="00BE5B3F">
            <w:pPr>
              <w:pStyle w:val="Paragraphedeliste"/>
              <w:numPr>
                <w:ilvl w:val="0"/>
                <w:numId w:val="73"/>
              </w:numPr>
              <w:spacing w:before="120"/>
              <w:jc w:val="both"/>
              <w:rPr>
                <w:rFonts w:ascii="Arial" w:hAnsi="Arial" w:cs="Arial"/>
                <w:lang w:val="fr-FR"/>
              </w:rPr>
            </w:pPr>
            <w:r>
              <w:rPr>
                <w:rFonts w:ascii="Arial" w:hAnsi="Arial" w:cs="Arial"/>
                <w:lang w:val="fr"/>
              </w:rPr>
              <w:t>Documents et avis d'un ministère de l'Éducation ou de l'Enseignement supérieur</w:t>
            </w:r>
          </w:p>
          <w:p w14:paraId="6D970DAE" w14:textId="77777777" w:rsidR="0054175C" w:rsidRPr="008511B1" w:rsidRDefault="005E1482" w:rsidP="00BE5B3F">
            <w:pPr>
              <w:pStyle w:val="Paragraphedeliste"/>
              <w:numPr>
                <w:ilvl w:val="0"/>
                <w:numId w:val="73"/>
              </w:numPr>
              <w:spacing w:before="120"/>
              <w:jc w:val="both"/>
              <w:rPr>
                <w:rFonts w:ascii="Arial" w:hAnsi="Arial" w:cs="Arial"/>
                <w:lang w:val="fr-FR"/>
              </w:rPr>
            </w:pPr>
            <w:r>
              <w:rPr>
                <w:rFonts w:ascii="Arial" w:hAnsi="Arial" w:cs="Arial"/>
                <w:lang w:val="fr"/>
              </w:rPr>
              <w:t>Programmes d'études et sites Web des collèges et universités</w:t>
            </w:r>
          </w:p>
          <w:p w14:paraId="56F4C272" w14:textId="77777777" w:rsidR="00154138" w:rsidRPr="008511B1" w:rsidRDefault="00154138" w:rsidP="00BE5B3F">
            <w:pPr>
              <w:pStyle w:val="Paragraphedeliste"/>
              <w:numPr>
                <w:ilvl w:val="0"/>
                <w:numId w:val="73"/>
              </w:numPr>
              <w:spacing w:before="120"/>
              <w:jc w:val="both"/>
              <w:rPr>
                <w:rFonts w:ascii="Arial" w:hAnsi="Arial" w:cs="Arial"/>
                <w:lang w:val="fr-FR"/>
              </w:rPr>
            </w:pPr>
            <w:r>
              <w:rPr>
                <w:rFonts w:ascii="Arial" w:hAnsi="Arial" w:cs="Arial"/>
                <w:lang w:val="fr"/>
              </w:rPr>
              <w:t>Stratégie de renforcement des capacités du Ministère de la culture ou d'autres organismes responsables du PCI</w:t>
            </w:r>
          </w:p>
          <w:p w14:paraId="06D48189" w14:textId="77777777" w:rsidR="007510FC" w:rsidRDefault="007510FC" w:rsidP="00BE5B3F">
            <w:pPr>
              <w:pStyle w:val="Paragraphedeliste"/>
              <w:numPr>
                <w:ilvl w:val="0"/>
                <w:numId w:val="73"/>
              </w:numPr>
              <w:spacing w:before="120"/>
              <w:jc w:val="both"/>
              <w:rPr>
                <w:rFonts w:ascii="Arial" w:hAnsi="Arial" w:cs="Arial"/>
              </w:rPr>
            </w:pPr>
            <w:r>
              <w:rPr>
                <w:rFonts w:ascii="Arial" w:hAnsi="Arial" w:cs="Arial"/>
                <w:lang w:val="fr"/>
              </w:rPr>
              <w:t>Organismes de formation spécialisés</w:t>
            </w:r>
          </w:p>
          <w:p w14:paraId="217A0A63" w14:textId="58064B7A" w:rsidR="00627107" w:rsidRPr="008511B1" w:rsidRDefault="00627107" w:rsidP="00BE5B3F">
            <w:pPr>
              <w:pStyle w:val="Paragraphedeliste"/>
              <w:numPr>
                <w:ilvl w:val="0"/>
                <w:numId w:val="73"/>
              </w:numPr>
              <w:spacing w:before="120"/>
              <w:jc w:val="both"/>
              <w:rPr>
                <w:rFonts w:ascii="Arial" w:hAnsi="Arial" w:cs="Arial"/>
                <w:lang w:val="fr-FR"/>
              </w:rPr>
            </w:pPr>
            <w:r>
              <w:rPr>
                <w:rFonts w:ascii="Arial" w:hAnsi="Arial" w:cs="Arial"/>
                <w:lang w:val="fr"/>
              </w:rPr>
              <w:t>Sites Web d'organismes non gouvernementaux actifs dans le domaine du patrimoine culturel immatériel</w:t>
            </w:r>
          </w:p>
          <w:p w14:paraId="61ED327B" w14:textId="77777777" w:rsidR="005E1482" w:rsidRPr="008511B1" w:rsidRDefault="00154138" w:rsidP="00BE5B3F">
            <w:pPr>
              <w:pStyle w:val="Paragraphedeliste"/>
              <w:numPr>
                <w:ilvl w:val="0"/>
                <w:numId w:val="73"/>
              </w:numPr>
              <w:spacing w:before="120"/>
              <w:jc w:val="both"/>
              <w:rPr>
                <w:rFonts w:ascii="Arial" w:hAnsi="Arial" w:cs="Arial"/>
                <w:lang w:val="fr-FR"/>
              </w:rPr>
            </w:pPr>
            <w:r>
              <w:rPr>
                <w:rFonts w:ascii="Arial" w:hAnsi="Arial" w:cs="Arial"/>
                <w:lang w:val="fr"/>
              </w:rPr>
              <w:t>Annonces et avis de recrutement pour des ateliers et autres opportunités ponctuelles</w:t>
            </w:r>
          </w:p>
          <w:p w14:paraId="63B69390" w14:textId="77777777" w:rsidR="00154138" w:rsidRPr="008511B1" w:rsidRDefault="00154138" w:rsidP="00BE5B3F">
            <w:pPr>
              <w:pStyle w:val="Paragraphedeliste"/>
              <w:numPr>
                <w:ilvl w:val="0"/>
                <w:numId w:val="73"/>
              </w:numPr>
              <w:spacing w:before="120"/>
              <w:jc w:val="both"/>
              <w:rPr>
                <w:rFonts w:ascii="Arial" w:hAnsi="Arial" w:cs="Arial"/>
                <w:lang w:val="fr-FR"/>
              </w:rPr>
            </w:pPr>
            <w:r>
              <w:rPr>
                <w:rFonts w:ascii="Arial" w:hAnsi="Arial" w:cs="Arial"/>
                <w:lang w:val="fr"/>
              </w:rPr>
              <w:t>Couverture médiatique de ces ateliers et activités de formation</w:t>
            </w:r>
          </w:p>
          <w:p w14:paraId="6E47F751" w14:textId="77777777" w:rsidR="00F772F9" w:rsidRPr="008511B1" w:rsidRDefault="00F772F9" w:rsidP="00BE5B3F">
            <w:pPr>
              <w:pStyle w:val="Paragraphedeliste"/>
              <w:numPr>
                <w:ilvl w:val="0"/>
                <w:numId w:val="73"/>
              </w:numPr>
              <w:spacing w:before="120"/>
              <w:jc w:val="both"/>
              <w:rPr>
                <w:rFonts w:ascii="Arial" w:hAnsi="Arial" w:cs="Arial"/>
                <w:lang w:val="fr-FR"/>
              </w:rPr>
            </w:pPr>
            <w:r>
              <w:rPr>
                <w:rFonts w:ascii="Arial" w:hAnsi="Arial" w:cs="Arial"/>
                <w:lang w:val="fr"/>
              </w:rPr>
              <w:t>Page Web de l'UNESCO sur les projets de renforcement des capacités</w:t>
            </w:r>
          </w:p>
        </w:tc>
      </w:tr>
    </w:tbl>
    <w:p w14:paraId="7AA6BBED"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3857" w14:textId="77777777" w:rsidR="003F455D" w:rsidRDefault="003F455D" w:rsidP="002938F2">
      <w:r>
        <w:separator/>
      </w:r>
    </w:p>
    <w:p w14:paraId="1C70286A" w14:textId="77777777" w:rsidR="003F455D" w:rsidRDefault="003F455D"/>
  </w:endnote>
  <w:endnote w:type="continuationSeparator" w:id="0">
    <w:p w14:paraId="30075328" w14:textId="77777777" w:rsidR="003F455D" w:rsidRDefault="003F455D" w:rsidP="002938F2">
      <w:r>
        <w:continuationSeparator/>
      </w:r>
    </w:p>
    <w:p w14:paraId="240DE153" w14:textId="77777777" w:rsidR="003F455D" w:rsidRDefault="003F455D"/>
  </w:endnote>
  <w:endnote w:type="continuationNotice" w:id="1">
    <w:p w14:paraId="20F0534F" w14:textId="77777777" w:rsidR="003F455D" w:rsidRDefault="003F45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F107" w14:textId="36F052EF" w:rsidR="00C04344" w:rsidRPr="000A0709" w:rsidRDefault="00871168"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sidR="008511B1">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36FF" w14:textId="77777777" w:rsidR="003F455D" w:rsidRDefault="003F455D" w:rsidP="002938F2">
      <w:r>
        <w:separator/>
      </w:r>
    </w:p>
  </w:footnote>
  <w:footnote w:type="continuationSeparator" w:id="0">
    <w:p w14:paraId="52E44AD1" w14:textId="77777777" w:rsidR="003F455D" w:rsidRDefault="003F455D" w:rsidP="002938F2">
      <w:r>
        <w:continuationSeparator/>
      </w:r>
    </w:p>
    <w:p w14:paraId="1B17284B" w14:textId="77777777" w:rsidR="003F455D" w:rsidRDefault="003F455D"/>
  </w:footnote>
  <w:footnote w:type="continuationNotice" w:id="1">
    <w:p w14:paraId="36B27D0F" w14:textId="77777777" w:rsidR="003F455D" w:rsidRDefault="003F45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354A32"/>
    <w:multiLevelType w:val="multilevel"/>
    <w:tmpl w:val="5E98540E"/>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C79C0"/>
    <w:multiLevelType w:val="multilevel"/>
    <w:tmpl w:val="1F16EE2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7"/>
  </w:num>
  <w:num w:numId="3">
    <w:abstractNumId w:val="12"/>
  </w:num>
  <w:num w:numId="4">
    <w:abstractNumId w:val="55"/>
  </w:num>
  <w:num w:numId="5">
    <w:abstractNumId w:val="46"/>
  </w:num>
  <w:num w:numId="6">
    <w:abstractNumId w:val="5"/>
  </w:num>
  <w:num w:numId="7">
    <w:abstractNumId w:val="16"/>
  </w:num>
  <w:num w:numId="8">
    <w:abstractNumId w:val="26"/>
  </w:num>
  <w:num w:numId="9">
    <w:abstractNumId w:val="49"/>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4"/>
  </w:num>
  <w:num w:numId="17">
    <w:abstractNumId w:val="39"/>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53"/>
  </w:num>
  <w:num w:numId="27">
    <w:abstractNumId w:val="26"/>
  </w:num>
  <w:num w:numId="28">
    <w:abstractNumId w:val="26"/>
  </w:num>
  <w:num w:numId="29">
    <w:abstractNumId w:val="26"/>
  </w:num>
  <w:num w:numId="30">
    <w:abstractNumId w:val="26"/>
  </w:num>
  <w:num w:numId="31">
    <w:abstractNumId w:val="11"/>
  </w:num>
  <w:num w:numId="32">
    <w:abstractNumId w:val="9"/>
  </w:num>
  <w:num w:numId="33">
    <w:abstractNumId w:val="17"/>
  </w:num>
  <w:num w:numId="34">
    <w:abstractNumId w:val="47"/>
  </w:num>
  <w:num w:numId="35">
    <w:abstractNumId w:val="22"/>
  </w:num>
  <w:num w:numId="36">
    <w:abstractNumId w:val="41"/>
  </w:num>
  <w:num w:numId="37">
    <w:abstractNumId w:val="19"/>
  </w:num>
  <w:num w:numId="38">
    <w:abstractNumId w:val="10"/>
  </w:num>
  <w:num w:numId="39">
    <w:abstractNumId w:val="7"/>
  </w:num>
  <w:num w:numId="40">
    <w:abstractNumId w:val="21"/>
  </w:num>
  <w:num w:numId="41">
    <w:abstractNumId w:val="54"/>
  </w:num>
  <w:num w:numId="42">
    <w:abstractNumId w:val="51"/>
  </w:num>
  <w:num w:numId="43">
    <w:abstractNumId w:val="30"/>
  </w:num>
  <w:num w:numId="44">
    <w:abstractNumId w:val="13"/>
  </w:num>
  <w:num w:numId="45">
    <w:abstractNumId w:val="52"/>
  </w:num>
  <w:num w:numId="46">
    <w:abstractNumId w:val="6"/>
  </w:num>
  <w:num w:numId="47">
    <w:abstractNumId w:val="36"/>
  </w:num>
  <w:num w:numId="48">
    <w:abstractNumId w:val="56"/>
  </w:num>
  <w:num w:numId="49">
    <w:abstractNumId w:val="33"/>
  </w:num>
  <w:num w:numId="50">
    <w:abstractNumId w:val="31"/>
  </w:num>
  <w:num w:numId="51">
    <w:abstractNumId w:val="28"/>
  </w:num>
  <w:num w:numId="52">
    <w:abstractNumId w:val="38"/>
  </w:num>
  <w:num w:numId="53">
    <w:abstractNumId w:val="15"/>
  </w:num>
  <w:num w:numId="54">
    <w:abstractNumId w:val="2"/>
  </w:num>
  <w:num w:numId="55">
    <w:abstractNumId w:val="35"/>
  </w:num>
  <w:num w:numId="56">
    <w:abstractNumId w:val="40"/>
  </w:num>
  <w:num w:numId="57">
    <w:abstractNumId w:val="0"/>
  </w:num>
  <w:num w:numId="58">
    <w:abstractNumId w:val="4"/>
  </w:num>
  <w:num w:numId="59">
    <w:abstractNumId w:val="44"/>
  </w:num>
  <w:num w:numId="60">
    <w:abstractNumId w:val="3"/>
  </w:num>
  <w:num w:numId="61">
    <w:abstractNumId w:val="32"/>
  </w:num>
  <w:num w:numId="62">
    <w:abstractNumId w:val="23"/>
  </w:num>
  <w:num w:numId="63">
    <w:abstractNumId w:val="48"/>
  </w:num>
  <w:num w:numId="64">
    <w:abstractNumId w:val="20"/>
  </w:num>
  <w:num w:numId="65">
    <w:abstractNumId w:val="25"/>
  </w:num>
  <w:num w:numId="66">
    <w:abstractNumId w:val="45"/>
  </w:num>
  <w:num w:numId="67">
    <w:abstractNumId w:val="37"/>
  </w:num>
  <w:num w:numId="68">
    <w:abstractNumId w:val="14"/>
  </w:num>
  <w:num w:numId="69">
    <w:abstractNumId w:val="42"/>
  </w:num>
  <w:num w:numId="70">
    <w:abstractNumId w:val="34"/>
  </w:num>
  <w:num w:numId="71">
    <w:abstractNumId w:val="29"/>
  </w:num>
  <w:num w:numId="72">
    <w:abstractNumId w:val="50"/>
  </w:num>
  <w:num w:numId="73">
    <w:abstractNumId w:val="8"/>
  </w:num>
  <w:num w:numId="74">
    <w:abstractNumId w:val="1"/>
  </w:num>
  <w:num w:numId="75">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AC"/>
    <w:rsid w:val="000016A4"/>
    <w:rsid w:val="000019DB"/>
    <w:rsid w:val="000047CC"/>
    <w:rsid w:val="00005BA5"/>
    <w:rsid w:val="00005BFA"/>
    <w:rsid w:val="00006F66"/>
    <w:rsid w:val="00007BE1"/>
    <w:rsid w:val="00010E2D"/>
    <w:rsid w:val="000120FD"/>
    <w:rsid w:val="00013A65"/>
    <w:rsid w:val="0001506E"/>
    <w:rsid w:val="00015B9D"/>
    <w:rsid w:val="0001601A"/>
    <w:rsid w:val="00021831"/>
    <w:rsid w:val="00022C19"/>
    <w:rsid w:val="00031A37"/>
    <w:rsid w:val="00036843"/>
    <w:rsid w:val="00047E58"/>
    <w:rsid w:val="00054FDC"/>
    <w:rsid w:val="000615DC"/>
    <w:rsid w:val="000632E2"/>
    <w:rsid w:val="0007203D"/>
    <w:rsid w:val="000729D2"/>
    <w:rsid w:val="00073D20"/>
    <w:rsid w:val="00074E7D"/>
    <w:rsid w:val="000755E1"/>
    <w:rsid w:val="0007681B"/>
    <w:rsid w:val="000769F1"/>
    <w:rsid w:val="00083694"/>
    <w:rsid w:val="00085541"/>
    <w:rsid w:val="00092AE6"/>
    <w:rsid w:val="00093063"/>
    <w:rsid w:val="000975E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4936"/>
    <w:rsid w:val="00106B72"/>
    <w:rsid w:val="00106D19"/>
    <w:rsid w:val="0011334A"/>
    <w:rsid w:val="00115830"/>
    <w:rsid w:val="00116489"/>
    <w:rsid w:val="0011750D"/>
    <w:rsid w:val="00121B41"/>
    <w:rsid w:val="001301DF"/>
    <w:rsid w:val="001412DE"/>
    <w:rsid w:val="00142D78"/>
    <w:rsid w:val="00144A4D"/>
    <w:rsid w:val="00151351"/>
    <w:rsid w:val="001530C5"/>
    <w:rsid w:val="00154138"/>
    <w:rsid w:val="00156788"/>
    <w:rsid w:val="001609A1"/>
    <w:rsid w:val="00162554"/>
    <w:rsid w:val="00163F68"/>
    <w:rsid w:val="00173B50"/>
    <w:rsid w:val="00173E0E"/>
    <w:rsid w:val="00174B39"/>
    <w:rsid w:val="00183F6C"/>
    <w:rsid w:val="001869E2"/>
    <w:rsid w:val="00194802"/>
    <w:rsid w:val="00194AEB"/>
    <w:rsid w:val="001A431C"/>
    <w:rsid w:val="001A5519"/>
    <w:rsid w:val="001A7C3A"/>
    <w:rsid w:val="001B5C26"/>
    <w:rsid w:val="001C08BC"/>
    <w:rsid w:val="001C56BA"/>
    <w:rsid w:val="001C6D7D"/>
    <w:rsid w:val="001C6F2B"/>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0B83"/>
    <w:rsid w:val="0027198B"/>
    <w:rsid w:val="00273658"/>
    <w:rsid w:val="00282A9D"/>
    <w:rsid w:val="00286C0C"/>
    <w:rsid w:val="00287687"/>
    <w:rsid w:val="00290D5F"/>
    <w:rsid w:val="0029148C"/>
    <w:rsid w:val="002938F2"/>
    <w:rsid w:val="00293CCC"/>
    <w:rsid w:val="002A195D"/>
    <w:rsid w:val="002B43D6"/>
    <w:rsid w:val="002B5410"/>
    <w:rsid w:val="002B6B98"/>
    <w:rsid w:val="002C10CA"/>
    <w:rsid w:val="002C28BA"/>
    <w:rsid w:val="002C3B8F"/>
    <w:rsid w:val="002C444C"/>
    <w:rsid w:val="002C5021"/>
    <w:rsid w:val="002C5280"/>
    <w:rsid w:val="002C5C29"/>
    <w:rsid w:val="002D396D"/>
    <w:rsid w:val="002D71D4"/>
    <w:rsid w:val="002E113D"/>
    <w:rsid w:val="002E2E75"/>
    <w:rsid w:val="002F17E1"/>
    <w:rsid w:val="003043A9"/>
    <w:rsid w:val="0030454E"/>
    <w:rsid w:val="00320242"/>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3775"/>
    <w:rsid w:val="003B504D"/>
    <w:rsid w:val="003C0FE0"/>
    <w:rsid w:val="003C385E"/>
    <w:rsid w:val="003C7065"/>
    <w:rsid w:val="003D2E0D"/>
    <w:rsid w:val="003D33CE"/>
    <w:rsid w:val="003D5113"/>
    <w:rsid w:val="003D5BFC"/>
    <w:rsid w:val="003D6E10"/>
    <w:rsid w:val="003E0B78"/>
    <w:rsid w:val="003E0C0F"/>
    <w:rsid w:val="003E0E28"/>
    <w:rsid w:val="003E19D5"/>
    <w:rsid w:val="003E581D"/>
    <w:rsid w:val="003E76A8"/>
    <w:rsid w:val="003F455D"/>
    <w:rsid w:val="003F5B90"/>
    <w:rsid w:val="00404856"/>
    <w:rsid w:val="004057C7"/>
    <w:rsid w:val="00406ED7"/>
    <w:rsid w:val="004108B6"/>
    <w:rsid w:val="0041110F"/>
    <w:rsid w:val="0041300C"/>
    <w:rsid w:val="00414B68"/>
    <w:rsid w:val="00430ED2"/>
    <w:rsid w:val="00434773"/>
    <w:rsid w:val="004367F5"/>
    <w:rsid w:val="004458C9"/>
    <w:rsid w:val="00447C66"/>
    <w:rsid w:val="00462F38"/>
    <w:rsid w:val="004676C1"/>
    <w:rsid w:val="00471430"/>
    <w:rsid w:val="00471B34"/>
    <w:rsid w:val="00474AFE"/>
    <w:rsid w:val="00477E66"/>
    <w:rsid w:val="00480809"/>
    <w:rsid w:val="00486A5E"/>
    <w:rsid w:val="00493F92"/>
    <w:rsid w:val="00494997"/>
    <w:rsid w:val="004A0C2B"/>
    <w:rsid w:val="004A610E"/>
    <w:rsid w:val="004C20E2"/>
    <w:rsid w:val="004D7F00"/>
    <w:rsid w:val="004E056C"/>
    <w:rsid w:val="004E2817"/>
    <w:rsid w:val="004E2AE8"/>
    <w:rsid w:val="004E418A"/>
    <w:rsid w:val="004F7AFD"/>
    <w:rsid w:val="005016FB"/>
    <w:rsid w:val="00504256"/>
    <w:rsid w:val="00511D17"/>
    <w:rsid w:val="005157E2"/>
    <w:rsid w:val="0051699F"/>
    <w:rsid w:val="00516DE3"/>
    <w:rsid w:val="005300BF"/>
    <w:rsid w:val="00532631"/>
    <w:rsid w:val="005414A1"/>
    <w:rsid w:val="0054175C"/>
    <w:rsid w:val="005473CF"/>
    <w:rsid w:val="00564249"/>
    <w:rsid w:val="00567C07"/>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0E21"/>
    <w:rsid w:val="005C44A6"/>
    <w:rsid w:val="005C7D6A"/>
    <w:rsid w:val="005D2DDA"/>
    <w:rsid w:val="005E1482"/>
    <w:rsid w:val="005E3A3E"/>
    <w:rsid w:val="005E6A2B"/>
    <w:rsid w:val="005E7C7C"/>
    <w:rsid w:val="00601DD6"/>
    <w:rsid w:val="006032AE"/>
    <w:rsid w:val="00603F71"/>
    <w:rsid w:val="00605202"/>
    <w:rsid w:val="00621092"/>
    <w:rsid w:val="00621208"/>
    <w:rsid w:val="00627107"/>
    <w:rsid w:val="00632B30"/>
    <w:rsid w:val="006340A1"/>
    <w:rsid w:val="00635A19"/>
    <w:rsid w:val="00636760"/>
    <w:rsid w:val="00644B92"/>
    <w:rsid w:val="00645B77"/>
    <w:rsid w:val="0065099D"/>
    <w:rsid w:val="006515C9"/>
    <w:rsid w:val="00651944"/>
    <w:rsid w:val="006522F1"/>
    <w:rsid w:val="00652318"/>
    <w:rsid w:val="00652484"/>
    <w:rsid w:val="006525D7"/>
    <w:rsid w:val="00653314"/>
    <w:rsid w:val="00654BA0"/>
    <w:rsid w:val="00660F3B"/>
    <w:rsid w:val="0067005F"/>
    <w:rsid w:val="0067015A"/>
    <w:rsid w:val="006736EC"/>
    <w:rsid w:val="00673D90"/>
    <w:rsid w:val="00676C1E"/>
    <w:rsid w:val="00686D60"/>
    <w:rsid w:val="00691869"/>
    <w:rsid w:val="00694759"/>
    <w:rsid w:val="006A0D86"/>
    <w:rsid w:val="006A49AE"/>
    <w:rsid w:val="006A56C0"/>
    <w:rsid w:val="006C0911"/>
    <w:rsid w:val="006C3B03"/>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1CDB"/>
    <w:rsid w:val="00742DD1"/>
    <w:rsid w:val="0074360F"/>
    <w:rsid w:val="00746204"/>
    <w:rsid w:val="00747715"/>
    <w:rsid w:val="00747F86"/>
    <w:rsid w:val="00750138"/>
    <w:rsid w:val="007510FC"/>
    <w:rsid w:val="00753DA3"/>
    <w:rsid w:val="007610D3"/>
    <w:rsid w:val="007629DB"/>
    <w:rsid w:val="00764F50"/>
    <w:rsid w:val="00767871"/>
    <w:rsid w:val="00770A92"/>
    <w:rsid w:val="00774D9C"/>
    <w:rsid w:val="00776A63"/>
    <w:rsid w:val="00777F2E"/>
    <w:rsid w:val="00790C65"/>
    <w:rsid w:val="0079316B"/>
    <w:rsid w:val="007A0565"/>
    <w:rsid w:val="007A0EAA"/>
    <w:rsid w:val="007A1247"/>
    <w:rsid w:val="007A1E0A"/>
    <w:rsid w:val="007A53AC"/>
    <w:rsid w:val="007A6F91"/>
    <w:rsid w:val="007A7D45"/>
    <w:rsid w:val="007B4ADA"/>
    <w:rsid w:val="007C105C"/>
    <w:rsid w:val="007C1B00"/>
    <w:rsid w:val="007D0F1D"/>
    <w:rsid w:val="007D2881"/>
    <w:rsid w:val="007D31CE"/>
    <w:rsid w:val="007D3AD8"/>
    <w:rsid w:val="007D5BB7"/>
    <w:rsid w:val="007D6A69"/>
    <w:rsid w:val="007E0621"/>
    <w:rsid w:val="007E4E37"/>
    <w:rsid w:val="007F2F3A"/>
    <w:rsid w:val="007F4B07"/>
    <w:rsid w:val="007F6AC2"/>
    <w:rsid w:val="008029A6"/>
    <w:rsid w:val="008140A1"/>
    <w:rsid w:val="008147BA"/>
    <w:rsid w:val="008269B0"/>
    <w:rsid w:val="0083067E"/>
    <w:rsid w:val="00832357"/>
    <w:rsid w:val="0083488D"/>
    <w:rsid w:val="008466C3"/>
    <w:rsid w:val="00846809"/>
    <w:rsid w:val="008511B1"/>
    <w:rsid w:val="00851458"/>
    <w:rsid w:val="0085475F"/>
    <w:rsid w:val="00861A47"/>
    <w:rsid w:val="008707FF"/>
    <w:rsid w:val="00871168"/>
    <w:rsid w:val="008724E5"/>
    <w:rsid w:val="00877AC5"/>
    <w:rsid w:val="00877F27"/>
    <w:rsid w:val="0088173A"/>
    <w:rsid w:val="00881EB9"/>
    <w:rsid w:val="00882964"/>
    <w:rsid w:val="008848E9"/>
    <w:rsid w:val="00884C09"/>
    <w:rsid w:val="00885596"/>
    <w:rsid w:val="00885B33"/>
    <w:rsid w:val="00886B71"/>
    <w:rsid w:val="0089499E"/>
    <w:rsid w:val="00896177"/>
    <w:rsid w:val="008A0BE3"/>
    <w:rsid w:val="008A2566"/>
    <w:rsid w:val="008A625D"/>
    <w:rsid w:val="008A6663"/>
    <w:rsid w:val="008B6B4C"/>
    <w:rsid w:val="008B7346"/>
    <w:rsid w:val="008C20AD"/>
    <w:rsid w:val="008C70DB"/>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24D8"/>
    <w:rsid w:val="0097349C"/>
    <w:rsid w:val="009814C2"/>
    <w:rsid w:val="00982FFD"/>
    <w:rsid w:val="00985265"/>
    <w:rsid w:val="00985856"/>
    <w:rsid w:val="009A4969"/>
    <w:rsid w:val="009B1466"/>
    <w:rsid w:val="009B6973"/>
    <w:rsid w:val="009C0510"/>
    <w:rsid w:val="009C1A53"/>
    <w:rsid w:val="009C3663"/>
    <w:rsid w:val="009C45A8"/>
    <w:rsid w:val="009D098F"/>
    <w:rsid w:val="009D277E"/>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295A"/>
    <w:rsid w:val="00A535B7"/>
    <w:rsid w:val="00A55B02"/>
    <w:rsid w:val="00A5709F"/>
    <w:rsid w:val="00A616C4"/>
    <w:rsid w:val="00A61F20"/>
    <w:rsid w:val="00A64796"/>
    <w:rsid w:val="00A66CD4"/>
    <w:rsid w:val="00A70883"/>
    <w:rsid w:val="00A77AEB"/>
    <w:rsid w:val="00A81F0A"/>
    <w:rsid w:val="00A85C7A"/>
    <w:rsid w:val="00A86042"/>
    <w:rsid w:val="00AA36F9"/>
    <w:rsid w:val="00AA444A"/>
    <w:rsid w:val="00AB1528"/>
    <w:rsid w:val="00AB79BC"/>
    <w:rsid w:val="00AC064E"/>
    <w:rsid w:val="00AD6BD4"/>
    <w:rsid w:val="00AE1B18"/>
    <w:rsid w:val="00AE1D83"/>
    <w:rsid w:val="00AE2DFB"/>
    <w:rsid w:val="00AE3061"/>
    <w:rsid w:val="00AF15BA"/>
    <w:rsid w:val="00AF1C32"/>
    <w:rsid w:val="00AF65C6"/>
    <w:rsid w:val="00B11AE3"/>
    <w:rsid w:val="00B121A6"/>
    <w:rsid w:val="00B252FE"/>
    <w:rsid w:val="00B300B8"/>
    <w:rsid w:val="00B32A28"/>
    <w:rsid w:val="00B33904"/>
    <w:rsid w:val="00B3751E"/>
    <w:rsid w:val="00B427FE"/>
    <w:rsid w:val="00B51737"/>
    <w:rsid w:val="00B6102A"/>
    <w:rsid w:val="00B6167A"/>
    <w:rsid w:val="00B62ED0"/>
    <w:rsid w:val="00B64196"/>
    <w:rsid w:val="00B66A7A"/>
    <w:rsid w:val="00B70266"/>
    <w:rsid w:val="00B72A31"/>
    <w:rsid w:val="00B74304"/>
    <w:rsid w:val="00B82F05"/>
    <w:rsid w:val="00B87142"/>
    <w:rsid w:val="00B8750E"/>
    <w:rsid w:val="00B92374"/>
    <w:rsid w:val="00B924C8"/>
    <w:rsid w:val="00B95E33"/>
    <w:rsid w:val="00B973B5"/>
    <w:rsid w:val="00B97FD1"/>
    <w:rsid w:val="00BA09C8"/>
    <w:rsid w:val="00BB1062"/>
    <w:rsid w:val="00BB28EF"/>
    <w:rsid w:val="00BB5DEE"/>
    <w:rsid w:val="00BC002E"/>
    <w:rsid w:val="00BC393F"/>
    <w:rsid w:val="00BC75FC"/>
    <w:rsid w:val="00BD59BD"/>
    <w:rsid w:val="00BE5B3F"/>
    <w:rsid w:val="00BF351F"/>
    <w:rsid w:val="00BF3F50"/>
    <w:rsid w:val="00BF6F37"/>
    <w:rsid w:val="00C02924"/>
    <w:rsid w:val="00C04344"/>
    <w:rsid w:val="00C05023"/>
    <w:rsid w:val="00C17FE4"/>
    <w:rsid w:val="00C21897"/>
    <w:rsid w:val="00C276EE"/>
    <w:rsid w:val="00C43757"/>
    <w:rsid w:val="00C43BCE"/>
    <w:rsid w:val="00C47CF1"/>
    <w:rsid w:val="00C52006"/>
    <w:rsid w:val="00C53AB4"/>
    <w:rsid w:val="00C542F1"/>
    <w:rsid w:val="00C572B3"/>
    <w:rsid w:val="00C57CA1"/>
    <w:rsid w:val="00C6300B"/>
    <w:rsid w:val="00C6426B"/>
    <w:rsid w:val="00C6478B"/>
    <w:rsid w:val="00C8192A"/>
    <w:rsid w:val="00C87194"/>
    <w:rsid w:val="00C90629"/>
    <w:rsid w:val="00C90C51"/>
    <w:rsid w:val="00CA3ED6"/>
    <w:rsid w:val="00CA7CF4"/>
    <w:rsid w:val="00CB0F37"/>
    <w:rsid w:val="00CB1135"/>
    <w:rsid w:val="00CB1231"/>
    <w:rsid w:val="00CB590B"/>
    <w:rsid w:val="00CC02C5"/>
    <w:rsid w:val="00CC2BC6"/>
    <w:rsid w:val="00CC3AAB"/>
    <w:rsid w:val="00CD324E"/>
    <w:rsid w:val="00CD4A28"/>
    <w:rsid w:val="00CD54BD"/>
    <w:rsid w:val="00CD6C36"/>
    <w:rsid w:val="00CE2586"/>
    <w:rsid w:val="00CE3788"/>
    <w:rsid w:val="00CF05D7"/>
    <w:rsid w:val="00CF34A6"/>
    <w:rsid w:val="00CF3F93"/>
    <w:rsid w:val="00D020F3"/>
    <w:rsid w:val="00D04515"/>
    <w:rsid w:val="00D065AD"/>
    <w:rsid w:val="00D22831"/>
    <w:rsid w:val="00D404B7"/>
    <w:rsid w:val="00D44509"/>
    <w:rsid w:val="00D448CB"/>
    <w:rsid w:val="00D47226"/>
    <w:rsid w:val="00D47ED5"/>
    <w:rsid w:val="00D61779"/>
    <w:rsid w:val="00D7356C"/>
    <w:rsid w:val="00D73DB6"/>
    <w:rsid w:val="00D809E5"/>
    <w:rsid w:val="00D81948"/>
    <w:rsid w:val="00D90819"/>
    <w:rsid w:val="00D93291"/>
    <w:rsid w:val="00D9501F"/>
    <w:rsid w:val="00DB50D5"/>
    <w:rsid w:val="00DC5537"/>
    <w:rsid w:val="00DD11EE"/>
    <w:rsid w:val="00DD1FAF"/>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72DF4"/>
    <w:rsid w:val="00E85565"/>
    <w:rsid w:val="00E87F91"/>
    <w:rsid w:val="00E94BC6"/>
    <w:rsid w:val="00EA0563"/>
    <w:rsid w:val="00EA198F"/>
    <w:rsid w:val="00EA2EA1"/>
    <w:rsid w:val="00EA3CB9"/>
    <w:rsid w:val="00EA4C6D"/>
    <w:rsid w:val="00EA59EB"/>
    <w:rsid w:val="00EA67F3"/>
    <w:rsid w:val="00EB48F8"/>
    <w:rsid w:val="00ED0C60"/>
    <w:rsid w:val="00ED3D26"/>
    <w:rsid w:val="00ED5218"/>
    <w:rsid w:val="00EE1D9D"/>
    <w:rsid w:val="00EF0BCB"/>
    <w:rsid w:val="00EF0E74"/>
    <w:rsid w:val="00EF2549"/>
    <w:rsid w:val="00F00E8A"/>
    <w:rsid w:val="00F16242"/>
    <w:rsid w:val="00F17FCB"/>
    <w:rsid w:val="00F20047"/>
    <w:rsid w:val="00F226CC"/>
    <w:rsid w:val="00F2691E"/>
    <w:rsid w:val="00F279DD"/>
    <w:rsid w:val="00F3242E"/>
    <w:rsid w:val="00F33650"/>
    <w:rsid w:val="00F348F9"/>
    <w:rsid w:val="00F35C6D"/>
    <w:rsid w:val="00F37E4B"/>
    <w:rsid w:val="00F4144E"/>
    <w:rsid w:val="00F41B00"/>
    <w:rsid w:val="00F473CB"/>
    <w:rsid w:val="00F50245"/>
    <w:rsid w:val="00F63DDA"/>
    <w:rsid w:val="00F67029"/>
    <w:rsid w:val="00F70858"/>
    <w:rsid w:val="00F71BBC"/>
    <w:rsid w:val="00F7397F"/>
    <w:rsid w:val="00F75949"/>
    <w:rsid w:val="00F75CF4"/>
    <w:rsid w:val="00F772F9"/>
    <w:rsid w:val="00F866CD"/>
    <w:rsid w:val="00F941F0"/>
    <w:rsid w:val="00F96802"/>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21071"/>
  <w15:docId w15:val="{98C615CC-E1B4-46BA-971E-9C43949B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character" w:customStyle="1" w:styleId="UnresolvedMention20">
    <w:name w:val="Unresolved Mention2"/>
    <w:basedOn w:val="Policepardfaut"/>
    <w:uiPriority w:val="99"/>
    <w:semiHidden/>
    <w:unhideWhenUsed/>
    <w:rsid w:val="00741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FFB7-A34C-4DEE-AA66-A35FF28B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0</TotalTime>
  <Pages>2</Pages>
  <Words>889</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2021-05-10T14:14:00Z</dcterms:created>
  <dcterms:modified xsi:type="dcterms:W3CDTF">2021-05-10T14:14:00Z</dcterms:modified>
</cp:coreProperties>
</file>