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A04E" w14:textId="2F219EAA" w:rsidR="000A0709" w:rsidRPr="00A76668" w:rsidRDefault="009D1F5A" w:rsidP="00FF06DC">
      <w:pPr>
        <w:pageBreakBefore/>
        <w:bidi/>
        <w:jc w:val="center"/>
        <w:rPr>
          <w:b/>
          <w:bCs/>
          <w:sz w:val="28"/>
          <w:szCs w:val="28"/>
        </w:rPr>
      </w:pPr>
      <w:r w:rsidRPr="00A76668">
        <w:rPr>
          <w:b/>
          <w:bCs/>
          <w:sz w:val="28"/>
          <w:szCs w:val="28"/>
          <w:rtl/>
        </w:rPr>
        <w:t>اللمحة العامة والأسس المنطقية</w:t>
      </w:r>
      <w:r w:rsidRPr="00A76668">
        <w:rPr>
          <w:b/>
          <w:bCs/>
          <w:sz w:val="28"/>
          <w:szCs w:val="28"/>
        </w:rPr>
        <w:tab/>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9D1F5A" w:rsidRPr="00A76668" w14:paraId="70C22F01" w14:textId="77777777" w:rsidTr="009D1F5A">
        <w:trPr>
          <w:cantSplit/>
        </w:trPr>
        <w:tc>
          <w:tcPr>
            <w:tcW w:w="786" w:type="pct"/>
            <w:shd w:val="clear" w:color="auto" w:fill="auto"/>
          </w:tcPr>
          <w:p w14:paraId="1A83779A" w14:textId="3E225730" w:rsidR="009D1F5A" w:rsidRPr="00EE01B7" w:rsidRDefault="009D1F5A" w:rsidP="00FF06DC">
            <w:pPr>
              <w:bidi/>
              <w:spacing w:before="120"/>
              <w:jc w:val="both"/>
              <w:rPr>
                <w:b/>
                <w:sz w:val="24"/>
              </w:rPr>
            </w:pPr>
            <w:r w:rsidRPr="00EE01B7">
              <w:rPr>
                <w:b/>
                <w:bCs/>
                <w:sz w:val="24"/>
                <w:rtl/>
                <w:lang w:bidi="ar-EG"/>
              </w:rPr>
              <w:t>المؤشر</w:t>
            </w:r>
          </w:p>
        </w:tc>
        <w:tc>
          <w:tcPr>
            <w:tcW w:w="4214" w:type="pct"/>
            <w:gridSpan w:val="2"/>
            <w:shd w:val="clear" w:color="auto" w:fill="auto"/>
          </w:tcPr>
          <w:p w14:paraId="40900951" w14:textId="5FC90FF2" w:rsidR="009D1F5A" w:rsidRPr="00EE01B7" w:rsidRDefault="00A76668" w:rsidP="00FF06DC">
            <w:pPr>
              <w:pStyle w:val="ListParagraph"/>
              <w:keepLines/>
              <w:numPr>
                <w:ilvl w:val="0"/>
                <w:numId w:val="76"/>
              </w:numPr>
              <w:bidi/>
              <w:spacing w:before="120"/>
              <w:jc w:val="both"/>
              <w:rPr>
                <w:bCs/>
                <w:sz w:val="24"/>
                <w:szCs w:val="24"/>
              </w:rPr>
            </w:pPr>
            <w:r w:rsidRPr="00EE01B7">
              <w:rPr>
                <w:bCs/>
                <w:sz w:val="24"/>
                <w:szCs w:val="24"/>
                <w:rtl/>
              </w:rPr>
              <w:t xml:space="preserve">مدى احترام برامج </w:t>
            </w:r>
            <w:r w:rsidR="00DE2D12">
              <w:rPr>
                <w:rFonts w:hint="cs"/>
                <w:bCs/>
                <w:sz w:val="24"/>
                <w:szCs w:val="24"/>
                <w:rtl/>
              </w:rPr>
              <w:t xml:space="preserve">زيادة </w:t>
            </w:r>
            <w:proofErr w:type="gramStart"/>
            <w:r w:rsidR="00DE2D12">
              <w:rPr>
                <w:rFonts w:hint="cs"/>
                <w:bCs/>
                <w:sz w:val="24"/>
                <w:szCs w:val="24"/>
                <w:rtl/>
              </w:rPr>
              <w:t xml:space="preserve">الوعي </w:t>
            </w:r>
            <w:r w:rsidRPr="00EE01B7">
              <w:rPr>
                <w:bCs/>
                <w:sz w:val="24"/>
                <w:szCs w:val="24"/>
                <w:rtl/>
              </w:rPr>
              <w:t xml:space="preserve"> </w:t>
            </w:r>
            <w:proofErr w:type="spellStart"/>
            <w:r w:rsidRPr="00EE01B7">
              <w:rPr>
                <w:bCs/>
                <w:sz w:val="24"/>
                <w:szCs w:val="24"/>
                <w:rtl/>
              </w:rPr>
              <w:t>الوعي</w:t>
            </w:r>
            <w:proofErr w:type="spellEnd"/>
            <w:proofErr w:type="gramEnd"/>
            <w:r w:rsidRPr="00EE01B7">
              <w:rPr>
                <w:bCs/>
                <w:sz w:val="24"/>
                <w:szCs w:val="24"/>
                <w:rtl/>
              </w:rPr>
              <w:t xml:space="preserve"> بالتراث الثقافي غير المادي للمبادئ الأخلاقية ذات الصلة</w:t>
            </w:r>
          </w:p>
        </w:tc>
      </w:tr>
      <w:tr w:rsidR="009D1F5A" w:rsidRPr="00A76668" w14:paraId="4C3002B0" w14:textId="77777777" w:rsidTr="009D1F5A">
        <w:trPr>
          <w:cantSplit/>
        </w:trPr>
        <w:tc>
          <w:tcPr>
            <w:tcW w:w="786" w:type="pct"/>
            <w:vMerge w:val="restart"/>
            <w:shd w:val="clear" w:color="auto" w:fill="auto"/>
          </w:tcPr>
          <w:p w14:paraId="64923D9C" w14:textId="79F6E19F" w:rsidR="009D1F5A" w:rsidRPr="00EE01B7" w:rsidRDefault="009D1F5A" w:rsidP="00FF06DC">
            <w:pPr>
              <w:bidi/>
              <w:spacing w:before="120"/>
              <w:jc w:val="both"/>
              <w:rPr>
                <w:b/>
                <w:sz w:val="24"/>
              </w:rPr>
            </w:pPr>
            <w:r w:rsidRPr="00EE01B7">
              <w:rPr>
                <w:b/>
                <w:bCs/>
                <w:sz w:val="24"/>
                <w:rtl/>
              </w:rPr>
              <w:t>عوامل التقييم الشامل</w:t>
            </w:r>
          </w:p>
        </w:tc>
        <w:tc>
          <w:tcPr>
            <w:tcW w:w="4214" w:type="pct"/>
            <w:gridSpan w:val="2"/>
            <w:shd w:val="clear" w:color="auto" w:fill="auto"/>
          </w:tcPr>
          <w:p w14:paraId="59527A70" w14:textId="3F75A6EF" w:rsidR="009D1F5A" w:rsidRPr="00EE01B7" w:rsidRDefault="009D1F5A" w:rsidP="00FF06DC">
            <w:pPr>
              <w:keepLines/>
              <w:bidi/>
              <w:spacing w:before="120"/>
              <w:jc w:val="both"/>
              <w:rPr>
                <w:b/>
                <w:sz w:val="24"/>
              </w:rPr>
            </w:pPr>
            <w:r w:rsidRPr="00EE01B7">
              <w:rPr>
                <w:sz w:val="24"/>
                <w:rtl/>
              </w:rPr>
              <w:t>يتم تقييم هذا المؤشر على أساس عامل</w:t>
            </w:r>
            <w:r w:rsidRPr="00EE01B7">
              <w:rPr>
                <w:sz w:val="24"/>
                <w:rtl/>
                <w:lang w:bidi="ar-EG"/>
              </w:rPr>
              <w:t>ين</w:t>
            </w:r>
            <w:r w:rsidRPr="00EE01B7">
              <w:rPr>
                <w:sz w:val="24"/>
                <w:rtl/>
              </w:rPr>
              <w:t xml:space="preserve"> على الصعيد القطري ترصدها كل دولة طرف </w:t>
            </w:r>
            <w:r w:rsidR="00E7053F" w:rsidRPr="00EE01B7">
              <w:rPr>
                <w:rFonts w:hint="cs"/>
                <w:sz w:val="24"/>
                <w:rtl/>
              </w:rPr>
              <w:t>و</w:t>
            </w:r>
            <w:r w:rsidR="00A34400" w:rsidRPr="00EE01B7">
              <w:rPr>
                <w:rFonts w:hint="cs"/>
                <w:sz w:val="24"/>
                <w:rtl/>
              </w:rPr>
              <w:t>ت</w:t>
            </w:r>
            <w:r w:rsidR="00DE2D12">
              <w:rPr>
                <w:rFonts w:hint="cs"/>
                <w:sz w:val="24"/>
                <w:rtl/>
              </w:rPr>
              <w:t>عد التقرير</w:t>
            </w:r>
            <w:r w:rsidR="00A34400" w:rsidRPr="00EE01B7">
              <w:rPr>
                <w:rFonts w:hint="cs"/>
                <w:sz w:val="24"/>
                <w:rtl/>
              </w:rPr>
              <w:t xml:space="preserve"> عنها</w:t>
            </w:r>
            <w:r w:rsidRPr="00EE01B7">
              <w:rPr>
                <w:sz w:val="24"/>
                <w:rtl/>
              </w:rPr>
              <w:t>:</w:t>
            </w:r>
          </w:p>
        </w:tc>
      </w:tr>
      <w:tr w:rsidR="009D1F5A" w:rsidRPr="00A76668" w14:paraId="577CA7C2" w14:textId="77777777" w:rsidTr="009D1F5A">
        <w:trPr>
          <w:cantSplit/>
        </w:trPr>
        <w:tc>
          <w:tcPr>
            <w:tcW w:w="786" w:type="pct"/>
            <w:vMerge/>
            <w:shd w:val="clear" w:color="auto" w:fill="auto"/>
          </w:tcPr>
          <w:p w14:paraId="68E3F845" w14:textId="77777777" w:rsidR="009D1F5A" w:rsidRPr="00EE01B7" w:rsidRDefault="009D1F5A" w:rsidP="00FF06DC">
            <w:pPr>
              <w:bidi/>
              <w:spacing w:before="120"/>
              <w:jc w:val="both"/>
              <w:rPr>
                <w:b/>
                <w:sz w:val="24"/>
              </w:rPr>
            </w:pPr>
          </w:p>
        </w:tc>
        <w:tc>
          <w:tcPr>
            <w:tcW w:w="3418" w:type="pct"/>
            <w:shd w:val="clear" w:color="auto" w:fill="auto"/>
            <w:vAlign w:val="center"/>
          </w:tcPr>
          <w:p w14:paraId="5C2262A3" w14:textId="7B893849" w:rsidR="009D1F5A" w:rsidRPr="00EE01B7" w:rsidRDefault="0054610D" w:rsidP="00FF06DC">
            <w:pPr>
              <w:keepLines/>
              <w:bidi/>
              <w:spacing w:before="120"/>
              <w:jc w:val="both"/>
              <w:rPr>
                <w:sz w:val="24"/>
              </w:rPr>
            </w:pPr>
            <w:r w:rsidRPr="00EE01B7">
              <w:rPr>
                <w:sz w:val="24"/>
                <w:rtl/>
              </w:rPr>
              <w:t>20-1 احترام المبادئ الأخلاقية لصون التراث الثقافي غير المادي في أنشطة التوعية.</w:t>
            </w:r>
          </w:p>
        </w:tc>
        <w:tc>
          <w:tcPr>
            <w:tcW w:w="796" w:type="pct"/>
            <w:shd w:val="clear" w:color="auto" w:fill="auto"/>
            <w:vAlign w:val="center"/>
          </w:tcPr>
          <w:p w14:paraId="2E2EE10E" w14:textId="1F91E782" w:rsidR="009D1F5A" w:rsidRPr="00EE01B7" w:rsidRDefault="0065692F" w:rsidP="00FF06DC">
            <w:pPr>
              <w:keepLines/>
              <w:bidi/>
              <w:spacing w:before="120"/>
              <w:jc w:val="both"/>
              <w:rPr>
                <w:sz w:val="24"/>
              </w:rPr>
            </w:pPr>
            <w:proofErr w:type="gramStart"/>
            <w:r w:rsidRPr="00EE01B7">
              <w:rPr>
                <w:rFonts w:hint="cs"/>
                <w:sz w:val="24"/>
                <w:rtl/>
              </w:rPr>
              <w:t>المب</w:t>
            </w:r>
            <w:r w:rsidR="00DB4D9F">
              <w:rPr>
                <w:rFonts w:hint="cs"/>
                <w:sz w:val="24"/>
                <w:rtl/>
              </w:rPr>
              <w:t>ا</w:t>
            </w:r>
            <w:r w:rsidRPr="00EE01B7">
              <w:rPr>
                <w:rFonts w:hint="cs"/>
                <w:sz w:val="24"/>
                <w:rtl/>
              </w:rPr>
              <w:t>د</w:t>
            </w:r>
            <w:r w:rsidR="00DE2D12">
              <w:rPr>
                <w:rFonts w:hint="cs"/>
                <w:sz w:val="24"/>
                <w:rtl/>
              </w:rPr>
              <w:t xml:space="preserve">ئ </w:t>
            </w:r>
            <w:r w:rsidRPr="00EE01B7">
              <w:rPr>
                <w:rFonts w:hint="cs"/>
                <w:sz w:val="24"/>
                <w:rtl/>
              </w:rPr>
              <w:t xml:space="preserve"> الأخلاقي</w:t>
            </w:r>
            <w:r w:rsidR="00DE2D12">
              <w:rPr>
                <w:rFonts w:hint="cs"/>
                <w:sz w:val="24"/>
                <w:rtl/>
              </w:rPr>
              <w:t>ة</w:t>
            </w:r>
            <w:proofErr w:type="gramEnd"/>
          </w:p>
        </w:tc>
      </w:tr>
      <w:tr w:rsidR="009D1F5A" w:rsidRPr="00A76668" w14:paraId="118C96F8" w14:textId="77777777" w:rsidTr="009D1F5A">
        <w:trPr>
          <w:cantSplit/>
        </w:trPr>
        <w:tc>
          <w:tcPr>
            <w:tcW w:w="786" w:type="pct"/>
            <w:vMerge/>
            <w:shd w:val="clear" w:color="auto" w:fill="auto"/>
          </w:tcPr>
          <w:p w14:paraId="643C96DD" w14:textId="77777777" w:rsidR="009D1F5A" w:rsidRPr="00EE01B7" w:rsidRDefault="009D1F5A" w:rsidP="00FF06DC">
            <w:pPr>
              <w:bidi/>
              <w:spacing w:before="120"/>
              <w:jc w:val="both"/>
              <w:rPr>
                <w:b/>
                <w:sz w:val="24"/>
              </w:rPr>
            </w:pPr>
          </w:p>
        </w:tc>
        <w:tc>
          <w:tcPr>
            <w:tcW w:w="3418" w:type="pct"/>
            <w:shd w:val="clear" w:color="auto" w:fill="auto"/>
            <w:vAlign w:val="center"/>
          </w:tcPr>
          <w:p w14:paraId="037490E1" w14:textId="09544209" w:rsidR="009D1F5A" w:rsidRPr="00EE01B7" w:rsidRDefault="0054610D" w:rsidP="00FF06DC">
            <w:pPr>
              <w:keepLines/>
              <w:bidi/>
              <w:spacing w:before="120"/>
              <w:jc w:val="both"/>
              <w:rPr>
                <w:sz w:val="24"/>
              </w:rPr>
            </w:pPr>
            <w:r w:rsidRPr="00EE01B7">
              <w:rPr>
                <w:sz w:val="24"/>
                <w:rtl/>
              </w:rPr>
              <w:t>20-2 احترام أنشطة التوعية للمبادئ الأخلاقية، وخاصة المبادئ الواردة في القوانين أو المعايير المهنية ذات الصلة.</w:t>
            </w:r>
          </w:p>
        </w:tc>
        <w:tc>
          <w:tcPr>
            <w:tcW w:w="796" w:type="pct"/>
            <w:shd w:val="clear" w:color="auto" w:fill="auto"/>
            <w:vAlign w:val="center"/>
          </w:tcPr>
          <w:p w14:paraId="29E6AD21" w14:textId="2F302504" w:rsidR="009D1F5A" w:rsidRPr="00EE01B7" w:rsidRDefault="00C038EF" w:rsidP="00FF06DC">
            <w:pPr>
              <w:bidi/>
              <w:spacing w:before="60" w:after="60"/>
              <w:jc w:val="both"/>
              <w:rPr>
                <w:sz w:val="24"/>
              </w:rPr>
            </w:pPr>
            <w:r w:rsidRPr="00EE01B7">
              <w:rPr>
                <w:sz w:val="24"/>
                <w:rtl/>
              </w:rPr>
              <w:t xml:space="preserve">التوجيه </w:t>
            </w:r>
            <w:r w:rsidR="0065692F" w:rsidRPr="00EE01B7">
              <w:rPr>
                <w:sz w:val="24"/>
                <w:rtl/>
              </w:rPr>
              <w:t xml:space="preserve">التنفيذي </w:t>
            </w:r>
            <w:r w:rsidRPr="00EE01B7">
              <w:rPr>
                <w:sz w:val="24"/>
                <w:rtl/>
              </w:rPr>
              <w:t>103</w:t>
            </w:r>
            <w:r w:rsidR="009D1F5A" w:rsidRPr="00EE01B7">
              <w:rPr>
                <w:sz w:val="24"/>
              </w:rPr>
              <w:t xml:space="preserve"> </w:t>
            </w:r>
          </w:p>
        </w:tc>
      </w:tr>
      <w:tr w:rsidR="009D1F5A" w:rsidRPr="00A76668" w14:paraId="24BC8884" w14:textId="77777777" w:rsidTr="009D1F5A">
        <w:trPr>
          <w:cantSplit/>
        </w:trPr>
        <w:tc>
          <w:tcPr>
            <w:tcW w:w="786" w:type="pct"/>
            <w:shd w:val="clear" w:color="auto" w:fill="auto"/>
          </w:tcPr>
          <w:p w14:paraId="5988629D" w14:textId="752571E7" w:rsidR="009D1F5A" w:rsidRPr="00EE01B7" w:rsidRDefault="00B20BF6" w:rsidP="00FF06DC">
            <w:pPr>
              <w:bidi/>
              <w:spacing w:before="120"/>
              <w:jc w:val="both"/>
              <w:rPr>
                <w:b/>
                <w:sz w:val="24"/>
              </w:rPr>
            </w:pPr>
            <w:r w:rsidRPr="00EE01B7">
              <w:rPr>
                <w:b/>
                <w:bCs/>
                <w:sz w:val="24"/>
                <w:rtl/>
              </w:rPr>
              <w:t>العلاقة مع أهداف التنمية المستدامة والمؤشرات الأخرى</w:t>
            </w:r>
          </w:p>
        </w:tc>
        <w:tc>
          <w:tcPr>
            <w:tcW w:w="4214" w:type="pct"/>
            <w:gridSpan w:val="2"/>
            <w:shd w:val="clear" w:color="auto" w:fill="auto"/>
          </w:tcPr>
          <w:p w14:paraId="603BF58D" w14:textId="7101AA4E" w:rsidR="009D1F5A" w:rsidRPr="00EE01B7" w:rsidRDefault="00186316" w:rsidP="00FF06DC">
            <w:pPr>
              <w:keepLines/>
              <w:bidi/>
              <w:spacing w:before="120"/>
              <w:jc w:val="both"/>
              <w:rPr>
                <w:sz w:val="24"/>
              </w:rPr>
            </w:pPr>
            <w:r w:rsidRPr="00EE01B7">
              <w:rPr>
                <w:b/>
                <w:bCs/>
                <w:sz w:val="24"/>
                <w:rtl/>
              </w:rPr>
              <w:t xml:space="preserve">أهداف التنمية المستدامة: </w:t>
            </w:r>
            <w:r w:rsidRPr="00EE01B7">
              <w:rPr>
                <w:sz w:val="24"/>
                <w:rtl/>
              </w:rPr>
              <w:t>كجميع المؤشرات، يدعم المؤشر الحالي الغاية 11-4 من أهداف التنمية المستدامة، "تعزيز الجهود الرامية إلى حماية وصون التراث الثقافي والطبيعي العالمي".</w:t>
            </w:r>
          </w:p>
          <w:p w14:paraId="77481E3A" w14:textId="3EC2D915" w:rsidR="009D1F5A" w:rsidRPr="00EE01B7" w:rsidRDefault="00D87CB1" w:rsidP="00FF06DC">
            <w:pPr>
              <w:keepLines/>
              <w:bidi/>
              <w:spacing w:before="120"/>
              <w:jc w:val="both"/>
              <w:rPr>
                <w:b/>
                <w:sz w:val="24"/>
              </w:rPr>
            </w:pPr>
            <w:r w:rsidRPr="00EE01B7">
              <w:rPr>
                <w:bCs/>
                <w:sz w:val="24"/>
                <w:rtl/>
              </w:rPr>
              <w:t>العلاقة بالمؤشرات الأخرى:</w:t>
            </w:r>
            <w:r w:rsidRPr="00EE01B7">
              <w:rPr>
                <w:b/>
                <w:sz w:val="24"/>
                <w:rtl/>
              </w:rPr>
              <w:t xml:space="preserve"> ينصب تركيز المؤشر الحالي على الطريقة التي يتم بها تنفيذ البرامج التوعوية، وعلى وجه التحديد ما إذا كانت تنفذ بطريقة أخلاقية. وبذلك، </w:t>
            </w:r>
            <w:r w:rsidR="00E52664" w:rsidRPr="00EE01B7">
              <w:rPr>
                <w:rFonts w:hint="cs"/>
                <w:b/>
                <w:sz w:val="24"/>
                <w:rtl/>
              </w:rPr>
              <w:t>ي</w:t>
            </w:r>
            <w:r w:rsidRPr="00EE01B7">
              <w:rPr>
                <w:b/>
                <w:sz w:val="24"/>
                <w:rtl/>
              </w:rPr>
              <w:t xml:space="preserve">كمل مجموعة المؤشرات الأربعة المعنية بالتوعية (17 - 20). ويبحث المؤشر 17 في </w:t>
            </w:r>
            <w:r w:rsidR="00093ED7" w:rsidRPr="00EE01B7">
              <w:rPr>
                <w:rFonts w:hint="cs"/>
                <w:b/>
                <w:sz w:val="24"/>
                <w:rtl/>
              </w:rPr>
              <w:t xml:space="preserve">أوسع </w:t>
            </w:r>
            <w:r w:rsidRPr="00EE01B7">
              <w:rPr>
                <w:b/>
                <w:sz w:val="24"/>
                <w:rtl/>
              </w:rPr>
              <w:t xml:space="preserve">مشاركة </w:t>
            </w:r>
            <w:r w:rsidR="00093ED7" w:rsidRPr="00EE01B7">
              <w:rPr>
                <w:rFonts w:hint="cs"/>
                <w:b/>
                <w:sz w:val="24"/>
                <w:rtl/>
              </w:rPr>
              <w:t>من جانب ا</w:t>
            </w:r>
            <w:r w:rsidRPr="00EE01B7">
              <w:rPr>
                <w:b/>
                <w:sz w:val="24"/>
                <w:rtl/>
              </w:rPr>
              <w:t xml:space="preserve">لجماعات والمجموعات والأفراد، بينما ينصب تركيز المؤشر 18 على دور وسائل الإعلام، ويتناول المؤشر 19 المحتوى </w:t>
            </w:r>
            <w:r w:rsidR="00E7053F" w:rsidRPr="00EE01B7">
              <w:rPr>
                <w:rFonts w:hint="cs"/>
                <w:b/>
                <w:sz w:val="24"/>
                <w:rtl/>
              </w:rPr>
              <w:t>والأثر</w:t>
            </w:r>
            <w:r w:rsidRPr="00EE01B7">
              <w:rPr>
                <w:b/>
                <w:sz w:val="24"/>
                <w:rtl/>
              </w:rPr>
              <w:t xml:space="preserve">. كما تعد المبادئ الأخلاقية لصون التراث الثقافي غير المادي ذات صلة بالمؤشر 9، نظرًا للتركيز على البحث والتوثيق؛ وبالمؤشر 13 في سياق </w:t>
            </w:r>
            <w:r w:rsidR="0009504D" w:rsidRPr="00EE01B7">
              <w:rPr>
                <w:rFonts w:hint="cs"/>
                <w:b/>
                <w:sz w:val="24"/>
                <w:rtl/>
              </w:rPr>
              <w:t>ال</w:t>
            </w:r>
            <w:r w:rsidRPr="00EE01B7">
              <w:rPr>
                <w:b/>
                <w:sz w:val="24"/>
                <w:rtl/>
              </w:rPr>
              <w:t>خطط و</w:t>
            </w:r>
            <w:r w:rsidR="0009504D" w:rsidRPr="00EE01B7">
              <w:rPr>
                <w:rFonts w:hint="cs"/>
                <w:b/>
                <w:sz w:val="24"/>
                <w:rtl/>
              </w:rPr>
              <w:t>ال</w:t>
            </w:r>
            <w:r w:rsidRPr="00EE01B7">
              <w:rPr>
                <w:b/>
                <w:sz w:val="24"/>
                <w:rtl/>
              </w:rPr>
              <w:t>سياسات و</w:t>
            </w:r>
            <w:r w:rsidR="0009504D" w:rsidRPr="00EE01B7">
              <w:rPr>
                <w:rFonts w:hint="cs"/>
                <w:b/>
                <w:sz w:val="24"/>
                <w:rtl/>
              </w:rPr>
              <w:t>ال</w:t>
            </w:r>
            <w:r w:rsidRPr="00EE01B7">
              <w:rPr>
                <w:b/>
                <w:sz w:val="24"/>
                <w:rtl/>
              </w:rPr>
              <w:t>برامج التنم</w:t>
            </w:r>
            <w:r w:rsidR="0009504D" w:rsidRPr="00EE01B7">
              <w:rPr>
                <w:rFonts w:hint="cs"/>
                <w:b/>
                <w:sz w:val="24"/>
                <w:rtl/>
              </w:rPr>
              <w:t>و</w:t>
            </w:r>
            <w:r w:rsidRPr="00EE01B7">
              <w:rPr>
                <w:b/>
                <w:sz w:val="24"/>
                <w:rtl/>
              </w:rPr>
              <w:t>ية؛ وبالمؤشر 21 فيما يتعلق بجهود الصون في القطاع الخاص.</w:t>
            </w:r>
          </w:p>
        </w:tc>
      </w:tr>
      <w:tr w:rsidR="009D1F5A" w:rsidRPr="00A76668" w14:paraId="2D8FFBF4" w14:textId="77777777" w:rsidTr="009D1F5A">
        <w:trPr>
          <w:cantSplit/>
        </w:trPr>
        <w:tc>
          <w:tcPr>
            <w:tcW w:w="786" w:type="pct"/>
            <w:shd w:val="clear" w:color="auto" w:fill="auto"/>
          </w:tcPr>
          <w:p w14:paraId="6FCDE3BA" w14:textId="06B0E7AE" w:rsidR="009D1F5A" w:rsidRPr="00EE01B7" w:rsidRDefault="00B20BF6" w:rsidP="00FF06DC">
            <w:pPr>
              <w:bidi/>
              <w:spacing w:before="120"/>
              <w:jc w:val="both"/>
              <w:rPr>
                <w:b/>
                <w:sz w:val="24"/>
              </w:rPr>
            </w:pPr>
            <w:r w:rsidRPr="00EE01B7">
              <w:rPr>
                <w:b/>
                <w:bCs/>
                <w:sz w:val="24"/>
                <w:rtl/>
              </w:rPr>
              <w:t xml:space="preserve">الأسس المنطقية </w:t>
            </w:r>
            <w:r w:rsidR="00A4678E" w:rsidRPr="00EE01B7">
              <w:rPr>
                <w:rFonts w:hint="cs"/>
                <w:b/>
                <w:bCs/>
                <w:sz w:val="24"/>
                <w:rtl/>
              </w:rPr>
              <w:t>للإجراءات</w:t>
            </w:r>
          </w:p>
        </w:tc>
        <w:tc>
          <w:tcPr>
            <w:tcW w:w="4214" w:type="pct"/>
            <w:gridSpan w:val="2"/>
            <w:shd w:val="clear" w:color="auto" w:fill="auto"/>
          </w:tcPr>
          <w:p w14:paraId="48A6441E" w14:textId="01F03B1D" w:rsidR="009D1F5A" w:rsidRPr="00EE01B7" w:rsidRDefault="00657A64" w:rsidP="00FF06DC">
            <w:pPr>
              <w:keepLines/>
              <w:bidi/>
              <w:spacing w:before="120"/>
              <w:jc w:val="both"/>
              <w:rPr>
                <w:sz w:val="24"/>
              </w:rPr>
            </w:pPr>
            <w:r w:rsidRPr="00EE01B7">
              <w:rPr>
                <w:sz w:val="24"/>
                <w:rtl/>
              </w:rPr>
              <w:t xml:space="preserve">بموجب المادة 1(ج)، تعد أحد </w:t>
            </w:r>
            <w:r w:rsidR="00E7053F" w:rsidRPr="00EE01B7">
              <w:rPr>
                <w:rFonts w:hint="cs"/>
                <w:sz w:val="24"/>
                <w:rtl/>
              </w:rPr>
              <w:t>الأهداف</w:t>
            </w:r>
            <w:r w:rsidRPr="00EE01B7">
              <w:rPr>
                <w:sz w:val="24"/>
                <w:rtl/>
              </w:rPr>
              <w:t xml:space="preserve"> الأربعة للاتفاقية "التوعية على الصعيد المحلي والوطني والدولي بأهمية التراث الثقافي غير المادي وأهمية التقدير المتبادل لهذا التراث". تحدد المبادئ الأخلاقية لصون التراث الثقافي غير المادي عددًا من القيم الأساسية التي عليها توجيه جميع جهود الصون، بما في ذلك البرامج التوعوية. تُستكمل هذه المبادئ بالقواعد أو المعايير الأخلاقية ذات الصلة التي وضعتها المنظمات والجمعيات المهنية التي </w:t>
            </w:r>
            <w:r w:rsidR="00E7053F" w:rsidRPr="00EE01B7">
              <w:rPr>
                <w:rFonts w:hint="cs"/>
                <w:sz w:val="24"/>
                <w:rtl/>
              </w:rPr>
              <w:t>يشارك</w:t>
            </w:r>
            <w:r w:rsidRPr="00EE01B7">
              <w:rPr>
                <w:sz w:val="24"/>
                <w:rtl/>
              </w:rPr>
              <w:t xml:space="preserve"> أعضاؤها في التوعية، مثل الصحفيين وغيرهم من العاملين في مجال الإعلام أ</w:t>
            </w:r>
            <w:r w:rsidR="00693CC8" w:rsidRPr="00EE01B7">
              <w:rPr>
                <w:rFonts w:hint="cs"/>
                <w:sz w:val="24"/>
                <w:rtl/>
              </w:rPr>
              <w:t>و المهنين</w:t>
            </w:r>
            <w:r w:rsidRPr="00EE01B7">
              <w:rPr>
                <w:sz w:val="24"/>
                <w:rtl/>
              </w:rPr>
              <w:t xml:space="preserve"> </w:t>
            </w:r>
            <w:r w:rsidR="00693CC8" w:rsidRPr="00EE01B7">
              <w:rPr>
                <w:rFonts w:hint="cs"/>
                <w:sz w:val="24"/>
                <w:rtl/>
              </w:rPr>
              <w:t>ب</w:t>
            </w:r>
            <w:r w:rsidRPr="00EE01B7">
              <w:rPr>
                <w:sz w:val="24"/>
                <w:rtl/>
              </w:rPr>
              <w:t>المتاحف.</w:t>
            </w:r>
          </w:p>
        </w:tc>
      </w:tr>
      <w:tr w:rsidR="009D1F5A" w:rsidRPr="00A76668" w14:paraId="00783D24" w14:textId="77777777" w:rsidTr="009D1F5A">
        <w:trPr>
          <w:cantSplit/>
        </w:trPr>
        <w:tc>
          <w:tcPr>
            <w:tcW w:w="786" w:type="pct"/>
            <w:shd w:val="clear" w:color="auto" w:fill="auto"/>
          </w:tcPr>
          <w:p w14:paraId="56737738" w14:textId="77777777" w:rsidR="00B20BF6" w:rsidRPr="00EE01B7" w:rsidRDefault="00B20BF6" w:rsidP="00FF06DC">
            <w:pPr>
              <w:bidi/>
              <w:spacing w:before="120" w:after="60"/>
              <w:jc w:val="both"/>
              <w:rPr>
                <w:b/>
                <w:sz w:val="24"/>
              </w:rPr>
            </w:pPr>
            <w:r w:rsidRPr="00EE01B7">
              <w:rPr>
                <w:b/>
                <w:bCs/>
                <w:sz w:val="24"/>
                <w:rtl/>
              </w:rPr>
              <w:t>المصطلحات الرئيسية</w:t>
            </w:r>
          </w:p>
          <w:p w14:paraId="29724D58" w14:textId="47D877A9" w:rsidR="009D1F5A" w:rsidRPr="00EE01B7" w:rsidRDefault="009D1F5A" w:rsidP="00FF06DC">
            <w:pPr>
              <w:bidi/>
              <w:spacing w:before="120" w:after="60"/>
              <w:jc w:val="both"/>
              <w:rPr>
                <w:b/>
                <w:sz w:val="24"/>
              </w:rPr>
            </w:pPr>
          </w:p>
        </w:tc>
        <w:tc>
          <w:tcPr>
            <w:tcW w:w="4214" w:type="pct"/>
            <w:gridSpan w:val="2"/>
            <w:shd w:val="clear" w:color="auto" w:fill="auto"/>
          </w:tcPr>
          <w:p w14:paraId="65E37E28" w14:textId="17B4B34B" w:rsidR="00AE7A64" w:rsidRPr="00EE01B7" w:rsidRDefault="00794F0B" w:rsidP="00FF06DC">
            <w:pPr>
              <w:pStyle w:val="ListParagraph"/>
              <w:numPr>
                <w:ilvl w:val="0"/>
                <w:numId w:val="71"/>
              </w:numPr>
              <w:bidi/>
              <w:spacing w:before="120"/>
              <w:jc w:val="both"/>
              <w:rPr>
                <w:rFonts w:ascii="Times New Roman" w:hAnsi="Times New Roman"/>
                <w:sz w:val="24"/>
                <w:szCs w:val="24"/>
                <w:lang w:val="en-GB"/>
              </w:rPr>
            </w:pPr>
            <w:r w:rsidRPr="00EE01B7">
              <w:rPr>
                <w:rFonts w:ascii="Times New Roman" w:hAnsi="Times New Roman" w:hint="cs"/>
                <w:sz w:val="24"/>
                <w:szCs w:val="24"/>
                <w:rtl/>
                <w:lang w:val="en-GB"/>
              </w:rPr>
              <w:t>ال</w:t>
            </w:r>
            <w:r w:rsidR="00E7053F" w:rsidRPr="00EE01B7">
              <w:rPr>
                <w:rFonts w:ascii="Times New Roman" w:hAnsi="Times New Roman"/>
                <w:sz w:val="24"/>
                <w:szCs w:val="24"/>
                <w:rtl/>
                <w:lang w:val="en-GB"/>
              </w:rPr>
              <w:t xml:space="preserve">مبادئ </w:t>
            </w:r>
            <w:r w:rsidRPr="00EE01B7">
              <w:rPr>
                <w:rFonts w:ascii="Times New Roman" w:hAnsi="Times New Roman" w:hint="cs"/>
                <w:sz w:val="24"/>
                <w:szCs w:val="24"/>
                <w:rtl/>
                <w:lang w:val="en-GB"/>
              </w:rPr>
              <w:t>ال</w:t>
            </w:r>
            <w:r w:rsidR="00AE7A64" w:rsidRPr="00EE01B7">
              <w:rPr>
                <w:rFonts w:ascii="Times New Roman" w:hAnsi="Times New Roman"/>
                <w:sz w:val="24"/>
                <w:szCs w:val="24"/>
                <w:rtl/>
                <w:lang w:val="en-GB"/>
              </w:rPr>
              <w:t>أخلاقية لصون التراث الثقافي غير المادي</w:t>
            </w:r>
          </w:p>
          <w:p w14:paraId="3146B41B" w14:textId="1EBCCB42" w:rsidR="009D1F5A" w:rsidRPr="00EE01B7" w:rsidRDefault="00A4678E" w:rsidP="00FF06DC">
            <w:pPr>
              <w:pStyle w:val="ListParagraph"/>
              <w:numPr>
                <w:ilvl w:val="0"/>
                <w:numId w:val="71"/>
              </w:numPr>
              <w:bidi/>
              <w:spacing w:before="120" w:after="120"/>
              <w:jc w:val="both"/>
              <w:rPr>
                <w:rFonts w:ascii="Times New Roman" w:hAnsi="Times New Roman"/>
                <w:sz w:val="24"/>
                <w:szCs w:val="24"/>
                <w:lang w:val="en-GB"/>
              </w:rPr>
            </w:pPr>
            <w:r w:rsidRPr="00EE01B7">
              <w:rPr>
                <w:rFonts w:ascii="Times New Roman" w:hAnsi="Times New Roman" w:hint="cs"/>
                <w:sz w:val="24"/>
                <w:szCs w:val="24"/>
                <w:rtl/>
                <w:lang w:val="en-GB"/>
              </w:rPr>
              <w:t>ال</w:t>
            </w:r>
            <w:r w:rsidR="00E7053F" w:rsidRPr="00EE01B7">
              <w:rPr>
                <w:rFonts w:ascii="Times New Roman" w:hAnsi="Times New Roman"/>
                <w:sz w:val="24"/>
                <w:szCs w:val="24"/>
                <w:rtl/>
                <w:lang w:val="en-GB"/>
              </w:rPr>
              <w:t xml:space="preserve">قواعد أو </w:t>
            </w:r>
            <w:r w:rsidRPr="00EE01B7">
              <w:rPr>
                <w:rFonts w:ascii="Times New Roman" w:hAnsi="Times New Roman" w:hint="cs"/>
                <w:sz w:val="24"/>
                <w:szCs w:val="24"/>
                <w:rtl/>
                <w:lang w:val="en-GB"/>
              </w:rPr>
              <w:t>ال</w:t>
            </w:r>
            <w:r w:rsidR="00E7053F" w:rsidRPr="00EE01B7">
              <w:rPr>
                <w:rFonts w:ascii="Times New Roman" w:hAnsi="Times New Roman"/>
                <w:sz w:val="24"/>
                <w:szCs w:val="24"/>
                <w:rtl/>
                <w:lang w:val="en-GB"/>
              </w:rPr>
              <w:t xml:space="preserve">معايير </w:t>
            </w:r>
            <w:r w:rsidRPr="00EE01B7">
              <w:rPr>
                <w:rFonts w:ascii="Times New Roman" w:hAnsi="Times New Roman" w:hint="cs"/>
                <w:sz w:val="24"/>
                <w:szCs w:val="24"/>
                <w:rtl/>
                <w:lang w:val="en-GB"/>
              </w:rPr>
              <w:t>ال</w:t>
            </w:r>
            <w:r w:rsidR="00AE7A64" w:rsidRPr="00EE01B7">
              <w:rPr>
                <w:rFonts w:ascii="Times New Roman" w:hAnsi="Times New Roman"/>
                <w:sz w:val="24"/>
                <w:szCs w:val="24"/>
                <w:rtl/>
                <w:lang w:val="en-GB"/>
              </w:rPr>
              <w:t>مهنية</w:t>
            </w:r>
          </w:p>
        </w:tc>
      </w:tr>
    </w:tbl>
    <w:p w14:paraId="1FCE2C94" w14:textId="77777777" w:rsidR="0054175C" w:rsidRPr="00A76668" w:rsidRDefault="0054175C" w:rsidP="00FF06DC">
      <w:pPr>
        <w:bidi/>
        <w:jc w:val="center"/>
        <w:rPr>
          <w:b/>
          <w:sz w:val="24"/>
        </w:rPr>
        <w:sectPr w:rsidR="0054175C" w:rsidRPr="00A76668" w:rsidSect="000F25BA">
          <w:footerReference w:type="default" r:id="rId8"/>
          <w:pgSz w:w="11906" w:h="16838" w:code="9"/>
          <w:pgMar w:top="1418" w:right="1134" w:bottom="1134" w:left="1134" w:header="397" w:footer="284" w:gutter="0"/>
          <w:cols w:space="708"/>
          <w:docGrid w:linePitch="360"/>
        </w:sectPr>
      </w:pPr>
    </w:p>
    <w:p w14:paraId="4390DA78" w14:textId="17DF9364" w:rsidR="0054175C" w:rsidRPr="00A76668" w:rsidRDefault="00B20BF6" w:rsidP="00FF06DC">
      <w:pPr>
        <w:bidi/>
        <w:jc w:val="center"/>
        <w:rPr>
          <w:bCs/>
          <w:sz w:val="24"/>
        </w:rPr>
      </w:pPr>
      <w:r w:rsidRPr="00A76668">
        <w:rPr>
          <w:b/>
          <w:sz w:val="24"/>
        </w:rPr>
        <w:tab/>
      </w:r>
      <w:r w:rsidRPr="00DE349E">
        <w:rPr>
          <w:bCs/>
          <w:sz w:val="28"/>
          <w:szCs w:val="28"/>
          <w:rtl/>
        </w:rPr>
        <w:t xml:space="preserve">التوجيهات المحددة بشأن الرصد </w:t>
      </w:r>
      <w:r w:rsidR="00CA737F" w:rsidRPr="00DE349E">
        <w:rPr>
          <w:rFonts w:hint="cs"/>
          <w:bCs/>
          <w:sz w:val="28"/>
          <w:szCs w:val="28"/>
          <w:rtl/>
        </w:rPr>
        <w:t>وال</w:t>
      </w:r>
      <w:r w:rsidR="004D618C">
        <w:rPr>
          <w:rFonts w:hint="cs"/>
          <w:bCs/>
          <w:sz w:val="28"/>
          <w:szCs w:val="28"/>
          <w:rtl/>
        </w:rPr>
        <w:t>تقرير</w:t>
      </w:r>
      <w:r w:rsidRPr="00DE349E">
        <w:rPr>
          <w:bCs/>
          <w:sz w:val="28"/>
          <w:szCs w:val="28"/>
          <w:rtl/>
        </w:rPr>
        <w:t xml:space="preserve"> الدوري</w:t>
      </w:r>
      <w:r w:rsidRPr="00A76668">
        <w:rPr>
          <w:b/>
          <w:sz w:val="24"/>
        </w:rPr>
        <w:tab/>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A76668" w14:paraId="3C265476" w14:textId="77777777" w:rsidTr="00891849">
        <w:tc>
          <w:tcPr>
            <w:tcW w:w="730" w:type="pct"/>
            <w:shd w:val="clear" w:color="auto" w:fill="auto"/>
          </w:tcPr>
          <w:p w14:paraId="271A157C" w14:textId="115DC131" w:rsidR="002C28BA" w:rsidRPr="00A76668" w:rsidRDefault="00891849" w:rsidP="00FF06DC">
            <w:pPr>
              <w:bidi/>
              <w:spacing w:before="120"/>
              <w:rPr>
                <w:b/>
                <w:sz w:val="24"/>
              </w:rPr>
            </w:pPr>
            <w:r w:rsidRPr="00A76668">
              <w:rPr>
                <w:b/>
                <w:bCs/>
                <w:sz w:val="24"/>
                <w:rtl/>
              </w:rPr>
              <w:t>فوائد الرصد</w:t>
            </w:r>
          </w:p>
        </w:tc>
        <w:tc>
          <w:tcPr>
            <w:tcW w:w="4270" w:type="pct"/>
            <w:shd w:val="clear" w:color="auto" w:fill="auto"/>
          </w:tcPr>
          <w:p w14:paraId="2EB6F6C9" w14:textId="29E11161" w:rsidR="002C28BA" w:rsidRPr="00A76668" w:rsidRDefault="002668A9" w:rsidP="00FF06DC">
            <w:pPr>
              <w:keepLines/>
              <w:bidi/>
              <w:spacing w:before="120"/>
              <w:jc w:val="both"/>
              <w:rPr>
                <w:b/>
                <w:sz w:val="24"/>
              </w:rPr>
            </w:pPr>
            <w:r w:rsidRPr="00A76668">
              <w:rPr>
                <w:b/>
                <w:sz w:val="24"/>
                <w:rtl/>
              </w:rPr>
              <w:t xml:space="preserve">تعتبر المبادئ الأخلاقية لصون التراث الثقافي غير المادي وغيرها من القواعد والمعايير الأخلاقية المهنية مهمة بشكل أساسي، نظرًا لأن الأنشطة أو السلوكيات غير الأخلاقية قد يكون لها عواقب سلبية على التراث الثقافي غير المادي نفسه والجماعات أو المجموعات أو الأفراد المعنيين. </w:t>
            </w:r>
            <w:r w:rsidR="0051054A">
              <w:rPr>
                <w:rFonts w:hint="cs"/>
                <w:b/>
                <w:sz w:val="24"/>
                <w:rtl/>
              </w:rPr>
              <w:t>ويمكن</w:t>
            </w:r>
            <w:r w:rsidRPr="00A76668">
              <w:rPr>
                <w:b/>
                <w:sz w:val="24"/>
                <w:rtl/>
              </w:rPr>
              <w:t xml:space="preserve"> </w:t>
            </w:r>
            <w:r w:rsidR="00086ACE">
              <w:rPr>
                <w:rFonts w:hint="cs"/>
                <w:b/>
                <w:sz w:val="24"/>
                <w:rtl/>
              </w:rPr>
              <w:t xml:space="preserve">أن </w:t>
            </w:r>
            <w:r w:rsidRPr="00A76668">
              <w:rPr>
                <w:b/>
                <w:sz w:val="24"/>
                <w:rtl/>
              </w:rPr>
              <w:t xml:space="preserve">يساعد الرصد في تقييم مدى احترام هذه المبادئ الأخلاقية أو تنبيه الدولة إلى الحاجة إلى اتخاذ إجراءات علاجية </w:t>
            </w:r>
            <w:r w:rsidR="00086ACE">
              <w:rPr>
                <w:rFonts w:hint="cs"/>
                <w:b/>
                <w:sz w:val="24"/>
                <w:rtl/>
              </w:rPr>
              <w:t xml:space="preserve">لدعم </w:t>
            </w:r>
            <w:r w:rsidRPr="00A76668">
              <w:rPr>
                <w:b/>
                <w:sz w:val="24"/>
                <w:rtl/>
              </w:rPr>
              <w:t xml:space="preserve">تلك المبادئ الأخلاقية وتعزيزها. وعلى الصعيد العالمي، </w:t>
            </w:r>
            <w:r w:rsidR="0077357D">
              <w:rPr>
                <w:rFonts w:hint="cs"/>
                <w:b/>
                <w:sz w:val="24"/>
                <w:rtl/>
              </w:rPr>
              <w:t>يمكن أن</w:t>
            </w:r>
            <w:r w:rsidRPr="00A76668">
              <w:rPr>
                <w:b/>
                <w:sz w:val="24"/>
                <w:rtl/>
              </w:rPr>
              <w:t xml:space="preserve"> يحدد الرصد مدى الفهم العام لهذه المبادئ الأخلاقية وما إذا كانت تحتاج جهود بناء القدرات إلى أن توجه نحو تعزيز هذا الفهم.</w:t>
            </w:r>
          </w:p>
        </w:tc>
      </w:tr>
      <w:tr w:rsidR="0054175C" w:rsidRPr="00A76668" w14:paraId="256AE1C8" w14:textId="77777777" w:rsidTr="00891849">
        <w:tc>
          <w:tcPr>
            <w:tcW w:w="730" w:type="pct"/>
            <w:shd w:val="clear" w:color="auto" w:fill="auto"/>
          </w:tcPr>
          <w:p w14:paraId="25830BBC" w14:textId="10BE5222" w:rsidR="0054175C" w:rsidRPr="00A76668" w:rsidRDefault="00891849" w:rsidP="00FF06DC">
            <w:pPr>
              <w:bidi/>
              <w:spacing w:before="120"/>
              <w:rPr>
                <w:b/>
                <w:sz w:val="24"/>
              </w:rPr>
            </w:pPr>
            <w:r w:rsidRPr="00A76668">
              <w:rPr>
                <w:b/>
                <w:bCs/>
                <w:sz w:val="24"/>
                <w:rtl/>
              </w:rPr>
              <w:t>مصادر البيانات وجمعها</w:t>
            </w:r>
          </w:p>
        </w:tc>
        <w:tc>
          <w:tcPr>
            <w:tcW w:w="4270" w:type="pct"/>
            <w:shd w:val="clear" w:color="auto" w:fill="auto"/>
          </w:tcPr>
          <w:p w14:paraId="2F65EF1C" w14:textId="7CBC0E95" w:rsidR="005306E7" w:rsidRPr="00A76668" w:rsidRDefault="00D9502D" w:rsidP="00FF06DC">
            <w:pPr>
              <w:bidi/>
              <w:spacing w:before="120"/>
              <w:jc w:val="both"/>
              <w:rPr>
                <w:sz w:val="24"/>
              </w:rPr>
            </w:pPr>
            <w:r w:rsidRPr="00A76668">
              <w:rPr>
                <w:sz w:val="24"/>
                <w:rtl/>
              </w:rPr>
              <w:t>في كثير من الحالات، قد تحتفظ السلطات المسؤولة بأي مصدر بيانات مهم في مجال المعلومات</w:t>
            </w:r>
            <w:r w:rsidR="00E62015">
              <w:rPr>
                <w:rFonts w:hint="cs"/>
                <w:sz w:val="24"/>
                <w:rtl/>
              </w:rPr>
              <w:t>،</w:t>
            </w:r>
            <w:r w:rsidRPr="00A76668">
              <w:rPr>
                <w:sz w:val="24"/>
                <w:rtl/>
              </w:rPr>
              <w:t xml:space="preserve"> والاتصالات</w:t>
            </w:r>
            <w:r w:rsidR="00E62015">
              <w:rPr>
                <w:rFonts w:hint="cs"/>
                <w:sz w:val="24"/>
                <w:rtl/>
              </w:rPr>
              <w:t>،</w:t>
            </w:r>
            <w:r w:rsidRPr="00A76668">
              <w:rPr>
                <w:sz w:val="24"/>
                <w:rtl/>
              </w:rPr>
              <w:t xml:space="preserve"> ووسائل الإعلام. وإذا كان للدولة هيئة استشارية أو آلية تنسيق، فقد تشمل </w:t>
            </w:r>
            <w:r w:rsidR="00E7053F" w:rsidRPr="00A76668">
              <w:rPr>
                <w:rFonts w:hint="cs"/>
                <w:sz w:val="24"/>
                <w:rtl/>
              </w:rPr>
              <w:t>المشاركين</w:t>
            </w:r>
            <w:r w:rsidRPr="00A76668">
              <w:rPr>
                <w:sz w:val="24"/>
                <w:rtl/>
              </w:rPr>
              <w:t xml:space="preserve"> في التوعية، </w:t>
            </w:r>
            <w:r w:rsidR="00E541A6">
              <w:rPr>
                <w:rFonts w:hint="cs"/>
                <w:sz w:val="24"/>
                <w:rtl/>
              </w:rPr>
              <w:t>ب</w:t>
            </w:r>
            <w:r w:rsidRPr="00A76668">
              <w:rPr>
                <w:sz w:val="24"/>
                <w:rtl/>
              </w:rPr>
              <w:t xml:space="preserve">حيث يمكنهم تقديم معلومات </w:t>
            </w:r>
            <w:r w:rsidR="00E7053F" w:rsidRPr="00A76668">
              <w:rPr>
                <w:rFonts w:hint="cs"/>
                <w:sz w:val="24"/>
                <w:rtl/>
              </w:rPr>
              <w:t>إضافية</w:t>
            </w:r>
            <w:r w:rsidRPr="00A76668">
              <w:rPr>
                <w:sz w:val="24"/>
                <w:rtl/>
              </w:rPr>
              <w:t xml:space="preserve">. وقد يؤدي عدم الامتثال للمبادئ الأخلاقية ذات الصلة إلى جدل عام أو تغطية إعلامية بحد ذاتها. كما قد يلفت الباحثون الانتباه إلى الحالات التي قد لا يحترم فيها </w:t>
            </w:r>
            <w:r w:rsidR="00E7053F" w:rsidRPr="00A76668">
              <w:rPr>
                <w:sz w:val="24"/>
                <w:rtl/>
              </w:rPr>
              <w:t xml:space="preserve">المشاركين </w:t>
            </w:r>
            <w:r w:rsidRPr="00A76668">
              <w:rPr>
                <w:sz w:val="24"/>
                <w:rtl/>
              </w:rPr>
              <w:t>في التوعية هذه المبادئ احترامًا كامل</w:t>
            </w:r>
            <w:r w:rsidR="00761D57">
              <w:rPr>
                <w:rFonts w:hint="cs"/>
                <w:sz w:val="24"/>
                <w:rtl/>
              </w:rPr>
              <w:t>ً</w:t>
            </w:r>
            <w:r w:rsidRPr="00A76668">
              <w:rPr>
                <w:sz w:val="24"/>
                <w:rtl/>
              </w:rPr>
              <w:t>ا.</w:t>
            </w:r>
          </w:p>
          <w:p w14:paraId="6AAE14DB" w14:textId="77777777" w:rsidR="00455C66" w:rsidRPr="00A76668" w:rsidRDefault="00455C66" w:rsidP="00FF06DC">
            <w:pPr>
              <w:bidi/>
              <w:spacing w:before="120"/>
              <w:jc w:val="both"/>
              <w:rPr>
                <w:sz w:val="24"/>
              </w:rPr>
            </w:pPr>
            <w:r w:rsidRPr="00A76668">
              <w:rPr>
                <w:bCs/>
                <w:sz w:val="24"/>
                <w:rtl/>
              </w:rPr>
              <w:t>مصادر البيانات المحتملة</w:t>
            </w:r>
            <w:r w:rsidRPr="00A76668">
              <w:rPr>
                <w:sz w:val="24"/>
              </w:rPr>
              <w:t xml:space="preserve"> </w:t>
            </w:r>
          </w:p>
          <w:p w14:paraId="6B940087" w14:textId="48C023A8" w:rsidR="00C63F36" w:rsidRPr="00A76668" w:rsidRDefault="00E7053F" w:rsidP="00FF06DC">
            <w:pPr>
              <w:pStyle w:val="ListParagraph"/>
              <w:numPr>
                <w:ilvl w:val="0"/>
                <w:numId w:val="73"/>
              </w:numPr>
              <w:bidi/>
              <w:spacing w:before="120"/>
              <w:jc w:val="both"/>
              <w:rPr>
                <w:rFonts w:ascii="Times New Roman" w:hAnsi="Times New Roman"/>
                <w:sz w:val="24"/>
                <w:szCs w:val="24"/>
                <w:lang w:val="en-GB"/>
              </w:rPr>
            </w:pPr>
            <w:r w:rsidRPr="00A76668">
              <w:rPr>
                <w:rFonts w:ascii="Times New Roman" w:hAnsi="Times New Roman" w:hint="cs"/>
                <w:sz w:val="24"/>
                <w:szCs w:val="24"/>
                <w:rtl/>
                <w:lang w:val="en-GB"/>
              </w:rPr>
              <w:t>مطبوعات</w:t>
            </w:r>
            <w:r w:rsidR="00C63F36" w:rsidRPr="00A76668">
              <w:rPr>
                <w:rFonts w:ascii="Times New Roman" w:hAnsi="Times New Roman"/>
                <w:sz w:val="24"/>
                <w:szCs w:val="24"/>
                <w:rtl/>
                <w:lang w:val="en-GB"/>
              </w:rPr>
              <w:t>، وتقارير، ومجموعات المواد التوعوية</w:t>
            </w:r>
          </w:p>
          <w:p w14:paraId="27E51DA7" w14:textId="2322B15F" w:rsidR="00C63F36" w:rsidRPr="00A76668" w:rsidRDefault="00E7053F" w:rsidP="00FF06DC">
            <w:pPr>
              <w:pStyle w:val="ListParagraph"/>
              <w:numPr>
                <w:ilvl w:val="0"/>
                <w:numId w:val="73"/>
              </w:numPr>
              <w:bidi/>
              <w:spacing w:before="120"/>
              <w:jc w:val="both"/>
              <w:rPr>
                <w:rFonts w:ascii="Times New Roman" w:hAnsi="Times New Roman"/>
                <w:sz w:val="24"/>
                <w:szCs w:val="24"/>
                <w:lang w:val="en-GB"/>
              </w:rPr>
            </w:pPr>
            <w:r w:rsidRPr="00A76668">
              <w:rPr>
                <w:rFonts w:ascii="Times New Roman" w:hAnsi="Times New Roman"/>
                <w:sz w:val="24"/>
                <w:szCs w:val="24"/>
                <w:rtl/>
                <w:lang w:val="en-GB"/>
              </w:rPr>
              <w:t xml:space="preserve">مدونات قواعد السلوك أو مبادئ </w:t>
            </w:r>
            <w:r w:rsidR="00C63F36" w:rsidRPr="00A76668">
              <w:rPr>
                <w:rFonts w:ascii="Times New Roman" w:hAnsi="Times New Roman"/>
                <w:sz w:val="24"/>
                <w:szCs w:val="24"/>
                <w:rtl/>
                <w:lang w:val="en-GB"/>
              </w:rPr>
              <w:t>توجيهية لوسائل الإعلام وغيره</w:t>
            </w:r>
            <w:r w:rsidR="00451AAC">
              <w:rPr>
                <w:rFonts w:ascii="Times New Roman" w:hAnsi="Times New Roman" w:hint="cs"/>
                <w:sz w:val="24"/>
                <w:szCs w:val="24"/>
                <w:rtl/>
                <w:lang w:val="en-GB"/>
              </w:rPr>
              <w:t>م</w:t>
            </w:r>
            <w:r w:rsidR="00C63F36" w:rsidRPr="00A76668">
              <w:rPr>
                <w:rFonts w:ascii="Times New Roman" w:hAnsi="Times New Roman"/>
                <w:sz w:val="24"/>
                <w:szCs w:val="24"/>
                <w:rtl/>
                <w:lang w:val="en-GB"/>
              </w:rPr>
              <w:t xml:space="preserve"> من </w:t>
            </w:r>
            <w:r w:rsidRPr="00A76668">
              <w:rPr>
                <w:rFonts w:ascii="Times New Roman" w:hAnsi="Times New Roman"/>
                <w:sz w:val="24"/>
                <w:szCs w:val="24"/>
                <w:rtl/>
                <w:lang w:val="en-GB"/>
              </w:rPr>
              <w:t xml:space="preserve">المشاركين </w:t>
            </w:r>
            <w:r w:rsidR="00C63F36" w:rsidRPr="00A76668">
              <w:rPr>
                <w:rFonts w:ascii="Times New Roman" w:hAnsi="Times New Roman"/>
                <w:sz w:val="24"/>
                <w:szCs w:val="24"/>
                <w:rtl/>
                <w:lang w:val="en-GB"/>
              </w:rPr>
              <w:t>في التوعية</w:t>
            </w:r>
          </w:p>
          <w:p w14:paraId="1BAF44A5" w14:textId="37E08ABE" w:rsidR="00C63F36" w:rsidRPr="00A76668" w:rsidRDefault="00E7053F" w:rsidP="00FF06DC">
            <w:pPr>
              <w:pStyle w:val="ListParagraph"/>
              <w:numPr>
                <w:ilvl w:val="0"/>
                <w:numId w:val="73"/>
              </w:numPr>
              <w:bidi/>
              <w:spacing w:before="120"/>
              <w:jc w:val="both"/>
              <w:rPr>
                <w:rFonts w:ascii="Times New Roman" w:hAnsi="Times New Roman"/>
                <w:sz w:val="24"/>
                <w:szCs w:val="24"/>
                <w:lang w:val="en-GB"/>
              </w:rPr>
            </w:pPr>
            <w:r w:rsidRPr="00A76668">
              <w:rPr>
                <w:rFonts w:ascii="Times New Roman" w:hAnsi="Times New Roman"/>
                <w:sz w:val="24"/>
                <w:szCs w:val="24"/>
                <w:rtl/>
                <w:lang w:val="en-GB"/>
              </w:rPr>
              <w:t>نتائج بحوث</w:t>
            </w:r>
            <w:r w:rsidR="00C63F36" w:rsidRPr="00A76668">
              <w:rPr>
                <w:rFonts w:ascii="Times New Roman" w:hAnsi="Times New Roman"/>
                <w:sz w:val="24"/>
                <w:szCs w:val="24"/>
                <w:rtl/>
                <w:lang w:val="en-GB"/>
              </w:rPr>
              <w:t xml:space="preserve"> أ</w:t>
            </w:r>
            <w:r w:rsidRPr="00A76668">
              <w:rPr>
                <w:rFonts w:ascii="Times New Roman" w:hAnsi="Times New Roman" w:hint="cs"/>
                <w:sz w:val="24"/>
                <w:szCs w:val="24"/>
                <w:rtl/>
                <w:lang w:val="en-GB"/>
              </w:rPr>
              <w:t>ُ</w:t>
            </w:r>
            <w:r w:rsidRPr="00A76668">
              <w:rPr>
                <w:rFonts w:ascii="Times New Roman" w:hAnsi="Times New Roman"/>
                <w:sz w:val="24"/>
                <w:szCs w:val="24"/>
                <w:rtl/>
                <w:lang w:val="en-GB"/>
              </w:rPr>
              <w:t>جريت بين جماعات و</w:t>
            </w:r>
            <w:r w:rsidR="00C63F36" w:rsidRPr="00A76668">
              <w:rPr>
                <w:rFonts w:ascii="Times New Roman" w:hAnsi="Times New Roman"/>
                <w:sz w:val="24"/>
                <w:szCs w:val="24"/>
                <w:rtl/>
                <w:lang w:val="en-GB"/>
              </w:rPr>
              <w:t xml:space="preserve">مجموعات </w:t>
            </w:r>
            <w:r w:rsidRPr="00A76668">
              <w:rPr>
                <w:rFonts w:ascii="Times New Roman" w:hAnsi="Times New Roman"/>
                <w:sz w:val="24"/>
                <w:szCs w:val="24"/>
                <w:rtl/>
                <w:lang w:val="en-GB"/>
              </w:rPr>
              <w:t>و</w:t>
            </w:r>
            <w:r w:rsidR="00C63F36" w:rsidRPr="00A76668">
              <w:rPr>
                <w:rFonts w:ascii="Times New Roman" w:hAnsi="Times New Roman"/>
                <w:sz w:val="24"/>
                <w:szCs w:val="24"/>
                <w:rtl/>
                <w:lang w:val="en-GB"/>
              </w:rPr>
              <w:t>أفراد فيما يتعلق بتراثهم الثقافي غير المادي</w:t>
            </w:r>
          </w:p>
          <w:p w14:paraId="2DE93187" w14:textId="302470D2" w:rsidR="00C63F36" w:rsidRPr="00A76668" w:rsidRDefault="00E7053F" w:rsidP="00FF06DC">
            <w:pPr>
              <w:pStyle w:val="ListParagraph"/>
              <w:numPr>
                <w:ilvl w:val="0"/>
                <w:numId w:val="73"/>
              </w:numPr>
              <w:bidi/>
              <w:spacing w:before="120"/>
              <w:jc w:val="both"/>
              <w:rPr>
                <w:rFonts w:ascii="Times New Roman" w:hAnsi="Times New Roman"/>
                <w:sz w:val="24"/>
                <w:szCs w:val="24"/>
                <w:lang w:val="en-GB"/>
              </w:rPr>
            </w:pPr>
            <w:r w:rsidRPr="00A76668">
              <w:rPr>
                <w:rFonts w:ascii="Times New Roman" w:hAnsi="Times New Roman"/>
                <w:sz w:val="24"/>
                <w:szCs w:val="24"/>
                <w:rtl/>
                <w:lang w:val="en-GB"/>
              </w:rPr>
              <w:lastRenderedPageBreak/>
              <w:t xml:space="preserve">مواقع إلكترونية وتقارير وزارة إعلام و/أو وزارة </w:t>
            </w:r>
            <w:r w:rsidR="00C63F36" w:rsidRPr="00A76668">
              <w:rPr>
                <w:rFonts w:ascii="Times New Roman" w:hAnsi="Times New Roman"/>
                <w:sz w:val="24"/>
                <w:szCs w:val="24"/>
                <w:rtl/>
                <w:lang w:val="en-GB"/>
              </w:rPr>
              <w:t>اتصالات</w:t>
            </w:r>
          </w:p>
          <w:p w14:paraId="661DDBBC" w14:textId="2DBFC841" w:rsidR="00C63F36" w:rsidRPr="00A76668" w:rsidRDefault="00E7053F" w:rsidP="00FF06DC">
            <w:pPr>
              <w:pStyle w:val="ListParagraph"/>
              <w:numPr>
                <w:ilvl w:val="0"/>
                <w:numId w:val="73"/>
              </w:numPr>
              <w:bidi/>
              <w:spacing w:before="120"/>
              <w:jc w:val="both"/>
              <w:rPr>
                <w:rFonts w:ascii="Times New Roman" w:hAnsi="Times New Roman"/>
                <w:sz w:val="24"/>
                <w:szCs w:val="24"/>
                <w:lang w:val="en-GB"/>
              </w:rPr>
            </w:pPr>
            <w:r w:rsidRPr="00A76668">
              <w:rPr>
                <w:rFonts w:ascii="Times New Roman" w:hAnsi="Times New Roman"/>
                <w:sz w:val="24"/>
                <w:szCs w:val="24"/>
                <w:rtl/>
                <w:lang w:val="en-GB"/>
              </w:rPr>
              <w:t>مواقع إلكترونية، ومدونات، وسجلات</w:t>
            </w:r>
            <w:r w:rsidRPr="00A76668">
              <w:rPr>
                <w:rFonts w:ascii="Times New Roman" w:hAnsi="Times New Roman" w:hint="cs"/>
                <w:sz w:val="24"/>
                <w:szCs w:val="24"/>
                <w:rtl/>
                <w:lang w:val="en-GB"/>
              </w:rPr>
              <w:t xml:space="preserve"> </w:t>
            </w:r>
            <w:r w:rsidR="00C63F36" w:rsidRPr="00A76668">
              <w:rPr>
                <w:rFonts w:ascii="Times New Roman" w:hAnsi="Times New Roman"/>
                <w:sz w:val="24"/>
                <w:szCs w:val="24"/>
                <w:rtl/>
                <w:lang w:val="en-GB"/>
              </w:rPr>
              <w:t>فيديو، ومنشورات وسائل التواصل الاجتماعي</w:t>
            </w:r>
          </w:p>
          <w:p w14:paraId="3804A641" w14:textId="2283B761" w:rsidR="0054175C" w:rsidRPr="00A76668" w:rsidRDefault="00C63F36" w:rsidP="00FF06DC">
            <w:pPr>
              <w:pStyle w:val="ListParagraph"/>
              <w:numPr>
                <w:ilvl w:val="0"/>
                <w:numId w:val="73"/>
              </w:numPr>
              <w:bidi/>
              <w:spacing w:before="120"/>
              <w:jc w:val="both"/>
              <w:rPr>
                <w:rFonts w:ascii="Times New Roman" w:hAnsi="Times New Roman"/>
                <w:sz w:val="24"/>
                <w:szCs w:val="24"/>
                <w:lang w:val="en-GB"/>
              </w:rPr>
            </w:pPr>
            <w:r w:rsidRPr="00A76668">
              <w:rPr>
                <w:rFonts w:ascii="Times New Roman" w:hAnsi="Times New Roman"/>
                <w:sz w:val="24"/>
                <w:szCs w:val="24"/>
                <w:rtl/>
                <w:lang w:val="en-GB"/>
              </w:rPr>
              <w:t>مجموعات وجماعات وسائل التواصل الاجتماعي</w:t>
            </w:r>
          </w:p>
        </w:tc>
      </w:tr>
    </w:tbl>
    <w:p w14:paraId="32A21565" w14:textId="77777777" w:rsidR="00320242" w:rsidRPr="009C7F45" w:rsidRDefault="00320242" w:rsidP="00FF06DC">
      <w:pPr>
        <w:bidi/>
        <w:jc w:val="both"/>
        <w:rPr>
          <w:sz w:val="24"/>
        </w:rPr>
      </w:pPr>
    </w:p>
    <w:sectPr w:rsidR="00320242" w:rsidRPr="009C7F45"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E6BB" w14:textId="77777777" w:rsidR="002F45C5" w:rsidRDefault="002F45C5" w:rsidP="002938F2">
      <w:r>
        <w:separator/>
      </w:r>
    </w:p>
    <w:p w14:paraId="096F72DF" w14:textId="77777777" w:rsidR="002F45C5" w:rsidRDefault="002F45C5"/>
  </w:endnote>
  <w:endnote w:type="continuationSeparator" w:id="0">
    <w:p w14:paraId="11CB0BE7" w14:textId="77777777" w:rsidR="002F45C5" w:rsidRDefault="002F45C5" w:rsidP="002938F2">
      <w:r>
        <w:continuationSeparator/>
      </w:r>
    </w:p>
    <w:p w14:paraId="35945E42" w14:textId="77777777" w:rsidR="002F45C5" w:rsidRDefault="002F45C5"/>
  </w:endnote>
  <w:endnote w:type="continuationNotice" w:id="1">
    <w:p w14:paraId="0BDFC2F3" w14:textId="77777777" w:rsidR="002F45C5" w:rsidRDefault="002F45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BD47" w14:textId="3740A80B" w:rsidR="00C04344" w:rsidRPr="000A0709" w:rsidRDefault="00F64060" w:rsidP="00BB049E">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491D8F">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3CE3" w14:textId="77777777" w:rsidR="002F45C5" w:rsidRDefault="002F45C5" w:rsidP="002938F2">
      <w:r>
        <w:separator/>
      </w:r>
    </w:p>
  </w:footnote>
  <w:footnote w:type="continuationSeparator" w:id="0">
    <w:p w14:paraId="7F42F966" w14:textId="77777777" w:rsidR="002F45C5" w:rsidRDefault="002F45C5" w:rsidP="002938F2">
      <w:r>
        <w:continuationSeparator/>
      </w:r>
    </w:p>
    <w:p w14:paraId="4766C526" w14:textId="77777777" w:rsidR="002F45C5" w:rsidRDefault="002F45C5"/>
  </w:footnote>
  <w:footnote w:type="continuationNotice" w:id="1">
    <w:p w14:paraId="1E859682" w14:textId="77777777" w:rsidR="002F45C5" w:rsidRDefault="002F45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A8268AE"/>
    <w:multiLevelType w:val="hybridMultilevel"/>
    <w:tmpl w:val="F01021CE"/>
    <w:lvl w:ilvl="0" w:tplc="5F98C0DA">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2B2B29"/>
    <w:multiLevelType w:val="multilevel"/>
    <w:tmpl w:val="72686CAC"/>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5"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6"/>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5"/>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7"/>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54"/>
  </w:num>
  <w:num w:numId="76">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5F"/>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6464E"/>
    <w:rsid w:val="0007203D"/>
    <w:rsid w:val="000729D2"/>
    <w:rsid w:val="00073D20"/>
    <w:rsid w:val="00074E7D"/>
    <w:rsid w:val="000755E1"/>
    <w:rsid w:val="0007681B"/>
    <w:rsid w:val="000769F1"/>
    <w:rsid w:val="00083694"/>
    <w:rsid w:val="00085541"/>
    <w:rsid w:val="00086ACE"/>
    <w:rsid w:val="00092AE6"/>
    <w:rsid w:val="00093063"/>
    <w:rsid w:val="00093ED7"/>
    <w:rsid w:val="0009504D"/>
    <w:rsid w:val="000A0709"/>
    <w:rsid w:val="000A0F0D"/>
    <w:rsid w:val="000A112A"/>
    <w:rsid w:val="000A21DA"/>
    <w:rsid w:val="000A34CE"/>
    <w:rsid w:val="000C03BF"/>
    <w:rsid w:val="000C15BD"/>
    <w:rsid w:val="000C4E69"/>
    <w:rsid w:val="000C65E4"/>
    <w:rsid w:val="000C7EE0"/>
    <w:rsid w:val="000D1EBC"/>
    <w:rsid w:val="000D260B"/>
    <w:rsid w:val="000D345F"/>
    <w:rsid w:val="000D7375"/>
    <w:rsid w:val="000E2EE7"/>
    <w:rsid w:val="000F25BA"/>
    <w:rsid w:val="000F2B3F"/>
    <w:rsid w:val="000F7E6F"/>
    <w:rsid w:val="0010179D"/>
    <w:rsid w:val="00106B72"/>
    <w:rsid w:val="00106D19"/>
    <w:rsid w:val="0011248E"/>
    <w:rsid w:val="0011334A"/>
    <w:rsid w:val="00115830"/>
    <w:rsid w:val="00116489"/>
    <w:rsid w:val="0011750D"/>
    <w:rsid w:val="00121B41"/>
    <w:rsid w:val="00123FB1"/>
    <w:rsid w:val="001301DF"/>
    <w:rsid w:val="00135153"/>
    <w:rsid w:val="001412DE"/>
    <w:rsid w:val="00142D78"/>
    <w:rsid w:val="00144A4D"/>
    <w:rsid w:val="00151351"/>
    <w:rsid w:val="00151615"/>
    <w:rsid w:val="00156788"/>
    <w:rsid w:val="001609A1"/>
    <w:rsid w:val="00162554"/>
    <w:rsid w:val="00163F68"/>
    <w:rsid w:val="00173B50"/>
    <w:rsid w:val="00173E0E"/>
    <w:rsid w:val="00174B39"/>
    <w:rsid w:val="00183F6C"/>
    <w:rsid w:val="00186316"/>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27F8"/>
    <w:rsid w:val="001F3696"/>
    <w:rsid w:val="001F37CA"/>
    <w:rsid w:val="0020163D"/>
    <w:rsid w:val="00203AD7"/>
    <w:rsid w:val="002042CC"/>
    <w:rsid w:val="00204B37"/>
    <w:rsid w:val="002074D6"/>
    <w:rsid w:val="00210CBC"/>
    <w:rsid w:val="002119C5"/>
    <w:rsid w:val="0021595D"/>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8A9"/>
    <w:rsid w:val="00266B45"/>
    <w:rsid w:val="00267DDF"/>
    <w:rsid w:val="0027198B"/>
    <w:rsid w:val="00273658"/>
    <w:rsid w:val="00281AA4"/>
    <w:rsid w:val="00282A9D"/>
    <w:rsid w:val="00286C0C"/>
    <w:rsid w:val="00287687"/>
    <w:rsid w:val="00290D5F"/>
    <w:rsid w:val="002938F2"/>
    <w:rsid w:val="00293CCC"/>
    <w:rsid w:val="002A195D"/>
    <w:rsid w:val="002A784C"/>
    <w:rsid w:val="002B43D6"/>
    <w:rsid w:val="002B6B98"/>
    <w:rsid w:val="002B6C9B"/>
    <w:rsid w:val="002C28BA"/>
    <w:rsid w:val="002C3B8F"/>
    <w:rsid w:val="002C444C"/>
    <w:rsid w:val="002C5021"/>
    <w:rsid w:val="002C5280"/>
    <w:rsid w:val="002C5C29"/>
    <w:rsid w:val="002C7D22"/>
    <w:rsid w:val="002D2223"/>
    <w:rsid w:val="002D396D"/>
    <w:rsid w:val="002D65A7"/>
    <w:rsid w:val="002D71D4"/>
    <w:rsid w:val="002E113D"/>
    <w:rsid w:val="002F17E1"/>
    <w:rsid w:val="002F45C5"/>
    <w:rsid w:val="002F64E6"/>
    <w:rsid w:val="003043A9"/>
    <w:rsid w:val="0030454E"/>
    <w:rsid w:val="00320242"/>
    <w:rsid w:val="00322A3A"/>
    <w:rsid w:val="00324A32"/>
    <w:rsid w:val="00325D6E"/>
    <w:rsid w:val="00334977"/>
    <w:rsid w:val="00337194"/>
    <w:rsid w:val="00342EE8"/>
    <w:rsid w:val="00344D78"/>
    <w:rsid w:val="00346517"/>
    <w:rsid w:val="00351CCB"/>
    <w:rsid w:val="0035648A"/>
    <w:rsid w:val="00362131"/>
    <w:rsid w:val="00362B41"/>
    <w:rsid w:val="00363995"/>
    <w:rsid w:val="00364E5E"/>
    <w:rsid w:val="00370E9B"/>
    <w:rsid w:val="00371E97"/>
    <w:rsid w:val="00372B42"/>
    <w:rsid w:val="00377E4B"/>
    <w:rsid w:val="00380FC6"/>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1613"/>
    <w:rsid w:val="0041300C"/>
    <w:rsid w:val="00414B68"/>
    <w:rsid w:val="00430ED2"/>
    <w:rsid w:val="00434773"/>
    <w:rsid w:val="004367F5"/>
    <w:rsid w:val="004458C9"/>
    <w:rsid w:val="00447C66"/>
    <w:rsid w:val="00451AAC"/>
    <w:rsid w:val="00453DBD"/>
    <w:rsid w:val="00455C66"/>
    <w:rsid w:val="00462F38"/>
    <w:rsid w:val="00471B34"/>
    <w:rsid w:val="00474AFE"/>
    <w:rsid w:val="00477E66"/>
    <w:rsid w:val="00480809"/>
    <w:rsid w:val="004831C7"/>
    <w:rsid w:val="00486A5E"/>
    <w:rsid w:val="00487BFD"/>
    <w:rsid w:val="00491D8F"/>
    <w:rsid w:val="00493F92"/>
    <w:rsid w:val="004A0C2B"/>
    <w:rsid w:val="004A20F5"/>
    <w:rsid w:val="004A610E"/>
    <w:rsid w:val="004C20E2"/>
    <w:rsid w:val="004D618C"/>
    <w:rsid w:val="004E056C"/>
    <w:rsid w:val="004E2817"/>
    <w:rsid w:val="004E2AE8"/>
    <w:rsid w:val="004E418A"/>
    <w:rsid w:val="004F4A5F"/>
    <w:rsid w:val="005016FB"/>
    <w:rsid w:val="00504256"/>
    <w:rsid w:val="0051054A"/>
    <w:rsid w:val="00511D17"/>
    <w:rsid w:val="005157E2"/>
    <w:rsid w:val="0051699F"/>
    <w:rsid w:val="00516DE3"/>
    <w:rsid w:val="005300BF"/>
    <w:rsid w:val="005306E7"/>
    <w:rsid w:val="00532631"/>
    <w:rsid w:val="005414A1"/>
    <w:rsid w:val="0054175C"/>
    <w:rsid w:val="0054610D"/>
    <w:rsid w:val="005473CF"/>
    <w:rsid w:val="00570355"/>
    <w:rsid w:val="00574530"/>
    <w:rsid w:val="0057738F"/>
    <w:rsid w:val="00581423"/>
    <w:rsid w:val="00582F4C"/>
    <w:rsid w:val="0058407A"/>
    <w:rsid w:val="00585C54"/>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1071"/>
    <w:rsid w:val="005D2DDA"/>
    <w:rsid w:val="005E3A3E"/>
    <w:rsid w:val="005E6A2B"/>
    <w:rsid w:val="005E7C7C"/>
    <w:rsid w:val="00601DD6"/>
    <w:rsid w:val="006032AE"/>
    <w:rsid w:val="00603F71"/>
    <w:rsid w:val="00604728"/>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5692F"/>
    <w:rsid w:val="00657A64"/>
    <w:rsid w:val="0067005F"/>
    <w:rsid w:val="0067015A"/>
    <w:rsid w:val="006736EC"/>
    <w:rsid w:val="00673D90"/>
    <w:rsid w:val="00676C1E"/>
    <w:rsid w:val="00686D60"/>
    <w:rsid w:val="00690C91"/>
    <w:rsid w:val="00691869"/>
    <w:rsid w:val="00693CC8"/>
    <w:rsid w:val="00694ED1"/>
    <w:rsid w:val="006A0D86"/>
    <w:rsid w:val="006A44D2"/>
    <w:rsid w:val="006A49AE"/>
    <w:rsid w:val="006A56C0"/>
    <w:rsid w:val="006C0911"/>
    <w:rsid w:val="006C737A"/>
    <w:rsid w:val="006D3085"/>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22A8"/>
    <w:rsid w:val="00753DA3"/>
    <w:rsid w:val="007610D3"/>
    <w:rsid w:val="00761D57"/>
    <w:rsid w:val="007629DB"/>
    <w:rsid w:val="00764F50"/>
    <w:rsid w:val="00767871"/>
    <w:rsid w:val="00770A92"/>
    <w:rsid w:val="0077357D"/>
    <w:rsid w:val="00774D9C"/>
    <w:rsid w:val="00776A63"/>
    <w:rsid w:val="00790C65"/>
    <w:rsid w:val="0079316B"/>
    <w:rsid w:val="00794F0B"/>
    <w:rsid w:val="007A0565"/>
    <w:rsid w:val="007A0EAA"/>
    <w:rsid w:val="007A1247"/>
    <w:rsid w:val="007A1E0A"/>
    <w:rsid w:val="007A6F91"/>
    <w:rsid w:val="007A7D45"/>
    <w:rsid w:val="007B4ADA"/>
    <w:rsid w:val="007B54AA"/>
    <w:rsid w:val="007C105C"/>
    <w:rsid w:val="007C1B00"/>
    <w:rsid w:val="007D0F1D"/>
    <w:rsid w:val="007D2881"/>
    <w:rsid w:val="007D31CE"/>
    <w:rsid w:val="007D3AD8"/>
    <w:rsid w:val="007D5BB7"/>
    <w:rsid w:val="007D6A69"/>
    <w:rsid w:val="007E0621"/>
    <w:rsid w:val="007E0D18"/>
    <w:rsid w:val="007E4E37"/>
    <w:rsid w:val="007F4B07"/>
    <w:rsid w:val="008029A6"/>
    <w:rsid w:val="0081143B"/>
    <w:rsid w:val="008147BA"/>
    <w:rsid w:val="00821B33"/>
    <w:rsid w:val="00823C69"/>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1849"/>
    <w:rsid w:val="0089499E"/>
    <w:rsid w:val="00896177"/>
    <w:rsid w:val="008A0BE3"/>
    <w:rsid w:val="008A2566"/>
    <w:rsid w:val="008A6663"/>
    <w:rsid w:val="008B52D4"/>
    <w:rsid w:val="008B6B4C"/>
    <w:rsid w:val="008B6E57"/>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395C"/>
    <w:rsid w:val="0092574C"/>
    <w:rsid w:val="009342E8"/>
    <w:rsid w:val="009357B4"/>
    <w:rsid w:val="00946D71"/>
    <w:rsid w:val="0095522A"/>
    <w:rsid w:val="009577E1"/>
    <w:rsid w:val="00971CA1"/>
    <w:rsid w:val="00972CE4"/>
    <w:rsid w:val="0097349C"/>
    <w:rsid w:val="009766BE"/>
    <w:rsid w:val="009812AD"/>
    <w:rsid w:val="009814C2"/>
    <w:rsid w:val="00982FFD"/>
    <w:rsid w:val="00985265"/>
    <w:rsid w:val="00985856"/>
    <w:rsid w:val="009A4969"/>
    <w:rsid w:val="009B1466"/>
    <w:rsid w:val="009B6973"/>
    <w:rsid w:val="009C0510"/>
    <w:rsid w:val="009C3663"/>
    <w:rsid w:val="009C7F45"/>
    <w:rsid w:val="009D098F"/>
    <w:rsid w:val="009D1F5A"/>
    <w:rsid w:val="009D4393"/>
    <w:rsid w:val="009D4547"/>
    <w:rsid w:val="009D5A49"/>
    <w:rsid w:val="009D5E38"/>
    <w:rsid w:val="009D602F"/>
    <w:rsid w:val="009D68D0"/>
    <w:rsid w:val="009E17AF"/>
    <w:rsid w:val="009F0D42"/>
    <w:rsid w:val="009F1B82"/>
    <w:rsid w:val="009F34A4"/>
    <w:rsid w:val="009F3988"/>
    <w:rsid w:val="00A003D0"/>
    <w:rsid w:val="00A00FF8"/>
    <w:rsid w:val="00A073FD"/>
    <w:rsid w:val="00A150C7"/>
    <w:rsid w:val="00A2307A"/>
    <w:rsid w:val="00A34400"/>
    <w:rsid w:val="00A462C6"/>
    <w:rsid w:val="00A4678E"/>
    <w:rsid w:val="00A519A2"/>
    <w:rsid w:val="00A51BDC"/>
    <w:rsid w:val="00A535B7"/>
    <w:rsid w:val="00A5419D"/>
    <w:rsid w:val="00A5709F"/>
    <w:rsid w:val="00A616C4"/>
    <w:rsid w:val="00A61F20"/>
    <w:rsid w:val="00A64796"/>
    <w:rsid w:val="00A66CD4"/>
    <w:rsid w:val="00A70883"/>
    <w:rsid w:val="00A76668"/>
    <w:rsid w:val="00A77AEB"/>
    <w:rsid w:val="00A81F0A"/>
    <w:rsid w:val="00A85C7A"/>
    <w:rsid w:val="00A86042"/>
    <w:rsid w:val="00AA36F9"/>
    <w:rsid w:val="00AA444A"/>
    <w:rsid w:val="00AA7A4F"/>
    <w:rsid w:val="00AB1528"/>
    <w:rsid w:val="00AD6BD4"/>
    <w:rsid w:val="00AE1B18"/>
    <w:rsid w:val="00AE1D83"/>
    <w:rsid w:val="00AE2DFB"/>
    <w:rsid w:val="00AE3061"/>
    <w:rsid w:val="00AE7A64"/>
    <w:rsid w:val="00AF15BA"/>
    <w:rsid w:val="00AF1C32"/>
    <w:rsid w:val="00AF2102"/>
    <w:rsid w:val="00AF65C6"/>
    <w:rsid w:val="00B11AE3"/>
    <w:rsid w:val="00B121A6"/>
    <w:rsid w:val="00B12390"/>
    <w:rsid w:val="00B20BF6"/>
    <w:rsid w:val="00B300B8"/>
    <w:rsid w:val="00B32A28"/>
    <w:rsid w:val="00B33904"/>
    <w:rsid w:val="00B3751E"/>
    <w:rsid w:val="00B427FE"/>
    <w:rsid w:val="00B51737"/>
    <w:rsid w:val="00B61028"/>
    <w:rsid w:val="00B6102A"/>
    <w:rsid w:val="00B6167A"/>
    <w:rsid w:val="00B62ED0"/>
    <w:rsid w:val="00B64196"/>
    <w:rsid w:val="00B66A7A"/>
    <w:rsid w:val="00B70266"/>
    <w:rsid w:val="00B74304"/>
    <w:rsid w:val="00B7459B"/>
    <w:rsid w:val="00B82F05"/>
    <w:rsid w:val="00B87142"/>
    <w:rsid w:val="00B8750E"/>
    <w:rsid w:val="00B92374"/>
    <w:rsid w:val="00B924C8"/>
    <w:rsid w:val="00B95E33"/>
    <w:rsid w:val="00B973B5"/>
    <w:rsid w:val="00B97FD1"/>
    <w:rsid w:val="00BA6367"/>
    <w:rsid w:val="00BB049E"/>
    <w:rsid w:val="00BB1062"/>
    <w:rsid w:val="00BB28EF"/>
    <w:rsid w:val="00BB5DEE"/>
    <w:rsid w:val="00BC002E"/>
    <w:rsid w:val="00BC393F"/>
    <w:rsid w:val="00BC75FC"/>
    <w:rsid w:val="00BD59BD"/>
    <w:rsid w:val="00BE49AB"/>
    <w:rsid w:val="00BE5B3F"/>
    <w:rsid w:val="00BF351F"/>
    <w:rsid w:val="00BF3F50"/>
    <w:rsid w:val="00BF6F37"/>
    <w:rsid w:val="00C02924"/>
    <w:rsid w:val="00C038EF"/>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3F36"/>
    <w:rsid w:val="00C6426B"/>
    <w:rsid w:val="00C6478B"/>
    <w:rsid w:val="00C77CF2"/>
    <w:rsid w:val="00C87194"/>
    <w:rsid w:val="00C90629"/>
    <w:rsid w:val="00C9082F"/>
    <w:rsid w:val="00C90C51"/>
    <w:rsid w:val="00C9105C"/>
    <w:rsid w:val="00C96DEF"/>
    <w:rsid w:val="00CA3ED6"/>
    <w:rsid w:val="00CA737F"/>
    <w:rsid w:val="00CA7CF4"/>
    <w:rsid w:val="00CB0F37"/>
    <w:rsid w:val="00CB1135"/>
    <w:rsid w:val="00CB590B"/>
    <w:rsid w:val="00CB6EEA"/>
    <w:rsid w:val="00CC02C5"/>
    <w:rsid w:val="00CC2BC6"/>
    <w:rsid w:val="00CC3AAB"/>
    <w:rsid w:val="00CC7F16"/>
    <w:rsid w:val="00CD324E"/>
    <w:rsid w:val="00CD4A28"/>
    <w:rsid w:val="00CD54BD"/>
    <w:rsid w:val="00CD6C36"/>
    <w:rsid w:val="00CD6D92"/>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87CB1"/>
    <w:rsid w:val="00D90819"/>
    <w:rsid w:val="00D93291"/>
    <w:rsid w:val="00D9501F"/>
    <w:rsid w:val="00D9502D"/>
    <w:rsid w:val="00DB4D9F"/>
    <w:rsid w:val="00DB50D5"/>
    <w:rsid w:val="00DC5537"/>
    <w:rsid w:val="00DC591F"/>
    <w:rsid w:val="00DD11EE"/>
    <w:rsid w:val="00DD52A0"/>
    <w:rsid w:val="00DE2D12"/>
    <w:rsid w:val="00DE349E"/>
    <w:rsid w:val="00DE5590"/>
    <w:rsid w:val="00DE6364"/>
    <w:rsid w:val="00DF1D9E"/>
    <w:rsid w:val="00DF3DA3"/>
    <w:rsid w:val="00DF5DA4"/>
    <w:rsid w:val="00E06492"/>
    <w:rsid w:val="00E065CE"/>
    <w:rsid w:val="00E06A00"/>
    <w:rsid w:val="00E13E03"/>
    <w:rsid w:val="00E14AF4"/>
    <w:rsid w:val="00E22B99"/>
    <w:rsid w:val="00E24A9D"/>
    <w:rsid w:val="00E258D9"/>
    <w:rsid w:val="00E35B8C"/>
    <w:rsid w:val="00E439CA"/>
    <w:rsid w:val="00E46DDB"/>
    <w:rsid w:val="00E473F3"/>
    <w:rsid w:val="00E5219B"/>
    <w:rsid w:val="00E52664"/>
    <w:rsid w:val="00E541A6"/>
    <w:rsid w:val="00E56905"/>
    <w:rsid w:val="00E62015"/>
    <w:rsid w:val="00E64BE4"/>
    <w:rsid w:val="00E7053F"/>
    <w:rsid w:val="00E85565"/>
    <w:rsid w:val="00E87F91"/>
    <w:rsid w:val="00E94BC6"/>
    <w:rsid w:val="00EA0563"/>
    <w:rsid w:val="00EA198F"/>
    <w:rsid w:val="00EA2EA1"/>
    <w:rsid w:val="00EA3CB9"/>
    <w:rsid w:val="00EA59EB"/>
    <w:rsid w:val="00EA67F3"/>
    <w:rsid w:val="00EB48F8"/>
    <w:rsid w:val="00ED0C60"/>
    <w:rsid w:val="00ED2B33"/>
    <w:rsid w:val="00ED3D26"/>
    <w:rsid w:val="00ED5218"/>
    <w:rsid w:val="00EE01B7"/>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4060"/>
    <w:rsid w:val="00F67029"/>
    <w:rsid w:val="00F70858"/>
    <w:rsid w:val="00F71BBC"/>
    <w:rsid w:val="00F7397F"/>
    <w:rsid w:val="00F75949"/>
    <w:rsid w:val="00F75CF4"/>
    <w:rsid w:val="00F85571"/>
    <w:rsid w:val="00F866CD"/>
    <w:rsid w:val="00F93896"/>
    <w:rsid w:val="00F941F0"/>
    <w:rsid w:val="00F95C1D"/>
    <w:rsid w:val="00F97FF5"/>
    <w:rsid w:val="00FA1BC9"/>
    <w:rsid w:val="00FA7CE6"/>
    <w:rsid w:val="00FB1313"/>
    <w:rsid w:val="00FB6967"/>
    <w:rsid w:val="00FC2238"/>
    <w:rsid w:val="00FC2459"/>
    <w:rsid w:val="00FC268E"/>
    <w:rsid w:val="00FC2BFD"/>
    <w:rsid w:val="00FC309D"/>
    <w:rsid w:val="00FC47E0"/>
    <w:rsid w:val="00FD1C42"/>
    <w:rsid w:val="00FD1E96"/>
    <w:rsid w:val="00FD1FE7"/>
    <w:rsid w:val="00FD6442"/>
    <w:rsid w:val="00FE15F6"/>
    <w:rsid w:val="00FE1F8A"/>
    <w:rsid w:val="00FF06DC"/>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85F46"/>
  <w15:docId w15:val="{283FB243-131E-4A02-A460-9015088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ED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9F5C0-0D04-4F75-9B63-A8DA3DA3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2022-04-06T09:55:00Z</dcterms:created>
  <dcterms:modified xsi:type="dcterms:W3CDTF">2022-04-06T09:55:00Z</dcterms:modified>
</cp:coreProperties>
</file>