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A04E"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70C22F01" w14:textId="77777777" w:rsidTr="00ED2B33">
        <w:trPr>
          <w:cantSplit/>
        </w:trPr>
        <w:tc>
          <w:tcPr>
            <w:tcW w:w="786" w:type="pct"/>
            <w:shd w:val="clear" w:color="auto" w:fill="auto"/>
          </w:tcPr>
          <w:p w14:paraId="1A83779A"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40900951" w14:textId="77777777" w:rsidR="005473CF" w:rsidRPr="00F866CD" w:rsidRDefault="004F4A5F" w:rsidP="0057738F">
            <w:pPr>
              <w:keepLines/>
              <w:spacing w:before="120"/>
              <w:ind w:left="567" w:hanging="567"/>
              <w:rPr>
                <w:rFonts w:ascii="Arial" w:hAnsi="Arial" w:cs="Arial"/>
                <w:b/>
                <w:szCs w:val="22"/>
              </w:rPr>
            </w:pPr>
            <w:r w:rsidRPr="004F4A5F">
              <w:rPr>
                <w:rFonts w:ascii="Arial" w:hAnsi="Arial" w:cs="Arial"/>
                <w:b/>
                <w:szCs w:val="22"/>
              </w:rPr>
              <w:t>20.</w:t>
            </w:r>
            <w:r w:rsidRPr="004F4A5F">
              <w:rPr>
                <w:rFonts w:ascii="Arial" w:hAnsi="Arial" w:cs="Arial"/>
                <w:b/>
                <w:szCs w:val="22"/>
              </w:rPr>
              <w:tab/>
              <w:t>Extent to which programmes raising awareness of ICH respect the relevant ethical principles</w:t>
            </w:r>
          </w:p>
        </w:tc>
      </w:tr>
      <w:tr w:rsidR="005B0FE5" w:rsidRPr="00F866CD" w14:paraId="4C3002B0" w14:textId="77777777" w:rsidTr="00ED2B33">
        <w:trPr>
          <w:cantSplit/>
        </w:trPr>
        <w:tc>
          <w:tcPr>
            <w:tcW w:w="786" w:type="pct"/>
            <w:vMerge w:val="restart"/>
            <w:shd w:val="clear" w:color="auto" w:fill="auto"/>
          </w:tcPr>
          <w:p w14:paraId="64923D9C"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59527A70"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4F4A5F">
              <w:rPr>
                <w:rFonts w:ascii="Arial" w:hAnsi="Arial" w:cs="Arial"/>
                <w:szCs w:val="22"/>
              </w:rPr>
              <w:t>two</w:t>
            </w:r>
            <w:r w:rsidRPr="00F866CD">
              <w:rPr>
                <w:rFonts w:ascii="Arial" w:hAnsi="Arial" w:cs="Arial"/>
                <w:szCs w:val="22"/>
              </w:rPr>
              <w:t xml:space="preserve"> country-level factors monitored and reported by each State Party:</w:t>
            </w:r>
          </w:p>
        </w:tc>
      </w:tr>
      <w:tr w:rsidR="004F4A5F" w:rsidRPr="00F866CD" w14:paraId="577CA7C2" w14:textId="77777777" w:rsidTr="00ED2B33">
        <w:trPr>
          <w:cantSplit/>
        </w:trPr>
        <w:tc>
          <w:tcPr>
            <w:tcW w:w="786" w:type="pct"/>
            <w:vMerge/>
            <w:shd w:val="clear" w:color="auto" w:fill="auto"/>
          </w:tcPr>
          <w:p w14:paraId="68E3F845" w14:textId="77777777" w:rsidR="004F4A5F" w:rsidRPr="00F866CD" w:rsidRDefault="004F4A5F" w:rsidP="004F4A5F">
            <w:pPr>
              <w:spacing w:before="120"/>
              <w:rPr>
                <w:rFonts w:ascii="Arial" w:hAnsi="Arial" w:cs="Arial"/>
                <w:b/>
                <w:szCs w:val="22"/>
              </w:rPr>
            </w:pPr>
          </w:p>
        </w:tc>
        <w:tc>
          <w:tcPr>
            <w:tcW w:w="3418" w:type="pct"/>
            <w:shd w:val="clear" w:color="auto" w:fill="auto"/>
            <w:vAlign w:val="center"/>
          </w:tcPr>
          <w:p w14:paraId="5C2262A3" w14:textId="60960437" w:rsidR="004F4A5F" w:rsidRPr="00151615" w:rsidRDefault="00F64060" w:rsidP="00151615">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151615">
              <w:rPr>
                <w:rFonts w:ascii="Arial" w:hAnsi="Arial" w:cs="Arial"/>
                <w:sz w:val="20"/>
                <w:szCs w:val="20"/>
                <w:lang w:val="en-GB"/>
              </w:rPr>
              <w:t>The Ethical Principles for Safeguarding Intangible Cultural Heritage are respected in awareness-raising activities.</w:t>
            </w:r>
          </w:p>
        </w:tc>
        <w:tc>
          <w:tcPr>
            <w:tcW w:w="796" w:type="pct"/>
            <w:shd w:val="clear" w:color="auto" w:fill="auto"/>
            <w:vAlign w:val="center"/>
          </w:tcPr>
          <w:p w14:paraId="2E2EE10E" w14:textId="77777777" w:rsidR="004F4A5F" w:rsidRPr="0074360F" w:rsidRDefault="004F4A5F" w:rsidP="004F4A5F">
            <w:pPr>
              <w:keepLines/>
              <w:spacing w:before="120"/>
              <w:rPr>
                <w:rFonts w:ascii="Arial" w:hAnsi="Arial" w:cs="Arial"/>
                <w:sz w:val="20"/>
                <w:szCs w:val="20"/>
              </w:rPr>
            </w:pPr>
            <w:r w:rsidRPr="00A8072E">
              <w:rPr>
                <w:rFonts w:ascii="Arial" w:hAnsi="Arial" w:cs="Arial"/>
                <w:sz w:val="20"/>
                <w:szCs w:val="20"/>
              </w:rPr>
              <w:t>EP</w:t>
            </w:r>
          </w:p>
        </w:tc>
      </w:tr>
      <w:tr w:rsidR="004F4A5F" w:rsidRPr="00F866CD" w14:paraId="118C96F8" w14:textId="77777777" w:rsidTr="00ED2B33">
        <w:trPr>
          <w:cantSplit/>
        </w:trPr>
        <w:tc>
          <w:tcPr>
            <w:tcW w:w="786" w:type="pct"/>
            <w:vMerge/>
            <w:shd w:val="clear" w:color="auto" w:fill="auto"/>
          </w:tcPr>
          <w:p w14:paraId="643C96DD" w14:textId="77777777" w:rsidR="004F4A5F" w:rsidRPr="00F866CD" w:rsidRDefault="004F4A5F" w:rsidP="004F4A5F">
            <w:pPr>
              <w:spacing w:before="120"/>
              <w:rPr>
                <w:rFonts w:ascii="Arial" w:hAnsi="Arial" w:cs="Arial"/>
                <w:b/>
                <w:szCs w:val="22"/>
              </w:rPr>
            </w:pPr>
          </w:p>
        </w:tc>
        <w:tc>
          <w:tcPr>
            <w:tcW w:w="3418" w:type="pct"/>
            <w:shd w:val="clear" w:color="auto" w:fill="auto"/>
            <w:vAlign w:val="center"/>
          </w:tcPr>
          <w:p w14:paraId="037490E1" w14:textId="77777777" w:rsidR="004F4A5F" w:rsidRPr="00151615" w:rsidRDefault="00F64060" w:rsidP="00151615">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151615">
              <w:rPr>
                <w:rFonts w:ascii="Arial" w:hAnsi="Arial" w:cs="Arial"/>
                <w:sz w:val="20"/>
                <w:szCs w:val="20"/>
                <w:lang w:val="en-GB"/>
              </w:rPr>
              <w:t>Ethical principles, particularly as embodied in relevant professional codes or standards, are respected in awareness-raising activities.</w:t>
            </w:r>
          </w:p>
        </w:tc>
        <w:tc>
          <w:tcPr>
            <w:tcW w:w="796" w:type="pct"/>
            <w:shd w:val="clear" w:color="auto" w:fill="auto"/>
            <w:vAlign w:val="center"/>
          </w:tcPr>
          <w:p w14:paraId="29E6AD21" w14:textId="77777777" w:rsidR="004F4A5F" w:rsidRPr="0074360F" w:rsidRDefault="004F4A5F" w:rsidP="004F4A5F">
            <w:pPr>
              <w:spacing w:before="60" w:after="60"/>
              <w:rPr>
                <w:rFonts w:ascii="Arial" w:hAnsi="Arial" w:cs="Arial"/>
                <w:sz w:val="20"/>
                <w:szCs w:val="20"/>
              </w:rPr>
            </w:pPr>
            <w:r w:rsidRPr="00A8072E">
              <w:rPr>
                <w:rFonts w:ascii="Arial" w:hAnsi="Arial" w:cs="Arial"/>
                <w:sz w:val="20"/>
                <w:szCs w:val="20"/>
              </w:rPr>
              <w:t>OD 103</w:t>
            </w:r>
          </w:p>
        </w:tc>
      </w:tr>
      <w:tr w:rsidR="005473CF" w:rsidRPr="00F866CD" w14:paraId="24BC8884" w14:textId="77777777" w:rsidTr="00ED2B33">
        <w:trPr>
          <w:cantSplit/>
        </w:trPr>
        <w:tc>
          <w:tcPr>
            <w:tcW w:w="786" w:type="pct"/>
            <w:shd w:val="clear" w:color="auto" w:fill="auto"/>
          </w:tcPr>
          <w:p w14:paraId="5988629D"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603BF58D" w14:textId="77777777" w:rsidR="005473CF" w:rsidRPr="00F866CD"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11248E">
              <w:rPr>
                <w:rFonts w:ascii="Arial" w:hAnsi="Arial" w:cs="Arial"/>
                <w:szCs w:val="22"/>
              </w:rPr>
              <w:t>Like all of the indicators, the present indicator supports SDG Target 11.4, ‘strengthen efforts to protect and safeguard the world’s cultural and natural heritage.’</w:t>
            </w:r>
          </w:p>
          <w:p w14:paraId="77481E3A" w14:textId="7DA1E8DF" w:rsidR="005473CF" w:rsidRPr="00F866CD" w:rsidRDefault="005473CF" w:rsidP="00362131">
            <w:pPr>
              <w:keepLines/>
              <w:spacing w:before="120"/>
              <w:jc w:val="both"/>
              <w:rPr>
                <w:rFonts w:ascii="Arial" w:hAnsi="Arial" w:cs="Arial"/>
                <w:b/>
                <w:szCs w:val="22"/>
              </w:rPr>
            </w:pPr>
            <w:r w:rsidRPr="00F866CD">
              <w:rPr>
                <w:rFonts w:ascii="Arial" w:hAnsi="Arial" w:cs="Arial"/>
                <w:b/>
                <w:szCs w:val="22"/>
              </w:rPr>
              <w:t>Relation to other indicators:</w:t>
            </w:r>
            <w:r w:rsidRPr="00F866CD">
              <w:rPr>
                <w:rFonts w:ascii="Arial" w:hAnsi="Arial" w:cs="Arial"/>
                <w:bCs/>
                <w:szCs w:val="22"/>
              </w:rPr>
              <w:t xml:space="preserve"> </w:t>
            </w:r>
            <w:r w:rsidR="0057738F">
              <w:rPr>
                <w:rFonts w:ascii="Arial" w:hAnsi="Arial" w:cs="Arial"/>
                <w:bCs/>
                <w:szCs w:val="22"/>
              </w:rPr>
              <w:t>The present indicator focuses its attention on the manner in which awareness-raising programmes are implemented, and specifically whether they are carried out in an ethical manner. It thus completes the set of four indicators concerned with raising awareness (17-20)</w:t>
            </w:r>
            <w:r w:rsidR="00E14AF4">
              <w:rPr>
                <w:rFonts w:ascii="Arial" w:hAnsi="Arial" w:cs="Arial"/>
                <w:bCs/>
                <w:szCs w:val="22"/>
              </w:rPr>
              <w:t>.</w:t>
            </w:r>
            <w:r w:rsidR="0057738F">
              <w:rPr>
                <w:rFonts w:ascii="Arial" w:hAnsi="Arial" w:cs="Arial"/>
                <w:bCs/>
                <w:szCs w:val="22"/>
              </w:rPr>
              <w:t xml:space="preserve"> </w:t>
            </w:r>
            <w:r w:rsidR="00362131">
              <w:rPr>
                <w:rFonts w:ascii="Arial" w:hAnsi="Arial" w:cs="Arial"/>
                <w:bCs/>
                <w:szCs w:val="22"/>
              </w:rPr>
              <w:t xml:space="preserve">Indicator </w:t>
            </w:r>
            <w:r w:rsidR="0057738F">
              <w:rPr>
                <w:rFonts w:ascii="Arial" w:hAnsi="Arial" w:cs="Arial"/>
                <w:bCs/>
                <w:szCs w:val="22"/>
              </w:rPr>
              <w:t xml:space="preserve">17 looks at the wide participation of communities, groups and individuals, while Indicator 18 focuses on the role of the media and Indicator 19 addresses content and impact. The Ethical Principles for Safeguarding ICH </w:t>
            </w:r>
            <w:r w:rsidR="00ED2B33">
              <w:rPr>
                <w:rFonts w:ascii="Arial" w:hAnsi="Arial" w:cs="Arial"/>
                <w:bCs/>
                <w:szCs w:val="22"/>
              </w:rPr>
              <w:t>are also relevant to</w:t>
            </w:r>
            <w:r w:rsidR="0057738F">
              <w:rPr>
                <w:rFonts w:ascii="Arial" w:hAnsi="Arial" w:cs="Arial"/>
                <w:bCs/>
                <w:szCs w:val="22"/>
              </w:rPr>
              <w:t xml:space="preserve"> Indicator 9, insofar as research and documentation are concerned</w:t>
            </w:r>
            <w:r w:rsidR="00ED2B33">
              <w:rPr>
                <w:rFonts w:ascii="Arial" w:hAnsi="Arial" w:cs="Arial"/>
                <w:bCs/>
                <w:szCs w:val="22"/>
              </w:rPr>
              <w:t>;</w:t>
            </w:r>
            <w:r w:rsidR="0057738F">
              <w:rPr>
                <w:rFonts w:ascii="Arial" w:hAnsi="Arial" w:cs="Arial"/>
                <w:bCs/>
                <w:szCs w:val="22"/>
              </w:rPr>
              <w:t xml:space="preserve"> to Indicator 13, in the context of development plans, policies and programmes</w:t>
            </w:r>
            <w:r w:rsidR="00ED2B33">
              <w:rPr>
                <w:rFonts w:ascii="Arial" w:hAnsi="Arial" w:cs="Arial"/>
                <w:bCs/>
                <w:szCs w:val="22"/>
              </w:rPr>
              <w:t xml:space="preserve">; </w:t>
            </w:r>
            <w:r w:rsidR="0057738F">
              <w:rPr>
                <w:rFonts w:ascii="Arial" w:hAnsi="Arial" w:cs="Arial"/>
                <w:bCs/>
                <w:szCs w:val="22"/>
              </w:rPr>
              <w:t>and to Indicator 21 with regard to private sector safeguarding efforts.</w:t>
            </w:r>
          </w:p>
        </w:tc>
      </w:tr>
      <w:tr w:rsidR="00896177" w:rsidRPr="00F866CD" w14:paraId="2D8FFBF4" w14:textId="77777777" w:rsidTr="00ED2B33">
        <w:trPr>
          <w:cantSplit/>
        </w:trPr>
        <w:tc>
          <w:tcPr>
            <w:tcW w:w="786" w:type="pct"/>
            <w:shd w:val="clear" w:color="auto" w:fill="auto"/>
          </w:tcPr>
          <w:p w14:paraId="6FCDE3BA"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48A6441E" w14:textId="51E83C49" w:rsidR="00704766" w:rsidRPr="00F866CD" w:rsidRDefault="00362131" w:rsidP="00362131">
            <w:pPr>
              <w:keepLines/>
              <w:spacing w:before="120"/>
              <w:jc w:val="both"/>
              <w:rPr>
                <w:rFonts w:asciiTheme="minorBidi" w:hAnsiTheme="minorBidi" w:cstheme="minorBidi"/>
                <w:szCs w:val="22"/>
              </w:rPr>
            </w:pPr>
            <w:r>
              <w:rPr>
                <w:rFonts w:asciiTheme="minorBidi" w:hAnsiTheme="minorBidi" w:cstheme="minorBidi"/>
                <w:szCs w:val="22"/>
              </w:rPr>
              <w:t xml:space="preserve">Under Article 1(c), one </w:t>
            </w:r>
            <w:r w:rsidR="002B6C9B">
              <w:rPr>
                <w:rFonts w:asciiTheme="minorBidi" w:hAnsiTheme="minorBidi" w:cstheme="minorBidi"/>
                <w:szCs w:val="22"/>
              </w:rPr>
              <w:t xml:space="preserve">of the Convention’s four purposes is </w:t>
            </w:r>
            <w:r w:rsidR="00E14AF4">
              <w:rPr>
                <w:rFonts w:asciiTheme="minorBidi" w:hAnsiTheme="minorBidi" w:cstheme="minorBidi"/>
                <w:szCs w:val="22"/>
              </w:rPr>
              <w:t>‘</w:t>
            </w:r>
            <w:r w:rsidR="002B6C9B" w:rsidRPr="007A69DE">
              <w:rPr>
                <w:rFonts w:asciiTheme="minorBidi" w:hAnsiTheme="minorBidi" w:cstheme="minorBidi"/>
                <w:szCs w:val="22"/>
              </w:rPr>
              <w:t>to raise awareness at the local, national and international levels of the importance of the</w:t>
            </w:r>
            <w:r w:rsidR="002B6C9B">
              <w:rPr>
                <w:rFonts w:asciiTheme="minorBidi" w:hAnsiTheme="minorBidi" w:cstheme="minorBidi"/>
                <w:szCs w:val="22"/>
              </w:rPr>
              <w:t xml:space="preserve"> </w:t>
            </w:r>
            <w:r w:rsidR="002B6C9B" w:rsidRPr="007A69DE">
              <w:rPr>
                <w:rFonts w:asciiTheme="minorBidi" w:hAnsiTheme="minorBidi" w:cstheme="minorBidi"/>
                <w:szCs w:val="22"/>
              </w:rPr>
              <w:t>intangible cultural heritage, and of ensuring mutual appreciation thereof</w:t>
            </w:r>
            <w:r w:rsidR="002B6C9B">
              <w:rPr>
                <w:rFonts w:asciiTheme="minorBidi" w:hAnsiTheme="minorBidi" w:cstheme="minorBidi"/>
                <w:szCs w:val="22"/>
              </w:rPr>
              <w:t xml:space="preserve">’. </w:t>
            </w:r>
            <w:r w:rsidR="00B7459B">
              <w:rPr>
                <w:rFonts w:asciiTheme="minorBidi" w:hAnsiTheme="minorBidi" w:cstheme="minorBidi"/>
                <w:szCs w:val="22"/>
              </w:rPr>
              <w:t>The Ethical Principles for Safeguarding ICH lay out a number of fundamental values that should guide all safeguarding efforts, including awareness-raising programmes. Those principles are complemented by relevant ethical codes or standards developed by professional organizations and associations whose members are involved in raising awareness, such as journalists and other media personnel or museum professionals.</w:t>
            </w:r>
          </w:p>
        </w:tc>
      </w:tr>
      <w:tr w:rsidR="00704766" w:rsidRPr="00F866CD" w14:paraId="00783D24" w14:textId="77777777" w:rsidTr="00ED2B33">
        <w:trPr>
          <w:cantSplit/>
        </w:trPr>
        <w:tc>
          <w:tcPr>
            <w:tcW w:w="786" w:type="pct"/>
            <w:shd w:val="clear" w:color="auto" w:fill="auto"/>
          </w:tcPr>
          <w:p w14:paraId="29724D58"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210E00F0" w14:textId="77777777" w:rsidR="00704766" w:rsidRPr="004F4A5F" w:rsidRDefault="004F4A5F" w:rsidP="00704766">
            <w:pPr>
              <w:pStyle w:val="ListParagraph"/>
              <w:numPr>
                <w:ilvl w:val="0"/>
                <w:numId w:val="71"/>
              </w:numPr>
              <w:spacing w:before="120" w:after="120"/>
              <w:ind w:left="714" w:hanging="357"/>
              <w:jc w:val="both"/>
              <w:rPr>
                <w:rFonts w:asciiTheme="minorBidi" w:hAnsiTheme="minorBidi" w:cstheme="minorBidi"/>
                <w:lang w:val="en-GB"/>
              </w:rPr>
            </w:pPr>
            <w:r w:rsidRPr="004F4A5F">
              <w:rPr>
                <w:rFonts w:ascii="Arial" w:hAnsi="Arial" w:cs="Arial"/>
                <w:lang w:val="en-GB"/>
              </w:rPr>
              <w:t>Ethical Principles for Safeguarding Intangible Cultural Heritage</w:t>
            </w:r>
          </w:p>
          <w:p w14:paraId="3146B41B" w14:textId="77777777" w:rsidR="004F4A5F" w:rsidRPr="004F4A5F" w:rsidRDefault="004F4A5F"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Professional codes or standards</w:t>
            </w:r>
          </w:p>
        </w:tc>
      </w:tr>
    </w:tbl>
    <w:p w14:paraId="1FCE2C94"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4390DA78" w14:textId="77777777" w:rsidR="0054175C" w:rsidRPr="00F866CD" w:rsidRDefault="0054175C" w:rsidP="00AA7A4F">
      <w:pPr>
        <w:keepNext/>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3C265476" w14:textId="77777777" w:rsidTr="00ED2B33">
        <w:tc>
          <w:tcPr>
            <w:tcW w:w="730" w:type="pct"/>
            <w:shd w:val="clear" w:color="auto" w:fill="auto"/>
          </w:tcPr>
          <w:p w14:paraId="271A157C"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2EB6F6C9" w14:textId="76E8B2B1" w:rsidR="002C28BA" w:rsidRPr="00621208" w:rsidRDefault="00362131" w:rsidP="002A784C">
            <w:pPr>
              <w:keepLines/>
              <w:spacing w:before="120"/>
              <w:jc w:val="both"/>
              <w:rPr>
                <w:rFonts w:ascii="Arial" w:hAnsi="Arial" w:cs="Arial"/>
                <w:bCs/>
                <w:szCs w:val="22"/>
              </w:rPr>
            </w:pPr>
            <w:r>
              <w:rPr>
                <w:rFonts w:ascii="Arial" w:hAnsi="Arial" w:cs="Arial"/>
                <w:bCs/>
                <w:szCs w:val="22"/>
              </w:rPr>
              <w:t>T</w:t>
            </w:r>
            <w:r w:rsidR="00AA7A4F">
              <w:rPr>
                <w:rFonts w:ascii="Arial" w:hAnsi="Arial" w:cs="Arial"/>
                <w:bCs/>
                <w:szCs w:val="22"/>
              </w:rPr>
              <w:t xml:space="preserve">he Ethical Principles for Safeguarding ICH as well as other professional ethical codes and standards </w:t>
            </w:r>
            <w:r>
              <w:rPr>
                <w:rFonts w:ascii="Arial" w:hAnsi="Arial" w:cs="Arial"/>
                <w:bCs/>
                <w:szCs w:val="22"/>
              </w:rPr>
              <w:t xml:space="preserve">are </w:t>
            </w:r>
            <w:r w:rsidR="00E14AF4">
              <w:rPr>
                <w:rFonts w:ascii="Arial" w:hAnsi="Arial" w:cs="Arial"/>
                <w:bCs/>
                <w:szCs w:val="22"/>
              </w:rPr>
              <w:t>of fundamental importance</w:t>
            </w:r>
            <w:r>
              <w:rPr>
                <w:rFonts w:ascii="Arial" w:hAnsi="Arial" w:cs="Arial"/>
                <w:bCs/>
                <w:szCs w:val="22"/>
              </w:rPr>
              <w:t xml:space="preserve"> since activities or behaviours that are unethical can have negative consequences for ICH itself and for its related communities, groups or individuals</w:t>
            </w:r>
            <w:r w:rsidR="00AA7A4F">
              <w:rPr>
                <w:rFonts w:ascii="Arial" w:hAnsi="Arial" w:cs="Arial"/>
                <w:bCs/>
                <w:szCs w:val="22"/>
              </w:rPr>
              <w:t xml:space="preserve">. </w:t>
            </w:r>
            <w:r>
              <w:rPr>
                <w:rFonts w:ascii="Arial" w:hAnsi="Arial" w:cs="Arial"/>
                <w:bCs/>
                <w:szCs w:val="22"/>
              </w:rPr>
              <w:t>M</w:t>
            </w:r>
            <w:r w:rsidR="00AA7A4F">
              <w:rPr>
                <w:rFonts w:ascii="Arial" w:hAnsi="Arial" w:cs="Arial"/>
                <w:bCs/>
                <w:szCs w:val="22"/>
              </w:rPr>
              <w:t xml:space="preserve">onitoring </w:t>
            </w:r>
            <w:r w:rsidR="00E14AF4">
              <w:rPr>
                <w:rFonts w:ascii="Arial" w:hAnsi="Arial" w:cs="Arial"/>
                <w:bCs/>
                <w:szCs w:val="22"/>
              </w:rPr>
              <w:t>can</w:t>
            </w:r>
            <w:r w:rsidR="002A784C">
              <w:rPr>
                <w:rFonts w:ascii="Arial" w:hAnsi="Arial" w:cs="Arial"/>
                <w:bCs/>
                <w:szCs w:val="22"/>
              </w:rPr>
              <w:t xml:space="preserve"> help to assess to what </w:t>
            </w:r>
            <w:r w:rsidR="00AA7A4F">
              <w:rPr>
                <w:rFonts w:ascii="Arial" w:hAnsi="Arial" w:cs="Arial"/>
                <w:bCs/>
                <w:szCs w:val="22"/>
              </w:rPr>
              <w:t>extent such ethical principles are respected or to alert a State to the need to take remedial action to reaffirm and reinforce those ethical principles. At the global level, monitoring can identify the extent to which there is general understanding of such ethical principles and whether capacity-building efforts may need to be directed to strengthening such understanding.</w:t>
            </w:r>
          </w:p>
        </w:tc>
      </w:tr>
      <w:tr w:rsidR="0054175C" w:rsidRPr="00F866CD" w14:paraId="256AE1C8" w14:textId="77777777" w:rsidTr="00ED2B33">
        <w:tc>
          <w:tcPr>
            <w:tcW w:w="730" w:type="pct"/>
            <w:shd w:val="clear" w:color="auto" w:fill="auto"/>
          </w:tcPr>
          <w:p w14:paraId="25830BBC" w14:textId="77777777" w:rsidR="0054175C" w:rsidRPr="00F866CD" w:rsidRDefault="0054175C" w:rsidP="0054175C">
            <w:pPr>
              <w:spacing w:before="120"/>
              <w:rPr>
                <w:rFonts w:ascii="Arial" w:hAnsi="Arial" w:cs="Arial"/>
                <w:b/>
                <w:szCs w:val="22"/>
              </w:rPr>
            </w:pPr>
            <w:r w:rsidRPr="00F866CD">
              <w:rPr>
                <w:rFonts w:ascii="Arial" w:hAnsi="Arial" w:cs="Arial"/>
                <w:b/>
                <w:szCs w:val="22"/>
              </w:rPr>
              <w:t xml:space="preserve">Data sources and </w:t>
            </w:r>
            <w:r w:rsidRPr="00F866CD">
              <w:rPr>
                <w:rFonts w:ascii="Arial" w:hAnsi="Arial" w:cs="Arial"/>
                <w:b/>
                <w:szCs w:val="22"/>
              </w:rPr>
              <w:lastRenderedPageBreak/>
              <w:t>collection</w:t>
            </w:r>
          </w:p>
        </w:tc>
        <w:tc>
          <w:tcPr>
            <w:tcW w:w="4270" w:type="pct"/>
            <w:shd w:val="clear" w:color="auto" w:fill="auto"/>
          </w:tcPr>
          <w:p w14:paraId="2F65EF1C" w14:textId="7E8EF522" w:rsidR="005306E7" w:rsidRPr="00F866CD" w:rsidRDefault="005306E7" w:rsidP="005306E7">
            <w:pPr>
              <w:spacing w:before="120"/>
              <w:jc w:val="both"/>
              <w:rPr>
                <w:rFonts w:ascii="Arial" w:hAnsi="Arial" w:cs="Arial"/>
                <w:szCs w:val="22"/>
              </w:rPr>
            </w:pPr>
            <w:r>
              <w:rPr>
                <w:rFonts w:ascii="Arial" w:hAnsi="Arial" w:cs="Arial"/>
                <w:szCs w:val="22"/>
              </w:rPr>
              <w:lastRenderedPageBreak/>
              <w:t xml:space="preserve">In many cases, </w:t>
            </w:r>
            <w:r w:rsidR="002A784C">
              <w:rPr>
                <w:rFonts w:ascii="Arial" w:hAnsi="Arial" w:cs="Arial"/>
                <w:szCs w:val="22"/>
              </w:rPr>
              <w:t>an important data source may be held by responsible authorities in the field of information, communication and media.</w:t>
            </w:r>
            <w:r>
              <w:rPr>
                <w:rFonts w:ascii="Arial" w:hAnsi="Arial" w:cs="Arial"/>
                <w:szCs w:val="22"/>
              </w:rPr>
              <w:t xml:space="preserve"> If the State has a consultative body or coordination mechanism, it may include those involved in raising </w:t>
            </w:r>
            <w:r>
              <w:rPr>
                <w:rFonts w:ascii="Arial" w:hAnsi="Arial" w:cs="Arial"/>
                <w:szCs w:val="22"/>
              </w:rPr>
              <w:lastRenderedPageBreak/>
              <w:t xml:space="preserve">awareness, and they can provide supplementary information. </w:t>
            </w:r>
            <w:r w:rsidR="002A784C">
              <w:rPr>
                <w:rFonts w:ascii="Arial" w:hAnsi="Arial" w:cs="Arial"/>
                <w:szCs w:val="22"/>
              </w:rPr>
              <w:t xml:space="preserve">Non-conformity with </w:t>
            </w:r>
            <w:r>
              <w:rPr>
                <w:rFonts w:ascii="Arial" w:hAnsi="Arial" w:cs="Arial"/>
                <w:szCs w:val="22"/>
              </w:rPr>
              <w:t xml:space="preserve">relevant ethical principles may lead to public controversy or media coverage in their own right; researchers may also </w:t>
            </w:r>
            <w:r w:rsidR="002A784C">
              <w:rPr>
                <w:rFonts w:ascii="Arial" w:hAnsi="Arial" w:cs="Arial"/>
                <w:szCs w:val="22"/>
              </w:rPr>
              <w:t xml:space="preserve">call attention to cases </w:t>
            </w:r>
            <w:r>
              <w:rPr>
                <w:rFonts w:ascii="Arial" w:hAnsi="Arial" w:cs="Arial"/>
                <w:szCs w:val="22"/>
              </w:rPr>
              <w:t>where those involved in raising awareness may not have fully respected those principles.</w:t>
            </w:r>
          </w:p>
          <w:p w14:paraId="7492C768" w14:textId="77777777" w:rsidR="005306E7" w:rsidRPr="00F866CD" w:rsidRDefault="005306E7" w:rsidP="005306E7">
            <w:pPr>
              <w:keepNext/>
              <w:spacing w:before="120" w:after="60"/>
              <w:jc w:val="both"/>
              <w:rPr>
                <w:rFonts w:ascii="Arial" w:hAnsi="Arial" w:cs="Arial"/>
                <w:b/>
                <w:szCs w:val="22"/>
              </w:rPr>
            </w:pPr>
            <w:r w:rsidRPr="00F866CD">
              <w:rPr>
                <w:rFonts w:ascii="Arial" w:hAnsi="Arial" w:cs="Arial"/>
                <w:b/>
                <w:szCs w:val="22"/>
              </w:rPr>
              <w:t>Possible data sources</w:t>
            </w:r>
          </w:p>
          <w:p w14:paraId="3DF8D080" w14:textId="77777777" w:rsidR="005306E7" w:rsidRDefault="005306E7" w:rsidP="005306E7">
            <w:pPr>
              <w:pStyle w:val="ListParagraph"/>
              <w:numPr>
                <w:ilvl w:val="0"/>
                <w:numId w:val="73"/>
              </w:numPr>
              <w:spacing w:before="120"/>
              <w:jc w:val="both"/>
              <w:rPr>
                <w:rFonts w:ascii="Arial" w:hAnsi="Arial" w:cs="Arial"/>
                <w:lang w:val="en-GB"/>
              </w:rPr>
            </w:pPr>
            <w:r>
              <w:rPr>
                <w:rFonts w:ascii="Arial" w:hAnsi="Arial" w:cs="Arial"/>
                <w:lang w:val="en-GB"/>
              </w:rPr>
              <w:t>Publications, reports and collections of awareness-raising materials</w:t>
            </w:r>
          </w:p>
          <w:p w14:paraId="0D6391C0" w14:textId="77777777" w:rsidR="005306E7" w:rsidRDefault="005306E7" w:rsidP="005306E7">
            <w:pPr>
              <w:pStyle w:val="ListParagraph"/>
              <w:numPr>
                <w:ilvl w:val="0"/>
                <w:numId w:val="73"/>
              </w:numPr>
              <w:spacing w:before="120"/>
              <w:jc w:val="both"/>
              <w:rPr>
                <w:rFonts w:ascii="Arial" w:hAnsi="Arial" w:cs="Arial"/>
                <w:lang w:val="en-GB"/>
              </w:rPr>
            </w:pPr>
            <w:r>
              <w:rPr>
                <w:rFonts w:ascii="Arial" w:hAnsi="Arial" w:cs="Arial"/>
                <w:lang w:val="en-GB"/>
              </w:rPr>
              <w:t>Codes of conduct or guidelines for media and others involved in raising awareness</w:t>
            </w:r>
          </w:p>
          <w:p w14:paraId="3FDB1EA9" w14:textId="77777777" w:rsidR="005306E7" w:rsidRDefault="005306E7" w:rsidP="005306E7">
            <w:pPr>
              <w:pStyle w:val="ListParagraph"/>
              <w:numPr>
                <w:ilvl w:val="0"/>
                <w:numId w:val="73"/>
              </w:numPr>
              <w:spacing w:before="120"/>
              <w:jc w:val="both"/>
              <w:rPr>
                <w:rFonts w:ascii="Arial" w:hAnsi="Arial" w:cs="Arial"/>
                <w:lang w:val="en-GB"/>
              </w:rPr>
            </w:pPr>
            <w:r>
              <w:rPr>
                <w:rFonts w:ascii="Arial" w:hAnsi="Arial" w:cs="Arial"/>
                <w:lang w:val="en-GB"/>
              </w:rPr>
              <w:t>Findings of research carried out among communities, groups and individuals concerning their ICH</w:t>
            </w:r>
          </w:p>
          <w:p w14:paraId="5433FDCE" w14:textId="77777777" w:rsidR="005306E7" w:rsidRDefault="005306E7" w:rsidP="005306E7">
            <w:pPr>
              <w:pStyle w:val="ListParagraph"/>
              <w:numPr>
                <w:ilvl w:val="0"/>
                <w:numId w:val="73"/>
              </w:numPr>
              <w:spacing w:before="120"/>
              <w:jc w:val="both"/>
              <w:rPr>
                <w:rFonts w:ascii="Arial" w:hAnsi="Arial" w:cs="Arial"/>
                <w:lang w:val="en-GB"/>
              </w:rPr>
            </w:pPr>
            <w:r>
              <w:rPr>
                <w:rFonts w:ascii="Arial" w:hAnsi="Arial" w:cs="Arial"/>
                <w:lang w:val="en-GB"/>
              </w:rPr>
              <w:t>Websites and reports of a Ministry of Information and/or Ministry of Communication</w:t>
            </w:r>
          </w:p>
          <w:p w14:paraId="699C9B74" w14:textId="77777777" w:rsidR="005306E7" w:rsidRDefault="005306E7" w:rsidP="005306E7">
            <w:pPr>
              <w:pStyle w:val="ListParagraph"/>
              <w:numPr>
                <w:ilvl w:val="0"/>
                <w:numId w:val="73"/>
              </w:numPr>
              <w:spacing w:before="120"/>
              <w:jc w:val="both"/>
              <w:rPr>
                <w:rFonts w:ascii="Arial" w:hAnsi="Arial" w:cs="Arial"/>
                <w:lang w:val="en-GB"/>
              </w:rPr>
            </w:pPr>
            <w:r>
              <w:rPr>
                <w:rFonts w:ascii="Arial" w:hAnsi="Arial" w:cs="Arial"/>
                <w:lang w:val="en-GB"/>
              </w:rPr>
              <w:t>Websites, blogs, video logs and social media postings</w:t>
            </w:r>
          </w:p>
          <w:p w14:paraId="3804A641" w14:textId="77777777" w:rsidR="0054175C" w:rsidRPr="00F866CD" w:rsidRDefault="005306E7" w:rsidP="005306E7">
            <w:pPr>
              <w:pStyle w:val="ListParagraph"/>
              <w:numPr>
                <w:ilvl w:val="0"/>
                <w:numId w:val="73"/>
              </w:numPr>
              <w:spacing w:before="120"/>
              <w:jc w:val="both"/>
              <w:rPr>
                <w:rFonts w:ascii="Arial" w:hAnsi="Arial" w:cs="Arial"/>
                <w:lang w:val="en-GB"/>
              </w:rPr>
            </w:pPr>
            <w:r>
              <w:rPr>
                <w:rFonts w:ascii="Arial" w:hAnsi="Arial" w:cs="Arial"/>
                <w:lang w:val="en-GB"/>
              </w:rPr>
              <w:t>Social media groups and communities</w:t>
            </w:r>
          </w:p>
        </w:tc>
      </w:tr>
    </w:tbl>
    <w:p w14:paraId="32A21565"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213E" w14:textId="77777777" w:rsidR="0006464E" w:rsidRDefault="0006464E" w:rsidP="002938F2">
      <w:r>
        <w:separator/>
      </w:r>
    </w:p>
    <w:p w14:paraId="387B1094" w14:textId="77777777" w:rsidR="0006464E" w:rsidRDefault="0006464E"/>
  </w:endnote>
  <w:endnote w:type="continuationSeparator" w:id="0">
    <w:p w14:paraId="4DE9C062" w14:textId="77777777" w:rsidR="0006464E" w:rsidRDefault="0006464E" w:rsidP="002938F2">
      <w:r>
        <w:continuationSeparator/>
      </w:r>
    </w:p>
    <w:p w14:paraId="1B865D00" w14:textId="77777777" w:rsidR="0006464E" w:rsidRDefault="0006464E"/>
  </w:endnote>
  <w:endnote w:type="continuationNotice" w:id="1">
    <w:p w14:paraId="04959910" w14:textId="77777777" w:rsidR="0006464E" w:rsidRDefault="000646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BD47" w14:textId="24A3ACB8" w:rsidR="00C04344" w:rsidRPr="000A0709" w:rsidRDefault="00F64060"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151615">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045A" w14:textId="77777777" w:rsidR="0006464E" w:rsidRDefault="0006464E" w:rsidP="002938F2">
      <w:r>
        <w:separator/>
      </w:r>
    </w:p>
  </w:footnote>
  <w:footnote w:type="continuationSeparator" w:id="0">
    <w:p w14:paraId="43E6C703" w14:textId="77777777" w:rsidR="0006464E" w:rsidRDefault="0006464E" w:rsidP="002938F2">
      <w:r>
        <w:continuationSeparator/>
      </w:r>
    </w:p>
    <w:p w14:paraId="076D86ED" w14:textId="77777777" w:rsidR="0006464E" w:rsidRDefault="0006464E"/>
  </w:footnote>
  <w:footnote w:type="continuationNotice" w:id="1">
    <w:p w14:paraId="4C2DA78F" w14:textId="77777777" w:rsidR="0006464E" w:rsidRDefault="000646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FAF1" w14:textId="77777777" w:rsidR="00ED2B33" w:rsidRDefault="00ED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B2B29"/>
    <w:multiLevelType w:val="multilevel"/>
    <w:tmpl w:val="0506F198"/>
    <w:lvl w:ilvl="0">
      <w:start w:val="20"/>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F4A5F"/>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6464E"/>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179D"/>
    <w:rsid w:val="00106B72"/>
    <w:rsid w:val="00106D19"/>
    <w:rsid w:val="0011248E"/>
    <w:rsid w:val="0011334A"/>
    <w:rsid w:val="00115830"/>
    <w:rsid w:val="00116489"/>
    <w:rsid w:val="0011750D"/>
    <w:rsid w:val="00121B41"/>
    <w:rsid w:val="001301DF"/>
    <w:rsid w:val="00135153"/>
    <w:rsid w:val="001412DE"/>
    <w:rsid w:val="00142D78"/>
    <w:rsid w:val="00144A4D"/>
    <w:rsid w:val="00151351"/>
    <w:rsid w:val="00151615"/>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A784C"/>
    <w:rsid w:val="002B43D6"/>
    <w:rsid w:val="002B6B98"/>
    <w:rsid w:val="002B6C9B"/>
    <w:rsid w:val="002C28BA"/>
    <w:rsid w:val="002C3B8F"/>
    <w:rsid w:val="002C444C"/>
    <w:rsid w:val="002C5021"/>
    <w:rsid w:val="002C5280"/>
    <w:rsid w:val="002C5C29"/>
    <w:rsid w:val="002D396D"/>
    <w:rsid w:val="002D71D4"/>
    <w:rsid w:val="002E113D"/>
    <w:rsid w:val="002F17E1"/>
    <w:rsid w:val="002F64E6"/>
    <w:rsid w:val="003043A9"/>
    <w:rsid w:val="0030454E"/>
    <w:rsid w:val="00320242"/>
    <w:rsid w:val="00322A3A"/>
    <w:rsid w:val="00324A32"/>
    <w:rsid w:val="00325D6E"/>
    <w:rsid w:val="00334977"/>
    <w:rsid w:val="00337194"/>
    <w:rsid w:val="00342EE8"/>
    <w:rsid w:val="00344D78"/>
    <w:rsid w:val="00346517"/>
    <w:rsid w:val="00351CCB"/>
    <w:rsid w:val="0035648A"/>
    <w:rsid w:val="00362131"/>
    <w:rsid w:val="00362B41"/>
    <w:rsid w:val="00363995"/>
    <w:rsid w:val="00364E5E"/>
    <w:rsid w:val="00370E9B"/>
    <w:rsid w:val="00372B42"/>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20F5"/>
    <w:rsid w:val="004A610E"/>
    <w:rsid w:val="004C20E2"/>
    <w:rsid w:val="004E056C"/>
    <w:rsid w:val="004E2817"/>
    <w:rsid w:val="004E2AE8"/>
    <w:rsid w:val="004E418A"/>
    <w:rsid w:val="004F4A5F"/>
    <w:rsid w:val="005016FB"/>
    <w:rsid w:val="00504256"/>
    <w:rsid w:val="00511D17"/>
    <w:rsid w:val="005157E2"/>
    <w:rsid w:val="0051699F"/>
    <w:rsid w:val="00516DE3"/>
    <w:rsid w:val="005300BF"/>
    <w:rsid w:val="005306E7"/>
    <w:rsid w:val="00532631"/>
    <w:rsid w:val="005414A1"/>
    <w:rsid w:val="0054175C"/>
    <w:rsid w:val="005473CF"/>
    <w:rsid w:val="00570355"/>
    <w:rsid w:val="00574530"/>
    <w:rsid w:val="0057738F"/>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1071"/>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0C91"/>
    <w:rsid w:val="00691869"/>
    <w:rsid w:val="00694ED1"/>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22A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0D18"/>
    <w:rsid w:val="007E4E37"/>
    <w:rsid w:val="007F4B07"/>
    <w:rsid w:val="008029A6"/>
    <w:rsid w:val="008147BA"/>
    <w:rsid w:val="00821B33"/>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52D4"/>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395C"/>
    <w:rsid w:val="0092574C"/>
    <w:rsid w:val="009342E8"/>
    <w:rsid w:val="009357B4"/>
    <w:rsid w:val="00946D71"/>
    <w:rsid w:val="0095522A"/>
    <w:rsid w:val="009577E1"/>
    <w:rsid w:val="00971CA1"/>
    <w:rsid w:val="0097349C"/>
    <w:rsid w:val="009812AD"/>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A7A4F"/>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7459B"/>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77CF2"/>
    <w:rsid w:val="00C87194"/>
    <w:rsid w:val="00C90629"/>
    <w:rsid w:val="00C90C51"/>
    <w:rsid w:val="00C96DEF"/>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C591F"/>
    <w:rsid w:val="00DD11EE"/>
    <w:rsid w:val="00DD52A0"/>
    <w:rsid w:val="00DE5590"/>
    <w:rsid w:val="00DE6364"/>
    <w:rsid w:val="00DF1D9E"/>
    <w:rsid w:val="00DF3DA3"/>
    <w:rsid w:val="00DF5DA4"/>
    <w:rsid w:val="00E06492"/>
    <w:rsid w:val="00E065CE"/>
    <w:rsid w:val="00E06A00"/>
    <w:rsid w:val="00E13E03"/>
    <w:rsid w:val="00E14AF4"/>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2B33"/>
    <w:rsid w:val="00ED3D26"/>
    <w:rsid w:val="00ED5218"/>
    <w:rsid w:val="00EE1D9D"/>
    <w:rsid w:val="00EF0BCB"/>
    <w:rsid w:val="00EF0CCF"/>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060"/>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85F46"/>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D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F871-B773-440E-914D-19FCB789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2019-07-24T14:33:00Z</dcterms:created>
  <dcterms:modified xsi:type="dcterms:W3CDTF">2019-12-06T17:08:00Z</dcterms:modified>
</cp:coreProperties>
</file>