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5A04E"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es"/>
        </w:rPr>
        <w:t>Descripción general y justificación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6730"/>
        <w:gridCol w:w="1563"/>
      </w:tblGrid>
      <w:tr w:rsidR="005473CF" w:rsidRPr="007B3B88" w14:paraId="70C22F01" w14:textId="77777777" w:rsidTr="00ED2B33">
        <w:trPr>
          <w:cantSplit/>
        </w:trPr>
        <w:tc>
          <w:tcPr>
            <w:tcW w:w="786" w:type="pct"/>
            <w:shd w:val="clear" w:color="auto" w:fill="auto"/>
          </w:tcPr>
          <w:p w14:paraId="1A83779A" w14:textId="77777777" w:rsidR="005473CF" w:rsidRPr="00F866CD" w:rsidRDefault="005B0FE5" w:rsidP="00DA2ECC">
            <w:pPr>
              <w:spacing w:before="120"/>
              <w:rPr>
                <w:rFonts w:ascii="Arial" w:hAnsi="Arial" w:cs="Arial"/>
                <w:b/>
                <w:szCs w:val="22"/>
              </w:rPr>
            </w:pPr>
            <w:r>
              <w:rPr>
                <w:rFonts w:ascii="Arial" w:hAnsi="Arial" w:cs="Arial"/>
                <w:b/>
                <w:bCs/>
                <w:szCs w:val="22"/>
                <w:lang w:val="es"/>
              </w:rPr>
              <w:t>Indicador</w:t>
            </w:r>
          </w:p>
        </w:tc>
        <w:tc>
          <w:tcPr>
            <w:tcW w:w="4214" w:type="pct"/>
            <w:gridSpan w:val="2"/>
            <w:shd w:val="clear" w:color="auto" w:fill="auto"/>
          </w:tcPr>
          <w:p w14:paraId="40900951" w14:textId="77777777" w:rsidR="005473CF" w:rsidRPr="007B3B88" w:rsidRDefault="004F4A5F" w:rsidP="0057738F">
            <w:pPr>
              <w:keepLines/>
              <w:spacing w:before="120"/>
              <w:ind w:left="567" w:hanging="567"/>
              <w:rPr>
                <w:rFonts w:ascii="Arial" w:hAnsi="Arial" w:cs="Arial"/>
                <w:b/>
                <w:szCs w:val="22"/>
                <w:lang w:val="fr-FR"/>
              </w:rPr>
            </w:pPr>
            <w:r>
              <w:rPr>
                <w:rFonts w:ascii="Arial" w:hAnsi="Arial" w:cs="Arial"/>
                <w:b/>
                <w:bCs/>
                <w:szCs w:val="22"/>
                <w:lang w:val="es"/>
              </w:rPr>
              <w:t>20.</w:t>
            </w:r>
            <w:r>
              <w:rPr>
                <w:rFonts w:ascii="Arial" w:hAnsi="Arial" w:cs="Arial"/>
                <w:b/>
                <w:bCs/>
                <w:szCs w:val="22"/>
                <w:lang w:val="es"/>
              </w:rPr>
              <w:tab/>
              <w:t>Grado en el que los programas de sensibilización sobre el PCI respetan los principios éticos relevantes</w:t>
            </w:r>
          </w:p>
        </w:tc>
      </w:tr>
      <w:tr w:rsidR="005B0FE5" w:rsidRPr="007B3B88" w14:paraId="4C3002B0" w14:textId="77777777" w:rsidTr="00ED2B33">
        <w:trPr>
          <w:cantSplit/>
        </w:trPr>
        <w:tc>
          <w:tcPr>
            <w:tcW w:w="786" w:type="pct"/>
            <w:vMerge w:val="restart"/>
            <w:shd w:val="clear" w:color="auto" w:fill="auto"/>
          </w:tcPr>
          <w:p w14:paraId="64923D9C" w14:textId="77777777" w:rsidR="005B0FE5" w:rsidRPr="00F866CD" w:rsidRDefault="005B0FE5" w:rsidP="00DA2ECC">
            <w:pPr>
              <w:spacing w:before="120"/>
              <w:rPr>
                <w:rFonts w:ascii="Arial" w:hAnsi="Arial" w:cs="Arial"/>
                <w:b/>
                <w:szCs w:val="22"/>
              </w:rPr>
            </w:pPr>
            <w:r>
              <w:rPr>
                <w:rFonts w:ascii="Arial" w:hAnsi="Arial" w:cs="Arial"/>
                <w:b/>
                <w:bCs/>
                <w:szCs w:val="22"/>
                <w:lang w:val="es"/>
              </w:rPr>
              <w:t>Factores de evaluación</w:t>
            </w:r>
          </w:p>
        </w:tc>
        <w:tc>
          <w:tcPr>
            <w:tcW w:w="4214" w:type="pct"/>
            <w:gridSpan w:val="2"/>
            <w:shd w:val="clear" w:color="auto" w:fill="auto"/>
          </w:tcPr>
          <w:p w14:paraId="59527A70" w14:textId="77777777" w:rsidR="005B0FE5" w:rsidRPr="007B3B88" w:rsidRDefault="005B0FE5" w:rsidP="00946D71">
            <w:pPr>
              <w:keepLines/>
              <w:spacing w:before="120"/>
              <w:jc w:val="both"/>
              <w:rPr>
                <w:rFonts w:ascii="Arial" w:hAnsi="Arial" w:cs="Arial"/>
                <w:b/>
                <w:szCs w:val="22"/>
                <w:lang w:val="fr-FR"/>
              </w:rPr>
            </w:pPr>
            <w:r>
              <w:rPr>
                <w:rFonts w:ascii="Arial" w:hAnsi="Arial" w:cs="Arial"/>
                <w:szCs w:val="22"/>
                <w:lang w:val="es"/>
              </w:rPr>
              <w:t>Este indicador se evalúa sobre la base de dos factores de ámbito nacional que cada Estado Parte supervisa y notifica:</w:t>
            </w:r>
          </w:p>
        </w:tc>
      </w:tr>
      <w:tr w:rsidR="004F4A5F" w:rsidRPr="00F866CD" w14:paraId="577CA7C2" w14:textId="77777777" w:rsidTr="00ED2B33">
        <w:trPr>
          <w:cantSplit/>
        </w:trPr>
        <w:tc>
          <w:tcPr>
            <w:tcW w:w="786" w:type="pct"/>
            <w:vMerge/>
            <w:shd w:val="clear" w:color="auto" w:fill="auto"/>
          </w:tcPr>
          <w:p w14:paraId="68E3F845" w14:textId="77777777" w:rsidR="004F4A5F" w:rsidRPr="007B3B88" w:rsidRDefault="004F4A5F" w:rsidP="004F4A5F">
            <w:pPr>
              <w:spacing w:before="120"/>
              <w:rPr>
                <w:rFonts w:ascii="Arial" w:hAnsi="Arial" w:cs="Arial"/>
                <w:b/>
                <w:szCs w:val="22"/>
                <w:lang w:val="fr-FR"/>
              </w:rPr>
            </w:pPr>
          </w:p>
        </w:tc>
        <w:tc>
          <w:tcPr>
            <w:tcW w:w="3418" w:type="pct"/>
            <w:shd w:val="clear" w:color="auto" w:fill="auto"/>
            <w:vAlign w:val="center"/>
          </w:tcPr>
          <w:p w14:paraId="5C2262A3" w14:textId="60960437" w:rsidR="004F4A5F" w:rsidRPr="007B3B88" w:rsidRDefault="00F64060" w:rsidP="00151615">
            <w:pPr>
              <w:pStyle w:val="ListParagraph"/>
              <w:keepLines/>
              <w:numPr>
                <w:ilvl w:val="1"/>
                <w:numId w:val="75"/>
              </w:numPr>
              <w:spacing w:before="120" w:after="120" w:line="240" w:lineRule="auto"/>
              <w:ind w:left="583" w:hanging="583"/>
              <w:contextualSpacing w:val="0"/>
              <w:rPr>
                <w:rFonts w:ascii="Arial" w:hAnsi="Arial" w:cs="Arial"/>
                <w:sz w:val="20"/>
                <w:szCs w:val="20"/>
                <w:lang w:val="fr-FR"/>
              </w:rPr>
            </w:pPr>
            <w:r>
              <w:rPr>
                <w:rFonts w:ascii="Arial" w:hAnsi="Arial" w:cs="Arial"/>
                <w:sz w:val="20"/>
                <w:szCs w:val="20"/>
                <w:lang w:val="es"/>
              </w:rPr>
              <w:t>Se respetan los Principios Éticos para la Salvaguardia del Patrimonio Cultural Inmaterial en las actividades de sensibilización.</w:t>
            </w:r>
          </w:p>
        </w:tc>
        <w:tc>
          <w:tcPr>
            <w:tcW w:w="796" w:type="pct"/>
            <w:shd w:val="clear" w:color="auto" w:fill="auto"/>
            <w:vAlign w:val="center"/>
          </w:tcPr>
          <w:p w14:paraId="2E2EE10E" w14:textId="77777777" w:rsidR="004F4A5F" w:rsidRPr="0074360F" w:rsidRDefault="004F4A5F" w:rsidP="004F4A5F">
            <w:pPr>
              <w:keepLines/>
              <w:spacing w:before="120"/>
              <w:rPr>
                <w:rFonts w:ascii="Arial" w:hAnsi="Arial" w:cs="Arial"/>
                <w:sz w:val="20"/>
                <w:szCs w:val="20"/>
              </w:rPr>
            </w:pPr>
            <w:r>
              <w:rPr>
                <w:rFonts w:ascii="Arial" w:hAnsi="Arial" w:cs="Arial"/>
                <w:sz w:val="20"/>
                <w:szCs w:val="20"/>
                <w:lang w:val="es"/>
              </w:rPr>
              <w:t>PE</w:t>
            </w:r>
          </w:p>
        </w:tc>
      </w:tr>
      <w:tr w:rsidR="004F4A5F" w:rsidRPr="00F866CD" w14:paraId="118C96F8" w14:textId="77777777" w:rsidTr="00ED2B33">
        <w:trPr>
          <w:cantSplit/>
        </w:trPr>
        <w:tc>
          <w:tcPr>
            <w:tcW w:w="786" w:type="pct"/>
            <w:vMerge/>
            <w:shd w:val="clear" w:color="auto" w:fill="auto"/>
          </w:tcPr>
          <w:p w14:paraId="643C96DD" w14:textId="77777777" w:rsidR="004F4A5F" w:rsidRPr="00F866CD" w:rsidRDefault="004F4A5F" w:rsidP="004F4A5F">
            <w:pPr>
              <w:spacing w:before="120"/>
              <w:rPr>
                <w:rFonts w:ascii="Arial" w:hAnsi="Arial" w:cs="Arial"/>
                <w:b/>
                <w:szCs w:val="22"/>
              </w:rPr>
            </w:pPr>
          </w:p>
        </w:tc>
        <w:tc>
          <w:tcPr>
            <w:tcW w:w="3418" w:type="pct"/>
            <w:shd w:val="clear" w:color="auto" w:fill="auto"/>
            <w:vAlign w:val="center"/>
          </w:tcPr>
          <w:p w14:paraId="037490E1" w14:textId="77777777" w:rsidR="004F4A5F" w:rsidRPr="007B3B88" w:rsidRDefault="00F64060" w:rsidP="00151615">
            <w:pPr>
              <w:pStyle w:val="ListParagraph"/>
              <w:keepLines/>
              <w:numPr>
                <w:ilvl w:val="1"/>
                <w:numId w:val="75"/>
              </w:numPr>
              <w:spacing w:before="120" w:after="120" w:line="240" w:lineRule="auto"/>
              <w:ind w:left="583" w:hanging="583"/>
              <w:contextualSpacing w:val="0"/>
              <w:rPr>
                <w:rFonts w:ascii="Arial" w:hAnsi="Arial" w:cs="Arial"/>
                <w:sz w:val="20"/>
                <w:szCs w:val="20"/>
                <w:lang w:val="fr-FR"/>
              </w:rPr>
            </w:pPr>
            <w:r>
              <w:rPr>
                <w:rFonts w:ascii="Arial" w:hAnsi="Arial" w:cs="Arial"/>
                <w:sz w:val="20"/>
                <w:szCs w:val="20"/>
                <w:lang w:val="es"/>
              </w:rPr>
              <w:t>Las actividades de sensibilización respetan los principios éticos, en particular aquellos plasmados en los códigos o normas profesionales.</w:t>
            </w:r>
          </w:p>
        </w:tc>
        <w:tc>
          <w:tcPr>
            <w:tcW w:w="796" w:type="pct"/>
            <w:shd w:val="clear" w:color="auto" w:fill="auto"/>
            <w:vAlign w:val="center"/>
          </w:tcPr>
          <w:p w14:paraId="29E6AD21" w14:textId="77777777" w:rsidR="004F4A5F" w:rsidRPr="0074360F" w:rsidRDefault="004F4A5F" w:rsidP="004F4A5F">
            <w:pPr>
              <w:spacing w:before="60" w:after="60"/>
              <w:rPr>
                <w:rFonts w:ascii="Arial" w:hAnsi="Arial" w:cs="Arial"/>
                <w:sz w:val="20"/>
                <w:szCs w:val="20"/>
              </w:rPr>
            </w:pPr>
            <w:r>
              <w:rPr>
                <w:rFonts w:ascii="Arial" w:hAnsi="Arial" w:cs="Arial"/>
                <w:sz w:val="20"/>
                <w:szCs w:val="20"/>
                <w:lang w:val="es"/>
              </w:rPr>
              <w:t>DO 103</w:t>
            </w:r>
          </w:p>
        </w:tc>
      </w:tr>
      <w:tr w:rsidR="005473CF" w:rsidRPr="007B3B88" w14:paraId="24BC8884" w14:textId="77777777" w:rsidTr="00ED2B33">
        <w:trPr>
          <w:cantSplit/>
        </w:trPr>
        <w:tc>
          <w:tcPr>
            <w:tcW w:w="786" w:type="pct"/>
            <w:shd w:val="clear" w:color="auto" w:fill="auto"/>
          </w:tcPr>
          <w:p w14:paraId="5988629D" w14:textId="77777777" w:rsidR="005473CF" w:rsidRPr="007B3B88" w:rsidRDefault="005473CF" w:rsidP="005473CF">
            <w:pPr>
              <w:spacing w:before="120"/>
              <w:rPr>
                <w:rFonts w:ascii="Arial" w:hAnsi="Arial" w:cs="Arial"/>
                <w:b/>
                <w:szCs w:val="22"/>
                <w:lang w:val="fr-FR"/>
              </w:rPr>
            </w:pPr>
            <w:r>
              <w:rPr>
                <w:rFonts w:ascii="Arial" w:hAnsi="Arial" w:cs="Arial"/>
                <w:b/>
                <w:bCs/>
                <w:szCs w:val="22"/>
                <w:lang w:val="es"/>
              </w:rPr>
              <w:t>Relación con los ODS y otros indicadores</w:t>
            </w:r>
          </w:p>
        </w:tc>
        <w:tc>
          <w:tcPr>
            <w:tcW w:w="4214" w:type="pct"/>
            <w:gridSpan w:val="2"/>
            <w:shd w:val="clear" w:color="auto" w:fill="auto"/>
          </w:tcPr>
          <w:p w14:paraId="603BF58D" w14:textId="77777777" w:rsidR="005473CF" w:rsidRPr="007B3B88" w:rsidRDefault="005473CF" w:rsidP="005473CF">
            <w:pPr>
              <w:keepLines/>
              <w:spacing w:before="120"/>
              <w:jc w:val="both"/>
              <w:rPr>
                <w:rFonts w:ascii="Arial" w:hAnsi="Arial" w:cs="Arial"/>
                <w:szCs w:val="22"/>
                <w:lang w:val="fr-FR"/>
              </w:rPr>
            </w:pPr>
            <w:r>
              <w:rPr>
                <w:rFonts w:ascii="Arial" w:hAnsi="Arial" w:cs="Arial"/>
                <w:b/>
                <w:bCs/>
                <w:szCs w:val="22"/>
                <w:lang w:val="es"/>
              </w:rPr>
              <w:t xml:space="preserve">Objetivos de Desarrollo Sostenible: </w:t>
            </w:r>
            <w:r>
              <w:rPr>
                <w:rFonts w:ascii="Arial" w:hAnsi="Arial" w:cs="Arial"/>
                <w:szCs w:val="22"/>
                <w:lang w:val="es"/>
              </w:rPr>
              <w:t>Como todos los indicadores, este también apoya la meta 11.4 de los ODS, que se centra en «redoblar los esfuerzos para proteger y salvaguardar el patrimonio cultural y natural del mundo».</w:t>
            </w:r>
          </w:p>
          <w:p w14:paraId="77481E3A" w14:textId="7DA1E8DF" w:rsidR="005473CF" w:rsidRPr="007B3B88" w:rsidRDefault="005473CF" w:rsidP="00362131">
            <w:pPr>
              <w:keepLines/>
              <w:spacing w:before="120"/>
              <w:jc w:val="both"/>
              <w:rPr>
                <w:rFonts w:ascii="Arial" w:hAnsi="Arial" w:cs="Arial"/>
                <w:b/>
                <w:szCs w:val="22"/>
                <w:lang w:val="fr-FR"/>
              </w:rPr>
            </w:pPr>
            <w:r>
              <w:rPr>
                <w:rFonts w:ascii="Arial" w:hAnsi="Arial" w:cs="Arial"/>
                <w:b/>
                <w:bCs/>
                <w:szCs w:val="22"/>
                <w:lang w:val="es"/>
              </w:rPr>
              <w:t>Relación con otros indicadores:</w:t>
            </w:r>
            <w:r>
              <w:rPr>
                <w:rFonts w:ascii="Arial" w:hAnsi="Arial" w:cs="Arial"/>
                <w:szCs w:val="22"/>
                <w:lang w:val="es"/>
              </w:rPr>
              <w:t xml:space="preserve"> El presente indicador centra su atención en la forma en que se ponen en marcha los programas de sensibilización y, en particular, analiza si se llevan a cabo de forma ética. De este modo, completa el conjunto de cuatro indicadores relativos a la sensibilización (del 17 al 20). El indicador 17 hace referencia a la amplia participación de las comunidades, los grupos y los individuos; el indicador 18 se centra en el papel de los medios de comunicación, y el indicador 19 aborda el contenido y la repercusión. Los Principios Éticos para la Salvaguardia del PCI también son pertinentes para el indicador 9, en lo que respecta a la investigación y la documentación; para el indicador 13, en el contexto de los planes, políticas y programas de desarrollo; y para el indicador 21, en relación con las actividades de salvaguardia del sector privado.</w:t>
            </w:r>
          </w:p>
        </w:tc>
      </w:tr>
      <w:tr w:rsidR="00896177" w:rsidRPr="007B3B88" w14:paraId="2D8FFBF4" w14:textId="77777777" w:rsidTr="00ED2B33">
        <w:trPr>
          <w:cantSplit/>
        </w:trPr>
        <w:tc>
          <w:tcPr>
            <w:tcW w:w="786" w:type="pct"/>
            <w:shd w:val="clear" w:color="auto" w:fill="auto"/>
          </w:tcPr>
          <w:p w14:paraId="6FCDE3BA" w14:textId="77777777" w:rsidR="00896177" w:rsidRPr="00F866CD" w:rsidRDefault="002C28BA" w:rsidP="00A7283F">
            <w:pPr>
              <w:spacing w:before="120"/>
              <w:rPr>
                <w:rFonts w:ascii="Arial" w:hAnsi="Arial" w:cs="Arial"/>
                <w:b/>
                <w:szCs w:val="22"/>
              </w:rPr>
            </w:pPr>
            <w:r>
              <w:rPr>
                <w:rFonts w:ascii="Arial" w:hAnsi="Arial" w:cs="Arial"/>
                <w:b/>
                <w:bCs/>
                <w:szCs w:val="22"/>
                <w:lang w:val="es"/>
              </w:rPr>
              <w:t>Justificación de las medidas</w:t>
            </w:r>
          </w:p>
        </w:tc>
        <w:tc>
          <w:tcPr>
            <w:tcW w:w="4214" w:type="pct"/>
            <w:gridSpan w:val="2"/>
            <w:shd w:val="clear" w:color="auto" w:fill="auto"/>
          </w:tcPr>
          <w:p w14:paraId="48A6441E" w14:textId="51E83C49" w:rsidR="00704766" w:rsidRPr="007B3B88" w:rsidRDefault="00362131" w:rsidP="00362131">
            <w:pPr>
              <w:keepLines/>
              <w:spacing w:before="120"/>
              <w:jc w:val="both"/>
              <w:rPr>
                <w:rFonts w:asciiTheme="minorBidi" w:hAnsiTheme="minorBidi" w:cstheme="minorBidi"/>
                <w:szCs w:val="22"/>
                <w:lang w:val="fr-FR"/>
              </w:rPr>
            </w:pPr>
            <w:r>
              <w:rPr>
                <w:rFonts w:asciiTheme="minorBidi" w:hAnsiTheme="minorBidi" w:cstheme="minorBidi"/>
                <w:szCs w:val="22"/>
                <w:lang w:val="es"/>
              </w:rPr>
              <w:t>En virtud del Artículo 1 c), uno de los cuatro objetivos de la Convención es «la sensibilización en el plano local, nacional e internacional a la importancia del patrimonio cultural inmaterial y de su reconocimiento recíproco». Los Principios Éticos para la Salvaguardia del PCI exponen una serie de valores fundamentales que deberían guiar todos los esfuerzos de salvaguardia, entre los que se incluyen los programas de sensibilización. Esos principios se complementan con códigos y normas éticas pertinentes elaborados por organizaciones y asociaciones profesionales cuyos miembros participan en las actividades de sensibilización, como los periodistas y demás personal de los medios de comunicación o los profesionales de los museos.</w:t>
            </w:r>
          </w:p>
        </w:tc>
      </w:tr>
      <w:tr w:rsidR="00704766" w:rsidRPr="00F866CD" w14:paraId="00783D24" w14:textId="77777777" w:rsidTr="00ED2B33">
        <w:trPr>
          <w:cantSplit/>
        </w:trPr>
        <w:tc>
          <w:tcPr>
            <w:tcW w:w="786" w:type="pct"/>
            <w:shd w:val="clear" w:color="auto" w:fill="auto"/>
          </w:tcPr>
          <w:p w14:paraId="29724D58"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es"/>
              </w:rPr>
              <w:t>Términos clave</w:t>
            </w:r>
          </w:p>
        </w:tc>
        <w:tc>
          <w:tcPr>
            <w:tcW w:w="4214" w:type="pct"/>
            <w:gridSpan w:val="2"/>
            <w:shd w:val="clear" w:color="auto" w:fill="auto"/>
          </w:tcPr>
          <w:p w14:paraId="210E00F0" w14:textId="77777777" w:rsidR="00704766" w:rsidRPr="007B3B88" w:rsidRDefault="004F4A5F" w:rsidP="00704766">
            <w:pPr>
              <w:pStyle w:val="ListParagraph"/>
              <w:numPr>
                <w:ilvl w:val="0"/>
                <w:numId w:val="71"/>
              </w:numPr>
              <w:spacing w:before="120" w:after="120"/>
              <w:ind w:left="714" w:hanging="357"/>
              <w:jc w:val="both"/>
              <w:rPr>
                <w:rFonts w:asciiTheme="minorBidi" w:hAnsiTheme="minorBidi" w:cstheme="minorBidi"/>
                <w:lang w:val="fr-FR"/>
              </w:rPr>
            </w:pPr>
            <w:r>
              <w:rPr>
                <w:rFonts w:ascii="Arial" w:hAnsi="Arial" w:cs="Arial"/>
                <w:lang w:val="es"/>
              </w:rPr>
              <w:t>Principios Éticos para la Salvaguardia del Patrimonio Cultural Inmaterial</w:t>
            </w:r>
          </w:p>
          <w:p w14:paraId="3146B41B" w14:textId="77777777" w:rsidR="004F4A5F" w:rsidRPr="004F4A5F" w:rsidRDefault="004F4A5F"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Códigos y normas profesionales</w:t>
            </w:r>
          </w:p>
        </w:tc>
      </w:tr>
    </w:tbl>
    <w:p w14:paraId="1FCE2C94" w14:textId="77777777" w:rsidR="0054175C" w:rsidRPr="00F866CD" w:rsidRDefault="0054175C" w:rsidP="0054175C">
      <w:pPr>
        <w:jc w:val="center"/>
        <w:rPr>
          <w:rFonts w:ascii="Arial" w:hAnsi="Arial" w:cs="Arial"/>
          <w:b/>
          <w:sz w:val="24"/>
        </w:rPr>
        <w:sectPr w:rsidR="0054175C" w:rsidRPr="00F866CD" w:rsidSect="000F25BA">
          <w:headerReference w:type="default" r:id="rId8"/>
          <w:footerReference w:type="default" r:id="rId9"/>
          <w:pgSz w:w="11906" w:h="16838" w:code="9"/>
          <w:pgMar w:top="1418" w:right="1134" w:bottom="1134" w:left="1134" w:header="397" w:footer="284" w:gutter="0"/>
          <w:cols w:space="708"/>
          <w:docGrid w:linePitch="360"/>
        </w:sectPr>
      </w:pPr>
    </w:p>
    <w:p w14:paraId="4390DA78" w14:textId="77777777" w:rsidR="0054175C" w:rsidRPr="007B3B88" w:rsidRDefault="0054175C" w:rsidP="00AA7A4F">
      <w:pPr>
        <w:keepNext/>
        <w:jc w:val="center"/>
        <w:rPr>
          <w:rFonts w:ascii="Arial" w:hAnsi="Arial" w:cs="Arial"/>
          <w:b/>
          <w:sz w:val="24"/>
          <w:lang w:val="fr-FR"/>
        </w:rPr>
      </w:pPr>
      <w:r>
        <w:rPr>
          <w:rFonts w:ascii="Arial" w:hAnsi="Arial" w:cs="Arial"/>
          <w:b/>
          <w:bCs/>
          <w:sz w:val="24"/>
          <w:lang w:val="es"/>
        </w:rPr>
        <w:t>Orientación específica sobre el seguimiento y la presentación de informes periódicos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8342"/>
      </w:tblGrid>
      <w:tr w:rsidR="009C0510" w:rsidRPr="007B3B88" w14:paraId="3C265476" w14:textId="77777777" w:rsidTr="007B3B88">
        <w:tc>
          <w:tcPr>
            <w:tcW w:w="767" w:type="pct"/>
            <w:shd w:val="clear" w:color="auto" w:fill="auto"/>
          </w:tcPr>
          <w:p w14:paraId="271A157C" w14:textId="77777777" w:rsidR="002C28BA" w:rsidRPr="00F866CD" w:rsidRDefault="002C28BA" w:rsidP="006B0DB6">
            <w:pPr>
              <w:spacing w:before="120"/>
              <w:rPr>
                <w:rFonts w:ascii="Arial" w:hAnsi="Arial" w:cs="Arial"/>
                <w:b/>
                <w:szCs w:val="22"/>
              </w:rPr>
            </w:pPr>
            <w:r>
              <w:rPr>
                <w:rFonts w:ascii="Arial" w:hAnsi="Arial" w:cs="Arial"/>
                <w:b/>
                <w:bCs/>
                <w:szCs w:val="22"/>
                <w:lang w:val="es"/>
              </w:rPr>
              <w:t>Ventajas del seguimiento</w:t>
            </w:r>
          </w:p>
        </w:tc>
        <w:tc>
          <w:tcPr>
            <w:tcW w:w="4233" w:type="pct"/>
            <w:shd w:val="clear" w:color="auto" w:fill="auto"/>
          </w:tcPr>
          <w:p w14:paraId="2EB6F6C9" w14:textId="76E8B2B1" w:rsidR="002C28BA" w:rsidRPr="007B3B88" w:rsidRDefault="00362131" w:rsidP="002A784C">
            <w:pPr>
              <w:keepLines/>
              <w:spacing w:before="120"/>
              <w:jc w:val="both"/>
              <w:rPr>
                <w:rFonts w:ascii="Arial" w:hAnsi="Arial" w:cs="Arial"/>
                <w:bCs/>
                <w:szCs w:val="22"/>
                <w:lang w:val="fr-FR"/>
              </w:rPr>
            </w:pPr>
            <w:r>
              <w:rPr>
                <w:rFonts w:ascii="Arial" w:hAnsi="Arial" w:cs="Arial"/>
                <w:szCs w:val="22"/>
                <w:lang w:val="es"/>
              </w:rPr>
              <w:t xml:space="preserve">Los Principios Éticos para la Salvaguardia del PCI, así como otras normas y códigos deontológicos, revisten una importancia fundamental, ya que las actividades o comportamientos que no son éticos pueden tener consecuencias negativas para el propio PCI y para las comunidades, los grupos y los individuos vinculados a él. El seguimiento puede ayudar a evaluar en qué medida se respetan esos principios éticos o alertar a un Estado de la necesidad de adoptar medidas correctivas para reafirmarlos y reforzarlos. A nivel mundial, puede determinar en </w:t>
            </w:r>
            <w:r>
              <w:rPr>
                <w:rFonts w:ascii="Arial" w:hAnsi="Arial" w:cs="Arial"/>
                <w:szCs w:val="22"/>
                <w:lang w:val="es"/>
              </w:rPr>
              <w:lastRenderedPageBreak/>
              <w:t>qué medida existe una comprensión general de dichos principios éticos y si es necesario orientar las actividades de creación de capacidades hacia el refuerzo de esa comprensión.</w:t>
            </w:r>
          </w:p>
        </w:tc>
      </w:tr>
      <w:tr w:rsidR="0054175C" w:rsidRPr="007B3B88" w14:paraId="256AE1C8" w14:textId="77777777" w:rsidTr="007B3B88">
        <w:tc>
          <w:tcPr>
            <w:tcW w:w="767" w:type="pct"/>
            <w:shd w:val="clear" w:color="auto" w:fill="auto"/>
          </w:tcPr>
          <w:p w14:paraId="25830BBC" w14:textId="77777777" w:rsidR="0054175C" w:rsidRPr="007B3B88" w:rsidRDefault="0054175C" w:rsidP="0054175C">
            <w:pPr>
              <w:spacing w:before="120"/>
              <w:rPr>
                <w:rFonts w:ascii="Arial" w:hAnsi="Arial" w:cs="Arial"/>
                <w:b/>
                <w:szCs w:val="22"/>
                <w:lang w:val="fr-FR"/>
              </w:rPr>
            </w:pPr>
            <w:r>
              <w:rPr>
                <w:rFonts w:ascii="Arial" w:hAnsi="Arial" w:cs="Arial"/>
                <w:b/>
                <w:bCs/>
                <w:szCs w:val="22"/>
                <w:lang w:val="es"/>
              </w:rPr>
              <w:lastRenderedPageBreak/>
              <w:t>Fuentes y recopilación de información</w:t>
            </w:r>
          </w:p>
        </w:tc>
        <w:tc>
          <w:tcPr>
            <w:tcW w:w="4233" w:type="pct"/>
            <w:shd w:val="clear" w:color="auto" w:fill="auto"/>
          </w:tcPr>
          <w:p w14:paraId="2F65EF1C" w14:textId="7E8EF522" w:rsidR="005306E7" w:rsidRPr="007B3B88" w:rsidRDefault="005306E7" w:rsidP="005306E7">
            <w:pPr>
              <w:spacing w:before="120"/>
              <w:jc w:val="both"/>
              <w:rPr>
                <w:rFonts w:ascii="Arial" w:hAnsi="Arial" w:cs="Arial"/>
                <w:szCs w:val="22"/>
                <w:lang w:val="fr-FR"/>
              </w:rPr>
            </w:pPr>
            <w:r>
              <w:rPr>
                <w:rFonts w:ascii="Arial" w:hAnsi="Arial" w:cs="Arial"/>
                <w:szCs w:val="22"/>
                <w:lang w:val="es"/>
              </w:rPr>
              <w:t>En muchos casos, una fuente de datos importante podría estar en manos de las autoridades responsables en el ámbito de la información y los medios de comunicación. Si el Estado cuenta con un órgano consultivo o mecanismo de coordinación, podría incluir a quienes participan en la sensibilización, y proporcionar información complementaria. La falta de conformidad con los principios éticos pertinentes podría dar lugar a controversias públicas o a la cobertura por parte los medios de comunicación por derecho propio. Los investigadores también podrían señalar casos en los que las personas que participan en la sensibilización no hubieran respetado plenamente dichos principios.</w:t>
            </w:r>
          </w:p>
          <w:p w14:paraId="7492C768" w14:textId="77777777" w:rsidR="005306E7" w:rsidRPr="00F866CD" w:rsidRDefault="005306E7" w:rsidP="005306E7">
            <w:pPr>
              <w:keepNext/>
              <w:spacing w:before="120" w:after="60"/>
              <w:jc w:val="both"/>
              <w:rPr>
                <w:rFonts w:ascii="Arial" w:hAnsi="Arial" w:cs="Arial"/>
                <w:b/>
                <w:szCs w:val="22"/>
              </w:rPr>
            </w:pPr>
            <w:r>
              <w:rPr>
                <w:rFonts w:ascii="Arial" w:hAnsi="Arial" w:cs="Arial"/>
                <w:b/>
                <w:bCs/>
                <w:szCs w:val="22"/>
                <w:lang w:val="es"/>
              </w:rPr>
              <w:t>Posibles fuentes de información</w:t>
            </w:r>
          </w:p>
          <w:p w14:paraId="3DF8D080" w14:textId="77777777" w:rsidR="005306E7" w:rsidRPr="007B3B88" w:rsidRDefault="005306E7" w:rsidP="005306E7">
            <w:pPr>
              <w:pStyle w:val="ListParagraph"/>
              <w:numPr>
                <w:ilvl w:val="0"/>
                <w:numId w:val="73"/>
              </w:numPr>
              <w:spacing w:before="120"/>
              <w:jc w:val="both"/>
              <w:rPr>
                <w:rFonts w:ascii="Arial" w:hAnsi="Arial" w:cs="Arial"/>
                <w:lang w:val="fr-FR"/>
              </w:rPr>
            </w:pPr>
            <w:r>
              <w:rPr>
                <w:rFonts w:ascii="Arial" w:hAnsi="Arial" w:cs="Arial"/>
                <w:lang w:val="es"/>
              </w:rPr>
              <w:t>Publicaciones, informes y recopilaciones de materiales de sensibilización</w:t>
            </w:r>
          </w:p>
          <w:p w14:paraId="0D6391C0" w14:textId="77777777" w:rsidR="005306E7" w:rsidRPr="007B3B88" w:rsidRDefault="005306E7" w:rsidP="005306E7">
            <w:pPr>
              <w:pStyle w:val="ListParagraph"/>
              <w:numPr>
                <w:ilvl w:val="0"/>
                <w:numId w:val="73"/>
              </w:numPr>
              <w:spacing w:before="120"/>
              <w:jc w:val="both"/>
              <w:rPr>
                <w:rFonts w:ascii="Arial" w:hAnsi="Arial" w:cs="Arial"/>
                <w:lang w:val="fr-FR"/>
              </w:rPr>
            </w:pPr>
            <w:r>
              <w:rPr>
                <w:rFonts w:ascii="Arial" w:hAnsi="Arial" w:cs="Arial"/>
                <w:lang w:val="es"/>
              </w:rPr>
              <w:t>Códigos de conducta y directrices para los medios de comunicación y para aquellos que participen en la sensibilización</w:t>
            </w:r>
          </w:p>
          <w:p w14:paraId="3FDB1EA9" w14:textId="77777777" w:rsidR="005306E7" w:rsidRPr="007B3B88" w:rsidRDefault="005306E7" w:rsidP="005306E7">
            <w:pPr>
              <w:pStyle w:val="ListParagraph"/>
              <w:numPr>
                <w:ilvl w:val="0"/>
                <w:numId w:val="73"/>
              </w:numPr>
              <w:spacing w:before="120"/>
              <w:jc w:val="both"/>
              <w:rPr>
                <w:rFonts w:ascii="Arial" w:hAnsi="Arial" w:cs="Arial"/>
                <w:lang w:val="fr-FR"/>
              </w:rPr>
            </w:pPr>
            <w:r>
              <w:rPr>
                <w:rFonts w:ascii="Arial" w:hAnsi="Arial" w:cs="Arial"/>
                <w:lang w:val="es"/>
              </w:rPr>
              <w:t>Resultados de las investigaciones realizadas entre comunidades, grupos e individuos en relación con su PCI</w:t>
            </w:r>
          </w:p>
          <w:p w14:paraId="5433FDCE" w14:textId="77777777" w:rsidR="005306E7" w:rsidRPr="007B3B88" w:rsidRDefault="005306E7" w:rsidP="005306E7">
            <w:pPr>
              <w:pStyle w:val="ListParagraph"/>
              <w:numPr>
                <w:ilvl w:val="0"/>
                <w:numId w:val="73"/>
              </w:numPr>
              <w:spacing w:before="120"/>
              <w:jc w:val="both"/>
              <w:rPr>
                <w:rFonts w:ascii="Arial" w:hAnsi="Arial" w:cs="Arial"/>
                <w:lang w:val="fr-FR"/>
              </w:rPr>
            </w:pPr>
            <w:r>
              <w:rPr>
                <w:rFonts w:ascii="Arial" w:hAnsi="Arial" w:cs="Arial"/>
                <w:lang w:val="es"/>
              </w:rPr>
              <w:t>Sitios web e informes del Ministerio de Información y/o Ministerio de Comunicaciones</w:t>
            </w:r>
          </w:p>
          <w:p w14:paraId="699C9B74" w14:textId="77777777" w:rsidR="005306E7" w:rsidRPr="007B3B88" w:rsidRDefault="005306E7" w:rsidP="005306E7">
            <w:pPr>
              <w:pStyle w:val="ListParagraph"/>
              <w:numPr>
                <w:ilvl w:val="0"/>
                <w:numId w:val="73"/>
              </w:numPr>
              <w:spacing w:before="120"/>
              <w:jc w:val="both"/>
              <w:rPr>
                <w:rFonts w:ascii="Arial" w:hAnsi="Arial" w:cs="Arial"/>
                <w:lang w:val="fr-FR"/>
              </w:rPr>
            </w:pPr>
            <w:r>
              <w:rPr>
                <w:rFonts w:ascii="Arial" w:hAnsi="Arial" w:cs="Arial"/>
                <w:lang w:val="es"/>
              </w:rPr>
              <w:t>Sitios web, blogs, videoblogs y publicaciones en redes sociales</w:t>
            </w:r>
          </w:p>
          <w:p w14:paraId="3804A641" w14:textId="77777777" w:rsidR="0054175C" w:rsidRPr="007B3B88" w:rsidRDefault="005306E7" w:rsidP="005306E7">
            <w:pPr>
              <w:pStyle w:val="ListParagraph"/>
              <w:numPr>
                <w:ilvl w:val="0"/>
                <w:numId w:val="73"/>
              </w:numPr>
              <w:spacing w:before="120"/>
              <w:jc w:val="both"/>
              <w:rPr>
                <w:rFonts w:ascii="Arial" w:hAnsi="Arial" w:cs="Arial"/>
                <w:lang w:val="fr-FR"/>
              </w:rPr>
            </w:pPr>
            <w:r>
              <w:rPr>
                <w:rFonts w:ascii="Arial" w:hAnsi="Arial" w:cs="Arial"/>
                <w:lang w:val="es"/>
              </w:rPr>
              <w:t>Grupos y comunidades de redes sociales</w:t>
            </w:r>
          </w:p>
        </w:tc>
      </w:tr>
    </w:tbl>
    <w:p w14:paraId="32A21565"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F213E" w14:textId="77777777" w:rsidR="0006464E" w:rsidRDefault="0006464E" w:rsidP="002938F2">
      <w:r>
        <w:separator/>
      </w:r>
    </w:p>
    <w:p w14:paraId="387B1094" w14:textId="77777777" w:rsidR="0006464E" w:rsidRDefault="0006464E"/>
  </w:endnote>
  <w:endnote w:type="continuationSeparator" w:id="0">
    <w:p w14:paraId="4DE9C062" w14:textId="77777777" w:rsidR="0006464E" w:rsidRDefault="0006464E" w:rsidP="002938F2">
      <w:r>
        <w:continuationSeparator/>
      </w:r>
    </w:p>
    <w:p w14:paraId="1B865D00" w14:textId="77777777" w:rsidR="0006464E" w:rsidRDefault="0006464E"/>
  </w:endnote>
  <w:endnote w:type="continuationNotice" w:id="1">
    <w:p w14:paraId="04959910" w14:textId="77777777" w:rsidR="0006464E" w:rsidRDefault="000646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DBD47" w14:textId="24A3ACB8" w:rsidR="00C04344" w:rsidRPr="000A0709" w:rsidRDefault="00F64060" w:rsidP="000A0709">
    <w:pPr>
      <w:pStyle w:val="Footer"/>
      <w:jc w:val="center"/>
      <w:rPr>
        <w:rFonts w:ascii="Arial" w:hAnsi="Arial"/>
      </w:rPr>
    </w:pPr>
    <w:r>
      <w:rPr>
        <w:rFonts w:ascii="Arial" w:hAnsi="Arial" w:cs="Arial"/>
        <w:lang w:val="es"/>
      </w:rPr>
      <w:fldChar w:fldCharType="begin"/>
    </w:r>
    <w:r>
      <w:rPr>
        <w:rFonts w:ascii="Arial" w:hAnsi="Arial" w:cs="Arial"/>
        <w:lang w:val="es"/>
      </w:rPr>
      <w:instrText xml:space="preserve"> PAGE   \* MERGEFORMAT </w:instrText>
    </w:r>
    <w:r>
      <w:rPr>
        <w:rFonts w:ascii="Arial" w:hAnsi="Arial" w:cs="Arial"/>
        <w:lang w:val="es"/>
      </w:rPr>
      <w:fldChar w:fldCharType="separate"/>
    </w:r>
    <w:r>
      <w:rPr>
        <w:rFonts w:ascii="Arial" w:hAnsi="Arial" w:cs="Arial"/>
        <w:noProof/>
        <w:lang w:val="es"/>
      </w:rPr>
      <w:t>1</w:t>
    </w:r>
    <w:r>
      <w:rPr>
        <w:rFonts w:ascii="Arial" w:hAnsi="Arial" w:cs="Arial"/>
        <w:noProof/>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A045A" w14:textId="77777777" w:rsidR="0006464E" w:rsidRDefault="0006464E" w:rsidP="002938F2">
      <w:r>
        <w:separator/>
      </w:r>
    </w:p>
  </w:footnote>
  <w:footnote w:type="continuationSeparator" w:id="0">
    <w:p w14:paraId="43E6C703" w14:textId="77777777" w:rsidR="0006464E" w:rsidRDefault="0006464E" w:rsidP="002938F2">
      <w:r>
        <w:continuationSeparator/>
      </w:r>
    </w:p>
    <w:p w14:paraId="076D86ED" w14:textId="77777777" w:rsidR="0006464E" w:rsidRDefault="0006464E"/>
  </w:footnote>
  <w:footnote w:type="continuationNotice" w:id="1">
    <w:p w14:paraId="4C2DA78F" w14:textId="77777777" w:rsidR="0006464E" w:rsidRDefault="000646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DFAF1" w14:textId="77777777" w:rsidR="00ED2B33" w:rsidRDefault="00ED2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2"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2B2B29"/>
    <w:multiLevelType w:val="multilevel"/>
    <w:tmpl w:val="0506F198"/>
    <w:lvl w:ilvl="0">
      <w:start w:val="20"/>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2"/>
  </w:num>
  <w:num w:numId="2">
    <w:abstractNumId w:val="25"/>
  </w:num>
  <w:num w:numId="3">
    <w:abstractNumId w:val="11"/>
  </w:num>
  <w:num w:numId="4">
    <w:abstractNumId w:val="55"/>
  </w:num>
  <w:num w:numId="5">
    <w:abstractNumId w:val="45"/>
  </w:num>
  <w:num w:numId="6">
    <w:abstractNumId w:val="4"/>
  </w:num>
  <w:num w:numId="7">
    <w:abstractNumId w:val="15"/>
  </w:num>
  <w:num w:numId="8">
    <w:abstractNumId w:val="24"/>
  </w:num>
  <w:num w:numId="9">
    <w:abstractNumId w:val="48"/>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8"/>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2"/>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6"/>
  </w:num>
  <w:num w:numId="35">
    <w:abstractNumId w:val="20"/>
  </w:num>
  <w:num w:numId="36">
    <w:abstractNumId w:val="40"/>
  </w:num>
  <w:num w:numId="37">
    <w:abstractNumId w:val="17"/>
  </w:num>
  <w:num w:numId="38">
    <w:abstractNumId w:val="9"/>
  </w:num>
  <w:num w:numId="39">
    <w:abstractNumId w:val="6"/>
  </w:num>
  <w:num w:numId="40">
    <w:abstractNumId w:val="19"/>
  </w:num>
  <w:num w:numId="41">
    <w:abstractNumId w:val="54"/>
  </w:num>
  <w:num w:numId="42">
    <w:abstractNumId w:val="50"/>
  </w:num>
  <w:num w:numId="43">
    <w:abstractNumId w:val="28"/>
  </w:num>
  <w:num w:numId="44">
    <w:abstractNumId w:val="12"/>
  </w:num>
  <w:num w:numId="45">
    <w:abstractNumId w:val="51"/>
  </w:num>
  <w:num w:numId="46">
    <w:abstractNumId w:val="5"/>
  </w:num>
  <w:num w:numId="47">
    <w:abstractNumId w:val="35"/>
  </w:num>
  <w:num w:numId="48">
    <w:abstractNumId w:val="56"/>
  </w:num>
  <w:num w:numId="49">
    <w:abstractNumId w:val="31"/>
  </w:num>
  <w:num w:numId="50">
    <w:abstractNumId w:val="29"/>
  </w:num>
  <w:num w:numId="51">
    <w:abstractNumId w:val="26"/>
  </w:num>
  <w:num w:numId="52">
    <w:abstractNumId w:val="37"/>
  </w:num>
  <w:num w:numId="53">
    <w:abstractNumId w:val="14"/>
  </w:num>
  <w:num w:numId="54">
    <w:abstractNumId w:val="1"/>
  </w:num>
  <w:num w:numId="55">
    <w:abstractNumId w:val="33"/>
  </w:num>
  <w:num w:numId="56">
    <w:abstractNumId w:val="39"/>
  </w:num>
  <w:num w:numId="57">
    <w:abstractNumId w:val="0"/>
  </w:num>
  <w:num w:numId="58">
    <w:abstractNumId w:val="3"/>
  </w:num>
  <w:num w:numId="59">
    <w:abstractNumId w:val="43"/>
  </w:num>
  <w:num w:numId="60">
    <w:abstractNumId w:val="2"/>
  </w:num>
  <w:num w:numId="61">
    <w:abstractNumId w:val="30"/>
  </w:num>
  <w:num w:numId="62">
    <w:abstractNumId w:val="21"/>
  </w:num>
  <w:num w:numId="63">
    <w:abstractNumId w:val="47"/>
  </w:num>
  <w:num w:numId="64">
    <w:abstractNumId w:val="18"/>
  </w:num>
  <w:num w:numId="65">
    <w:abstractNumId w:val="23"/>
  </w:num>
  <w:num w:numId="66">
    <w:abstractNumId w:val="44"/>
  </w:num>
  <w:num w:numId="67">
    <w:abstractNumId w:val="36"/>
  </w:num>
  <w:num w:numId="68">
    <w:abstractNumId w:val="13"/>
  </w:num>
  <w:num w:numId="69">
    <w:abstractNumId w:val="41"/>
  </w:num>
  <w:num w:numId="70">
    <w:abstractNumId w:val="32"/>
  </w:num>
  <w:num w:numId="71">
    <w:abstractNumId w:val="27"/>
  </w:num>
  <w:num w:numId="72">
    <w:abstractNumId w:val="49"/>
  </w:num>
  <w:num w:numId="73">
    <w:abstractNumId w:val="7"/>
  </w:num>
  <w:num w:numId="74">
    <w:abstractNumId w:val="34"/>
  </w:num>
  <w:num w:numId="75">
    <w:abstractNumId w:val="5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_tradnl" w:vendorID="64" w:dllVersion="4096" w:nlCheck="1" w:checkStyle="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4F4A5F"/>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632E2"/>
    <w:rsid w:val="0006464E"/>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179D"/>
    <w:rsid w:val="00106B72"/>
    <w:rsid w:val="00106D19"/>
    <w:rsid w:val="0011248E"/>
    <w:rsid w:val="0011334A"/>
    <w:rsid w:val="00115830"/>
    <w:rsid w:val="00116489"/>
    <w:rsid w:val="0011750D"/>
    <w:rsid w:val="00121B41"/>
    <w:rsid w:val="001301DF"/>
    <w:rsid w:val="00135153"/>
    <w:rsid w:val="001412DE"/>
    <w:rsid w:val="00142D78"/>
    <w:rsid w:val="00144A4D"/>
    <w:rsid w:val="00151351"/>
    <w:rsid w:val="00151615"/>
    <w:rsid w:val="00156788"/>
    <w:rsid w:val="001609A1"/>
    <w:rsid w:val="00162554"/>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A784C"/>
    <w:rsid w:val="002B43D6"/>
    <w:rsid w:val="002B6B98"/>
    <w:rsid w:val="002B6C9B"/>
    <w:rsid w:val="002C28BA"/>
    <w:rsid w:val="002C3B8F"/>
    <w:rsid w:val="002C444C"/>
    <w:rsid w:val="002C5021"/>
    <w:rsid w:val="002C5280"/>
    <w:rsid w:val="002C5C29"/>
    <w:rsid w:val="002D396D"/>
    <w:rsid w:val="002D71D4"/>
    <w:rsid w:val="002E113D"/>
    <w:rsid w:val="002F17E1"/>
    <w:rsid w:val="002F64E6"/>
    <w:rsid w:val="003043A9"/>
    <w:rsid w:val="0030454E"/>
    <w:rsid w:val="00320242"/>
    <w:rsid w:val="00322A3A"/>
    <w:rsid w:val="00324A32"/>
    <w:rsid w:val="00325D6E"/>
    <w:rsid w:val="00334977"/>
    <w:rsid w:val="00337194"/>
    <w:rsid w:val="00342EE8"/>
    <w:rsid w:val="00344D78"/>
    <w:rsid w:val="00346517"/>
    <w:rsid w:val="00351CCB"/>
    <w:rsid w:val="0035648A"/>
    <w:rsid w:val="00362131"/>
    <w:rsid w:val="00362B41"/>
    <w:rsid w:val="00363995"/>
    <w:rsid w:val="00364E5E"/>
    <w:rsid w:val="00370E9B"/>
    <w:rsid w:val="00372B42"/>
    <w:rsid w:val="00377E4B"/>
    <w:rsid w:val="00383BA9"/>
    <w:rsid w:val="003845B0"/>
    <w:rsid w:val="00385B34"/>
    <w:rsid w:val="00386C08"/>
    <w:rsid w:val="00387D88"/>
    <w:rsid w:val="0039446E"/>
    <w:rsid w:val="003A260A"/>
    <w:rsid w:val="003A2BC4"/>
    <w:rsid w:val="003B31BE"/>
    <w:rsid w:val="003B504D"/>
    <w:rsid w:val="003C7065"/>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58C9"/>
    <w:rsid w:val="00447C66"/>
    <w:rsid w:val="00462F38"/>
    <w:rsid w:val="00471B34"/>
    <w:rsid w:val="00474AFE"/>
    <w:rsid w:val="00477E66"/>
    <w:rsid w:val="00480809"/>
    <w:rsid w:val="004831C7"/>
    <w:rsid w:val="00486A5E"/>
    <w:rsid w:val="00493F92"/>
    <w:rsid w:val="004A0C2B"/>
    <w:rsid w:val="004A20F5"/>
    <w:rsid w:val="004A610E"/>
    <w:rsid w:val="004C20E2"/>
    <w:rsid w:val="004E056C"/>
    <w:rsid w:val="004E2817"/>
    <w:rsid w:val="004E2AE8"/>
    <w:rsid w:val="004E418A"/>
    <w:rsid w:val="004F4A5F"/>
    <w:rsid w:val="005016FB"/>
    <w:rsid w:val="00504256"/>
    <w:rsid w:val="00511D17"/>
    <w:rsid w:val="005157E2"/>
    <w:rsid w:val="0051699F"/>
    <w:rsid w:val="00516DE3"/>
    <w:rsid w:val="005300BF"/>
    <w:rsid w:val="005306E7"/>
    <w:rsid w:val="00532631"/>
    <w:rsid w:val="005414A1"/>
    <w:rsid w:val="0054175C"/>
    <w:rsid w:val="005473CF"/>
    <w:rsid w:val="00570355"/>
    <w:rsid w:val="00574530"/>
    <w:rsid w:val="0057738F"/>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1071"/>
    <w:rsid w:val="005D2DDA"/>
    <w:rsid w:val="005E3A3E"/>
    <w:rsid w:val="005E6A2B"/>
    <w:rsid w:val="005E7C7C"/>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6D60"/>
    <w:rsid w:val="00690C91"/>
    <w:rsid w:val="00691869"/>
    <w:rsid w:val="00694ED1"/>
    <w:rsid w:val="006A0D86"/>
    <w:rsid w:val="006A49AE"/>
    <w:rsid w:val="006A56C0"/>
    <w:rsid w:val="006C0911"/>
    <w:rsid w:val="006C737A"/>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2DD1"/>
    <w:rsid w:val="0074360F"/>
    <w:rsid w:val="00746204"/>
    <w:rsid w:val="00747715"/>
    <w:rsid w:val="00747F86"/>
    <w:rsid w:val="00750138"/>
    <w:rsid w:val="007522A8"/>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B3B88"/>
    <w:rsid w:val="007B4ADA"/>
    <w:rsid w:val="007C105C"/>
    <w:rsid w:val="007C1B00"/>
    <w:rsid w:val="007D0F1D"/>
    <w:rsid w:val="007D2881"/>
    <w:rsid w:val="007D31CE"/>
    <w:rsid w:val="007D3AD8"/>
    <w:rsid w:val="007D5BB7"/>
    <w:rsid w:val="007D6A69"/>
    <w:rsid w:val="007E0621"/>
    <w:rsid w:val="007E0D18"/>
    <w:rsid w:val="007E4E37"/>
    <w:rsid w:val="007F4B07"/>
    <w:rsid w:val="008029A6"/>
    <w:rsid w:val="008147BA"/>
    <w:rsid w:val="00821B33"/>
    <w:rsid w:val="008269B0"/>
    <w:rsid w:val="0083067E"/>
    <w:rsid w:val="00832357"/>
    <w:rsid w:val="0083488D"/>
    <w:rsid w:val="008466C3"/>
    <w:rsid w:val="00846809"/>
    <w:rsid w:val="00851458"/>
    <w:rsid w:val="00861A47"/>
    <w:rsid w:val="008707FF"/>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52D4"/>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395C"/>
    <w:rsid w:val="0092574C"/>
    <w:rsid w:val="009342E8"/>
    <w:rsid w:val="009357B4"/>
    <w:rsid w:val="00946D71"/>
    <w:rsid w:val="0095522A"/>
    <w:rsid w:val="009577E1"/>
    <w:rsid w:val="00971CA1"/>
    <w:rsid w:val="0097349C"/>
    <w:rsid w:val="009812AD"/>
    <w:rsid w:val="009814C2"/>
    <w:rsid w:val="00982FFD"/>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A7A4F"/>
    <w:rsid w:val="00AB1528"/>
    <w:rsid w:val="00AD6BD4"/>
    <w:rsid w:val="00AE1B18"/>
    <w:rsid w:val="00AE1D83"/>
    <w:rsid w:val="00AE2DFB"/>
    <w:rsid w:val="00AE3061"/>
    <w:rsid w:val="00AF15BA"/>
    <w:rsid w:val="00AF1C32"/>
    <w:rsid w:val="00AF65C6"/>
    <w:rsid w:val="00B11AE3"/>
    <w:rsid w:val="00B121A6"/>
    <w:rsid w:val="00B300B8"/>
    <w:rsid w:val="00B32A28"/>
    <w:rsid w:val="00B33904"/>
    <w:rsid w:val="00B3751E"/>
    <w:rsid w:val="00B427FE"/>
    <w:rsid w:val="00B51737"/>
    <w:rsid w:val="00B6102A"/>
    <w:rsid w:val="00B6167A"/>
    <w:rsid w:val="00B62ED0"/>
    <w:rsid w:val="00B64196"/>
    <w:rsid w:val="00B66A7A"/>
    <w:rsid w:val="00B70266"/>
    <w:rsid w:val="00B74304"/>
    <w:rsid w:val="00B7459B"/>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17FE4"/>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77CF2"/>
    <w:rsid w:val="00C87194"/>
    <w:rsid w:val="00C90629"/>
    <w:rsid w:val="00C90C51"/>
    <w:rsid w:val="00C96DEF"/>
    <w:rsid w:val="00CA3ED6"/>
    <w:rsid w:val="00CA7CF4"/>
    <w:rsid w:val="00CB0F37"/>
    <w:rsid w:val="00CB1135"/>
    <w:rsid w:val="00CB590B"/>
    <w:rsid w:val="00CC02C5"/>
    <w:rsid w:val="00CC2BC6"/>
    <w:rsid w:val="00CC3AAB"/>
    <w:rsid w:val="00CD324E"/>
    <w:rsid w:val="00CD4A28"/>
    <w:rsid w:val="00CD54BD"/>
    <w:rsid w:val="00CD6C36"/>
    <w:rsid w:val="00CE2586"/>
    <w:rsid w:val="00CF05D7"/>
    <w:rsid w:val="00CF34A6"/>
    <w:rsid w:val="00CF3F93"/>
    <w:rsid w:val="00D020F3"/>
    <w:rsid w:val="00D04515"/>
    <w:rsid w:val="00D065AD"/>
    <w:rsid w:val="00D22831"/>
    <w:rsid w:val="00D404B7"/>
    <w:rsid w:val="00D44509"/>
    <w:rsid w:val="00D448CB"/>
    <w:rsid w:val="00D47226"/>
    <w:rsid w:val="00D47ED5"/>
    <w:rsid w:val="00D61779"/>
    <w:rsid w:val="00D73DB6"/>
    <w:rsid w:val="00D809E5"/>
    <w:rsid w:val="00D81948"/>
    <w:rsid w:val="00D90819"/>
    <w:rsid w:val="00D93291"/>
    <w:rsid w:val="00D9501F"/>
    <w:rsid w:val="00DB50D5"/>
    <w:rsid w:val="00DC5537"/>
    <w:rsid w:val="00DC591F"/>
    <w:rsid w:val="00DD11EE"/>
    <w:rsid w:val="00DD52A0"/>
    <w:rsid w:val="00DE5590"/>
    <w:rsid w:val="00DE6364"/>
    <w:rsid w:val="00DF1D9E"/>
    <w:rsid w:val="00DF3DA3"/>
    <w:rsid w:val="00DF5DA4"/>
    <w:rsid w:val="00E06492"/>
    <w:rsid w:val="00E065CE"/>
    <w:rsid w:val="00E06A00"/>
    <w:rsid w:val="00E13E03"/>
    <w:rsid w:val="00E14AF4"/>
    <w:rsid w:val="00E22B99"/>
    <w:rsid w:val="00E24A9D"/>
    <w:rsid w:val="00E258D9"/>
    <w:rsid w:val="00E35B8C"/>
    <w:rsid w:val="00E439CA"/>
    <w:rsid w:val="00E46DDB"/>
    <w:rsid w:val="00E473F3"/>
    <w:rsid w:val="00E5219B"/>
    <w:rsid w:val="00E56905"/>
    <w:rsid w:val="00E64BE4"/>
    <w:rsid w:val="00E85565"/>
    <w:rsid w:val="00E87F91"/>
    <w:rsid w:val="00E94BC6"/>
    <w:rsid w:val="00EA0563"/>
    <w:rsid w:val="00EA198F"/>
    <w:rsid w:val="00EA2EA1"/>
    <w:rsid w:val="00EA3CB9"/>
    <w:rsid w:val="00EA59EB"/>
    <w:rsid w:val="00EA67F3"/>
    <w:rsid w:val="00EB48F8"/>
    <w:rsid w:val="00ED0C60"/>
    <w:rsid w:val="00ED2B33"/>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4060"/>
    <w:rsid w:val="00F67029"/>
    <w:rsid w:val="00F70858"/>
    <w:rsid w:val="00F71BBC"/>
    <w:rsid w:val="00F7397F"/>
    <w:rsid w:val="00F75949"/>
    <w:rsid w:val="00F75CF4"/>
    <w:rsid w:val="00F866CD"/>
    <w:rsid w:val="00F941F0"/>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185F46"/>
  <w15:docId w15:val="{A116D783-485C-4F08-931D-7C391A71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ED2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AA1A9-F954-4660-B942-0D1CB618F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11</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5</cp:revision>
  <dcterms:created xsi:type="dcterms:W3CDTF">2019-07-24T14:33:00Z</dcterms:created>
  <dcterms:modified xsi:type="dcterms:W3CDTF">2019-12-06T17:20:00Z</dcterms:modified>
</cp:coreProperties>
</file>