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7DF1" w14:textId="77777777" w:rsidR="00EF70E2" w:rsidRPr="003908D2" w:rsidRDefault="00EF70E2" w:rsidP="002A5E32">
      <w:pPr>
        <w:pageBreakBefore/>
        <w:bidi/>
        <w:jc w:val="center"/>
        <w:rPr>
          <w:rFonts w:asciiTheme="majorBidi" w:hAnsiTheme="majorBidi" w:cstheme="majorBidi"/>
          <w:b/>
          <w:bCs/>
          <w:sz w:val="24"/>
        </w:rPr>
      </w:pPr>
      <w:r w:rsidRPr="003908D2">
        <w:rPr>
          <w:rFonts w:asciiTheme="majorBidi" w:hAnsiTheme="majorBidi" w:cstheme="majorBidi"/>
          <w:b/>
          <w:bCs/>
          <w:sz w:val="24"/>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3908D2" w14:paraId="3D6E3DC8" w14:textId="77777777" w:rsidTr="00EF70E2">
        <w:trPr>
          <w:cantSplit/>
        </w:trPr>
        <w:tc>
          <w:tcPr>
            <w:tcW w:w="786" w:type="pct"/>
            <w:shd w:val="clear" w:color="auto" w:fill="auto"/>
          </w:tcPr>
          <w:p w14:paraId="5E66C04A" w14:textId="43F8AFD4" w:rsidR="005473CF" w:rsidRPr="00C41446" w:rsidRDefault="00EF70E2" w:rsidP="002A5E32">
            <w:pPr>
              <w:bidi/>
              <w:spacing w:before="120"/>
              <w:jc w:val="both"/>
              <w:rPr>
                <w:rFonts w:asciiTheme="majorBidi" w:hAnsiTheme="majorBidi" w:cstheme="majorBidi"/>
                <w:b/>
                <w:sz w:val="24"/>
              </w:rPr>
            </w:pPr>
            <w:r w:rsidRPr="00C41446">
              <w:rPr>
                <w:rFonts w:asciiTheme="majorBidi" w:hAnsiTheme="majorBidi"/>
                <w:b/>
                <w:bCs/>
                <w:sz w:val="24"/>
                <w:rtl/>
              </w:rPr>
              <w:t>المؤشر</w:t>
            </w:r>
          </w:p>
        </w:tc>
        <w:tc>
          <w:tcPr>
            <w:tcW w:w="4214" w:type="pct"/>
            <w:gridSpan w:val="2"/>
            <w:shd w:val="clear" w:color="auto" w:fill="auto"/>
          </w:tcPr>
          <w:p w14:paraId="26EBC195" w14:textId="773179EA" w:rsidR="005473CF" w:rsidRPr="00C41446" w:rsidRDefault="003908D2" w:rsidP="002A5E32">
            <w:pPr>
              <w:pStyle w:val="ListParagraph"/>
              <w:keepLines/>
              <w:numPr>
                <w:ilvl w:val="0"/>
                <w:numId w:val="77"/>
              </w:numPr>
              <w:bidi/>
              <w:spacing w:before="120"/>
              <w:jc w:val="both"/>
              <w:rPr>
                <w:rFonts w:asciiTheme="majorBidi" w:hAnsiTheme="majorBidi" w:cstheme="majorBidi"/>
                <w:bCs/>
                <w:sz w:val="24"/>
                <w:szCs w:val="24"/>
              </w:rPr>
            </w:pPr>
            <w:r w:rsidRPr="00C41446">
              <w:rPr>
                <w:rFonts w:asciiTheme="majorBidi" w:hAnsiTheme="majorBidi" w:cstheme="majorBidi"/>
                <w:bCs/>
                <w:sz w:val="24"/>
                <w:szCs w:val="24"/>
                <w:rtl/>
              </w:rPr>
              <w:t>مدى تعزيز المشاركة في صون التراث الثقافي غير المادي بين الأطراف المعنية</w:t>
            </w:r>
          </w:p>
        </w:tc>
      </w:tr>
      <w:tr w:rsidR="005B0FE5" w:rsidRPr="003908D2" w14:paraId="59D74EC1" w14:textId="77777777" w:rsidTr="00EF70E2">
        <w:trPr>
          <w:cantSplit/>
        </w:trPr>
        <w:tc>
          <w:tcPr>
            <w:tcW w:w="786" w:type="pct"/>
            <w:vMerge w:val="restart"/>
            <w:shd w:val="clear" w:color="auto" w:fill="auto"/>
          </w:tcPr>
          <w:p w14:paraId="4944F487" w14:textId="5AFCAA6E" w:rsidR="005B0FE5" w:rsidRPr="00C41446" w:rsidRDefault="00EF70E2" w:rsidP="002A5E32">
            <w:pPr>
              <w:bidi/>
              <w:spacing w:before="120"/>
              <w:jc w:val="both"/>
              <w:rPr>
                <w:rFonts w:asciiTheme="majorBidi" w:hAnsiTheme="majorBidi" w:cstheme="majorBidi"/>
                <w:b/>
                <w:sz w:val="24"/>
              </w:rPr>
            </w:pPr>
            <w:r w:rsidRPr="00C41446">
              <w:rPr>
                <w:rFonts w:asciiTheme="majorBidi" w:hAnsiTheme="majorBidi"/>
                <w:b/>
                <w:bCs/>
                <w:sz w:val="24"/>
                <w:rtl/>
              </w:rPr>
              <w:t>عوامل التقييم الشامل</w:t>
            </w:r>
          </w:p>
        </w:tc>
        <w:tc>
          <w:tcPr>
            <w:tcW w:w="4214" w:type="pct"/>
            <w:gridSpan w:val="2"/>
            <w:shd w:val="clear" w:color="auto" w:fill="auto"/>
          </w:tcPr>
          <w:p w14:paraId="7565B4D5" w14:textId="7E41A646" w:rsidR="005B0FE5" w:rsidRPr="00C41446" w:rsidRDefault="00EF70E2" w:rsidP="002A5E32">
            <w:pPr>
              <w:keepLines/>
              <w:bidi/>
              <w:spacing w:before="120"/>
              <w:jc w:val="both"/>
              <w:rPr>
                <w:rFonts w:asciiTheme="majorBidi" w:hAnsiTheme="majorBidi" w:cstheme="majorBidi"/>
                <w:b/>
                <w:sz w:val="24"/>
              </w:rPr>
            </w:pPr>
            <w:r w:rsidRPr="00C41446">
              <w:rPr>
                <w:rFonts w:asciiTheme="majorBidi" w:hAnsiTheme="majorBidi"/>
                <w:sz w:val="24"/>
                <w:rtl/>
              </w:rPr>
              <w:t xml:space="preserve">يتم تقييم هذا المؤشر على أساس ثلاثة عوامل على الصعيد القطري ترصدها كل دولة طرف </w:t>
            </w:r>
            <w:r w:rsidR="00614645" w:rsidRPr="00C41446">
              <w:rPr>
                <w:rFonts w:asciiTheme="majorBidi" w:hAnsiTheme="majorBidi" w:hint="cs"/>
                <w:sz w:val="24"/>
                <w:rtl/>
              </w:rPr>
              <w:t>و</w:t>
            </w:r>
            <w:r w:rsidR="00D41854" w:rsidRPr="00C41446">
              <w:rPr>
                <w:rFonts w:asciiTheme="majorBidi" w:hAnsiTheme="majorBidi" w:hint="cs"/>
                <w:sz w:val="24"/>
                <w:rtl/>
              </w:rPr>
              <w:t>ت</w:t>
            </w:r>
            <w:r w:rsidR="00772AD8">
              <w:rPr>
                <w:rFonts w:asciiTheme="majorBidi" w:hAnsiTheme="majorBidi" w:hint="cs"/>
                <w:sz w:val="24"/>
                <w:rtl/>
              </w:rPr>
              <w:t xml:space="preserve">عد التقرير </w:t>
            </w:r>
            <w:r w:rsidR="00D41854" w:rsidRPr="00C41446">
              <w:rPr>
                <w:rFonts w:asciiTheme="majorBidi" w:hAnsiTheme="majorBidi" w:hint="cs"/>
                <w:sz w:val="24"/>
                <w:rtl/>
              </w:rPr>
              <w:t>عنها</w:t>
            </w:r>
            <w:r w:rsidRPr="00C41446">
              <w:rPr>
                <w:rFonts w:asciiTheme="majorBidi" w:hAnsiTheme="majorBidi"/>
                <w:sz w:val="24"/>
                <w:rtl/>
              </w:rPr>
              <w:t>:</w:t>
            </w:r>
          </w:p>
        </w:tc>
      </w:tr>
      <w:tr w:rsidR="002C7C2C" w:rsidRPr="003908D2" w14:paraId="3B5EEBAC" w14:textId="77777777" w:rsidTr="00EF70E2">
        <w:trPr>
          <w:cantSplit/>
        </w:trPr>
        <w:tc>
          <w:tcPr>
            <w:tcW w:w="786" w:type="pct"/>
            <w:vMerge/>
            <w:shd w:val="clear" w:color="auto" w:fill="auto"/>
          </w:tcPr>
          <w:p w14:paraId="33F53A39" w14:textId="77777777" w:rsidR="002C7C2C" w:rsidRPr="00C41446" w:rsidRDefault="002C7C2C" w:rsidP="002A5E32">
            <w:pPr>
              <w:bidi/>
              <w:spacing w:before="120"/>
              <w:jc w:val="both"/>
              <w:rPr>
                <w:rFonts w:asciiTheme="majorBidi" w:hAnsiTheme="majorBidi" w:cstheme="majorBidi"/>
                <w:b/>
                <w:sz w:val="24"/>
              </w:rPr>
            </w:pPr>
          </w:p>
        </w:tc>
        <w:tc>
          <w:tcPr>
            <w:tcW w:w="3418" w:type="pct"/>
            <w:shd w:val="clear" w:color="auto" w:fill="auto"/>
            <w:vAlign w:val="center"/>
          </w:tcPr>
          <w:p w14:paraId="12672189" w14:textId="727DB500" w:rsidR="002C7C2C" w:rsidRPr="00C41446" w:rsidRDefault="00E80C17" w:rsidP="002A5E32">
            <w:pPr>
              <w:keepLines/>
              <w:bidi/>
              <w:spacing w:before="120"/>
              <w:jc w:val="both"/>
              <w:rPr>
                <w:rFonts w:asciiTheme="majorBidi" w:hAnsiTheme="majorBidi" w:cstheme="majorBidi"/>
                <w:sz w:val="24"/>
              </w:rPr>
            </w:pPr>
            <w:r w:rsidRPr="00C41446">
              <w:rPr>
                <w:rFonts w:asciiTheme="majorBidi" w:hAnsiTheme="majorBidi"/>
                <w:sz w:val="24"/>
                <w:rtl/>
              </w:rPr>
              <w:t>21-1 مشاركة الجماعات والمجموعات والأفراد، على أساس شامل وعلى أوسع نطاق ممكن، في صون التراث الثقافي غير المادي بشكل عام وعناصر محدّدة من التراث الثقافي غير المادي، سواء كانت مدرجة أم لا.</w:t>
            </w:r>
          </w:p>
        </w:tc>
        <w:tc>
          <w:tcPr>
            <w:tcW w:w="796" w:type="pct"/>
            <w:shd w:val="clear" w:color="auto" w:fill="auto"/>
            <w:vAlign w:val="center"/>
          </w:tcPr>
          <w:p w14:paraId="4C7E26AE" w14:textId="77777777" w:rsidR="00CE2810" w:rsidRPr="00C41446" w:rsidRDefault="00CE2810" w:rsidP="002A5E32">
            <w:pPr>
              <w:bidi/>
              <w:spacing w:before="60" w:after="60"/>
              <w:jc w:val="both"/>
              <w:rPr>
                <w:rFonts w:asciiTheme="majorBidi" w:hAnsiTheme="majorBidi" w:cstheme="majorBidi"/>
                <w:sz w:val="20"/>
                <w:szCs w:val="20"/>
              </w:rPr>
            </w:pPr>
            <w:r w:rsidRPr="00C41446">
              <w:rPr>
                <w:rFonts w:asciiTheme="majorBidi" w:hAnsiTheme="majorBidi"/>
                <w:sz w:val="20"/>
                <w:szCs w:val="20"/>
                <w:rtl/>
              </w:rPr>
              <w:t>المادة 15</w:t>
            </w:r>
          </w:p>
          <w:p w14:paraId="4D5EEB51" w14:textId="112F88A3" w:rsidR="00CE2810" w:rsidRPr="00C41446" w:rsidRDefault="00614645" w:rsidP="002A5E32">
            <w:pPr>
              <w:bidi/>
              <w:spacing w:before="60" w:after="60"/>
              <w:jc w:val="both"/>
              <w:rPr>
                <w:rFonts w:asciiTheme="majorBidi" w:hAnsiTheme="majorBidi" w:cstheme="majorBidi"/>
                <w:sz w:val="20"/>
                <w:szCs w:val="20"/>
              </w:rPr>
            </w:pPr>
            <w:r w:rsidRPr="00C41446">
              <w:rPr>
                <w:rFonts w:asciiTheme="majorBidi" w:hAnsiTheme="majorBidi"/>
                <w:sz w:val="20"/>
                <w:szCs w:val="20"/>
                <w:rtl/>
              </w:rPr>
              <w:t xml:space="preserve">التوجيه </w:t>
            </w:r>
            <w:r w:rsidR="000460BD" w:rsidRPr="00C41446">
              <w:rPr>
                <w:sz w:val="20"/>
                <w:szCs w:val="20"/>
                <w:rtl/>
              </w:rPr>
              <w:t xml:space="preserve">التنفيذي </w:t>
            </w:r>
            <w:r w:rsidRPr="00C41446">
              <w:rPr>
                <w:rFonts w:asciiTheme="majorBidi" w:hAnsiTheme="majorBidi"/>
                <w:sz w:val="20"/>
                <w:szCs w:val="20"/>
                <w:rtl/>
              </w:rPr>
              <w:t>1</w:t>
            </w:r>
            <w:r w:rsidR="00583F76" w:rsidRPr="00C41446">
              <w:rPr>
                <w:rFonts w:asciiTheme="majorBidi" w:hAnsiTheme="majorBidi" w:hint="cs"/>
                <w:sz w:val="20"/>
                <w:szCs w:val="20"/>
                <w:rtl/>
              </w:rPr>
              <w:t>، و</w:t>
            </w:r>
            <w:r w:rsidRPr="00C41446">
              <w:rPr>
                <w:rFonts w:asciiTheme="majorBidi" w:hAnsiTheme="majorBidi"/>
                <w:sz w:val="20"/>
                <w:szCs w:val="20"/>
                <w:rtl/>
              </w:rPr>
              <w:t xml:space="preserve">التوجيه </w:t>
            </w:r>
            <w:r w:rsidR="000460BD" w:rsidRPr="00C41446">
              <w:rPr>
                <w:sz w:val="20"/>
                <w:szCs w:val="20"/>
                <w:rtl/>
              </w:rPr>
              <w:t xml:space="preserve">التنفيذي </w:t>
            </w:r>
            <w:r w:rsidRPr="00C41446">
              <w:rPr>
                <w:rFonts w:asciiTheme="majorBidi" w:hAnsiTheme="majorBidi"/>
                <w:sz w:val="20"/>
                <w:szCs w:val="20"/>
                <w:rtl/>
              </w:rPr>
              <w:t>2</w:t>
            </w:r>
            <w:r w:rsidR="00583F76" w:rsidRPr="00C41446">
              <w:rPr>
                <w:rFonts w:asciiTheme="majorBidi" w:hAnsiTheme="majorBidi" w:hint="cs"/>
                <w:sz w:val="20"/>
                <w:szCs w:val="20"/>
                <w:rtl/>
              </w:rPr>
              <w:t>، و</w:t>
            </w:r>
            <w:r w:rsidR="00CE2810" w:rsidRPr="00C41446">
              <w:rPr>
                <w:rFonts w:asciiTheme="majorBidi" w:hAnsiTheme="majorBidi"/>
                <w:sz w:val="20"/>
                <w:szCs w:val="20"/>
                <w:rtl/>
              </w:rPr>
              <w:t xml:space="preserve">التوجيه </w:t>
            </w:r>
            <w:r w:rsidR="000460BD" w:rsidRPr="00C41446">
              <w:rPr>
                <w:sz w:val="20"/>
                <w:szCs w:val="20"/>
                <w:rtl/>
              </w:rPr>
              <w:t xml:space="preserve">التنفيذي </w:t>
            </w:r>
            <w:r w:rsidRPr="00C41446">
              <w:rPr>
                <w:rFonts w:asciiTheme="majorBidi" w:hAnsiTheme="majorBidi"/>
                <w:sz w:val="20"/>
                <w:szCs w:val="20"/>
                <w:rtl/>
              </w:rPr>
              <w:t>7</w:t>
            </w:r>
            <w:r w:rsidR="00583F76" w:rsidRPr="00C41446">
              <w:rPr>
                <w:rFonts w:asciiTheme="majorBidi" w:hAnsiTheme="majorBidi" w:hint="cs"/>
                <w:sz w:val="20"/>
                <w:szCs w:val="20"/>
                <w:rtl/>
              </w:rPr>
              <w:t>، و</w:t>
            </w:r>
            <w:r w:rsidRPr="00C41446">
              <w:rPr>
                <w:rFonts w:asciiTheme="majorBidi" w:hAnsiTheme="majorBidi"/>
                <w:sz w:val="20"/>
                <w:szCs w:val="20"/>
                <w:rtl/>
              </w:rPr>
              <w:t xml:space="preserve">التوجيه </w:t>
            </w:r>
            <w:r w:rsidR="000460BD" w:rsidRPr="00C41446">
              <w:rPr>
                <w:sz w:val="20"/>
                <w:szCs w:val="20"/>
                <w:rtl/>
              </w:rPr>
              <w:t xml:space="preserve">التنفيذي </w:t>
            </w:r>
            <w:r w:rsidRPr="00C41446">
              <w:rPr>
                <w:rFonts w:asciiTheme="majorBidi" w:hAnsiTheme="majorBidi"/>
                <w:sz w:val="20"/>
                <w:szCs w:val="20"/>
                <w:rtl/>
              </w:rPr>
              <w:t>79</w:t>
            </w:r>
            <w:r w:rsidR="00583F76" w:rsidRPr="00C41446">
              <w:rPr>
                <w:rFonts w:asciiTheme="majorBidi" w:hAnsiTheme="majorBidi" w:hint="cs"/>
                <w:sz w:val="20"/>
                <w:szCs w:val="20"/>
                <w:rtl/>
              </w:rPr>
              <w:t>، و</w:t>
            </w:r>
            <w:r w:rsidRPr="00C41446">
              <w:rPr>
                <w:rFonts w:asciiTheme="majorBidi" w:hAnsiTheme="majorBidi"/>
                <w:sz w:val="20"/>
                <w:szCs w:val="20"/>
                <w:rtl/>
              </w:rPr>
              <w:t xml:space="preserve">التوجيه </w:t>
            </w:r>
            <w:r w:rsidR="000460BD" w:rsidRPr="00C41446">
              <w:rPr>
                <w:sz w:val="20"/>
                <w:szCs w:val="20"/>
                <w:rtl/>
              </w:rPr>
              <w:t xml:space="preserve">التنفيذي </w:t>
            </w:r>
            <w:r w:rsidRPr="00C41446">
              <w:rPr>
                <w:rFonts w:asciiTheme="majorBidi" w:hAnsiTheme="majorBidi"/>
                <w:sz w:val="20"/>
                <w:szCs w:val="20"/>
                <w:rtl/>
              </w:rPr>
              <w:t>101 (ب)</w:t>
            </w:r>
            <w:r w:rsidR="00583F76" w:rsidRPr="00C41446">
              <w:rPr>
                <w:rFonts w:asciiTheme="majorBidi" w:hAnsiTheme="majorBidi" w:hint="cs"/>
                <w:sz w:val="20"/>
                <w:szCs w:val="20"/>
                <w:rtl/>
              </w:rPr>
              <w:t>، و</w:t>
            </w:r>
            <w:r w:rsidR="00CE2810" w:rsidRPr="00C41446">
              <w:rPr>
                <w:rFonts w:asciiTheme="majorBidi" w:hAnsiTheme="majorBidi"/>
                <w:sz w:val="20"/>
                <w:szCs w:val="20"/>
                <w:rtl/>
              </w:rPr>
              <w:t xml:space="preserve">التوجيه </w:t>
            </w:r>
            <w:r w:rsidR="000460BD" w:rsidRPr="00C41446">
              <w:rPr>
                <w:sz w:val="20"/>
                <w:szCs w:val="20"/>
                <w:rtl/>
              </w:rPr>
              <w:t xml:space="preserve">التنفيذي </w:t>
            </w:r>
            <w:r w:rsidR="00CE2810" w:rsidRPr="00C41446">
              <w:rPr>
                <w:rFonts w:asciiTheme="majorBidi" w:hAnsiTheme="majorBidi"/>
                <w:sz w:val="20"/>
                <w:szCs w:val="20"/>
                <w:rtl/>
              </w:rPr>
              <w:t>171 (أ)</w:t>
            </w:r>
          </w:p>
          <w:p w14:paraId="3CFFC615" w14:textId="40ED0F93" w:rsidR="002C7C2C" w:rsidRPr="00C41446" w:rsidRDefault="008D4797" w:rsidP="002A5E32">
            <w:pPr>
              <w:keepLines/>
              <w:bidi/>
              <w:spacing w:before="120"/>
              <w:jc w:val="both"/>
              <w:rPr>
                <w:rFonts w:asciiTheme="majorBidi" w:hAnsiTheme="majorBidi" w:cstheme="majorBidi"/>
                <w:sz w:val="20"/>
                <w:szCs w:val="20"/>
              </w:rPr>
            </w:pPr>
            <w:r w:rsidRPr="00C41446">
              <w:rPr>
                <w:rFonts w:asciiTheme="majorBidi" w:hAnsiTheme="majorBidi" w:hint="cs"/>
                <w:sz w:val="20"/>
                <w:szCs w:val="20"/>
                <w:rtl/>
              </w:rPr>
              <w:t>المبد</w:t>
            </w:r>
            <w:r w:rsidR="00583F76" w:rsidRPr="00C41446">
              <w:rPr>
                <w:rFonts w:asciiTheme="majorBidi" w:hAnsiTheme="majorBidi" w:hint="cs"/>
                <w:sz w:val="20"/>
                <w:szCs w:val="20"/>
                <w:rtl/>
              </w:rPr>
              <w:t>أ</w:t>
            </w:r>
            <w:r w:rsidRPr="00C41446">
              <w:rPr>
                <w:rFonts w:asciiTheme="majorBidi" w:hAnsiTheme="majorBidi" w:hint="cs"/>
                <w:sz w:val="20"/>
                <w:szCs w:val="20"/>
                <w:rtl/>
              </w:rPr>
              <w:t xml:space="preserve"> الأخلاقي</w:t>
            </w:r>
            <w:r w:rsidR="00CE2810" w:rsidRPr="00C41446">
              <w:rPr>
                <w:rFonts w:asciiTheme="majorBidi" w:hAnsiTheme="majorBidi"/>
                <w:sz w:val="20"/>
                <w:szCs w:val="20"/>
                <w:rtl/>
              </w:rPr>
              <w:t xml:space="preserve">1، </w:t>
            </w:r>
            <w:r w:rsidRPr="00C41446">
              <w:rPr>
                <w:rFonts w:asciiTheme="majorBidi" w:hAnsiTheme="majorBidi" w:hint="cs"/>
                <w:sz w:val="20"/>
                <w:szCs w:val="20"/>
                <w:rtl/>
              </w:rPr>
              <w:t>والمبد</w:t>
            </w:r>
            <w:r w:rsidR="00583F76" w:rsidRPr="00C41446">
              <w:rPr>
                <w:rFonts w:asciiTheme="majorBidi" w:hAnsiTheme="majorBidi" w:hint="cs"/>
                <w:sz w:val="20"/>
                <w:szCs w:val="20"/>
                <w:rtl/>
              </w:rPr>
              <w:t>أ</w:t>
            </w:r>
            <w:r w:rsidRPr="00C41446">
              <w:rPr>
                <w:rFonts w:asciiTheme="majorBidi" w:hAnsiTheme="majorBidi" w:hint="cs"/>
                <w:sz w:val="20"/>
                <w:szCs w:val="20"/>
                <w:rtl/>
              </w:rPr>
              <w:t xml:space="preserve"> الأخلاقي</w:t>
            </w:r>
            <w:r w:rsidRPr="00C41446">
              <w:rPr>
                <w:rFonts w:asciiTheme="majorBidi" w:hAnsiTheme="majorBidi"/>
                <w:sz w:val="20"/>
                <w:szCs w:val="20"/>
                <w:rtl/>
              </w:rPr>
              <w:t xml:space="preserve"> </w:t>
            </w:r>
            <w:r w:rsidR="00CE2810" w:rsidRPr="00C41446">
              <w:rPr>
                <w:rFonts w:asciiTheme="majorBidi" w:hAnsiTheme="majorBidi"/>
                <w:sz w:val="20"/>
                <w:szCs w:val="20"/>
                <w:rtl/>
              </w:rPr>
              <w:t xml:space="preserve">2، </w:t>
            </w:r>
            <w:r w:rsidR="000D1BB2" w:rsidRPr="00C41446">
              <w:rPr>
                <w:rFonts w:asciiTheme="majorBidi" w:hAnsiTheme="majorBidi" w:hint="cs"/>
                <w:sz w:val="20"/>
                <w:szCs w:val="20"/>
                <w:rtl/>
              </w:rPr>
              <w:t>والمبدأ</w:t>
            </w:r>
            <w:r w:rsidRPr="00C41446">
              <w:rPr>
                <w:rFonts w:asciiTheme="majorBidi" w:hAnsiTheme="majorBidi" w:hint="cs"/>
                <w:sz w:val="20"/>
                <w:szCs w:val="20"/>
                <w:rtl/>
              </w:rPr>
              <w:t xml:space="preserve"> الأخلاقي</w:t>
            </w:r>
            <w:r w:rsidRPr="00C41446">
              <w:rPr>
                <w:rFonts w:asciiTheme="majorBidi" w:hAnsiTheme="majorBidi"/>
                <w:sz w:val="20"/>
                <w:szCs w:val="20"/>
                <w:rtl/>
              </w:rPr>
              <w:t xml:space="preserve"> </w:t>
            </w:r>
            <w:r w:rsidR="00CE2810" w:rsidRPr="00C41446">
              <w:rPr>
                <w:rFonts w:asciiTheme="majorBidi" w:hAnsiTheme="majorBidi"/>
                <w:sz w:val="20"/>
                <w:szCs w:val="20"/>
                <w:rtl/>
              </w:rPr>
              <w:t>9</w:t>
            </w:r>
          </w:p>
        </w:tc>
      </w:tr>
      <w:tr w:rsidR="002C7C2C" w:rsidRPr="003908D2" w14:paraId="564B44CF" w14:textId="77777777" w:rsidTr="00EF70E2">
        <w:trPr>
          <w:cantSplit/>
        </w:trPr>
        <w:tc>
          <w:tcPr>
            <w:tcW w:w="786" w:type="pct"/>
            <w:vMerge/>
            <w:shd w:val="clear" w:color="auto" w:fill="auto"/>
          </w:tcPr>
          <w:p w14:paraId="4383E95F" w14:textId="77777777" w:rsidR="002C7C2C" w:rsidRPr="00C41446" w:rsidRDefault="002C7C2C" w:rsidP="002A5E32">
            <w:pPr>
              <w:bidi/>
              <w:spacing w:before="120"/>
              <w:jc w:val="both"/>
              <w:rPr>
                <w:rFonts w:asciiTheme="majorBidi" w:hAnsiTheme="majorBidi" w:cstheme="majorBidi"/>
                <w:b/>
                <w:sz w:val="24"/>
              </w:rPr>
            </w:pPr>
          </w:p>
        </w:tc>
        <w:tc>
          <w:tcPr>
            <w:tcW w:w="3418" w:type="pct"/>
            <w:shd w:val="clear" w:color="auto" w:fill="auto"/>
            <w:vAlign w:val="center"/>
          </w:tcPr>
          <w:p w14:paraId="369CAAB8" w14:textId="04CB2BE4" w:rsidR="002C7C2C" w:rsidRPr="00C41446" w:rsidRDefault="00E80C17" w:rsidP="002A5E32">
            <w:pPr>
              <w:keepLines/>
              <w:bidi/>
              <w:spacing w:before="120"/>
              <w:jc w:val="both"/>
              <w:rPr>
                <w:rFonts w:asciiTheme="majorBidi" w:hAnsiTheme="majorBidi" w:cstheme="majorBidi"/>
                <w:sz w:val="24"/>
              </w:rPr>
            </w:pPr>
            <w:r w:rsidRPr="00C41446">
              <w:rPr>
                <w:rFonts w:asciiTheme="majorBidi" w:hAnsiTheme="majorBidi"/>
                <w:sz w:val="24"/>
                <w:rtl/>
              </w:rPr>
              <w:t>21-2 مشاركة المنظمات غير الحكومية وغيرها من الجهات الفاعلة في المجتمع المدني في صون التراث الثقافي غير المادي بشكل عام وعناصر محدّدة من التراث الثقافي غير المادي، سواء كانت مدرجة أم لا.</w:t>
            </w:r>
          </w:p>
        </w:tc>
        <w:tc>
          <w:tcPr>
            <w:tcW w:w="796" w:type="pct"/>
            <w:shd w:val="clear" w:color="auto" w:fill="auto"/>
            <w:vAlign w:val="center"/>
          </w:tcPr>
          <w:p w14:paraId="334E1A14" w14:textId="6F541A5E" w:rsidR="002C7C2C" w:rsidRPr="00C41446" w:rsidRDefault="00DA6BCF" w:rsidP="002A5E32">
            <w:pPr>
              <w:bidi/>
              <w:spacing w:before="60" w:after="60"/>
              <w:jc w:val="both"/>
              <w:rPr>
                <w:rFonts w:asciiTheme="majorBidi" w:hAnsiTheme="majorBidi" w:cstheme="majorBidi"/>
                <w:sz w:val="20"/>
                <w:szCs w:val="20"/>
              </w:rPr>
            </w:pPr>
            <w:r w:rsidRPr="00C41446">
              <w:rPr>
                <w:rFonts w:asciiTheme="majorBidi" w:hAnsiTheme="majorBidi"/>
                <w:sz w:val="20"/>
                <w:szCs w:val="20"/>
                <w:rtl/>
              </w:rPr>
              <w:t xml:space="preserve">التوجيه </w:t>
            </w:r>
            <w:r w:rsidR="008D4797" w:rsidRPr="00C41446">
              <w:rPr>
                <w:sz w:val="20"/>
                <w:szCs w:val="20"/>
                <w:rtl/>
              </w:rPr>
              <w:t xml:space="preserve">التنفيذي </w:t>
            </w:r>
            <w:r w:rsidRPr="00C41446">
              <w:rPr>
                <w:rFonts w:asciiTheme="majorBidi" w:hAnsiTheme="majorBidi"/>
                <w:sz w:val="20"/>
                <w:szCs w:val="20"/>
                <w:rtl/>
              </w:rPr>
              <w:t>90،</w:t>
            </w:r>
            <w:r w:rsidR="000D1BB2" w:rsidRPr="00C41446">
              <w:rPr>
                <w:rFonts w:asciiTheme="majorBidi" w:hAnsiTheme="majorBidi" w:hint="cs"/>
                <w:sz w:val="20"/>
                <w:szCs w:val="20"/>
                <w:rtl/>
              </w:rPr>
              <w:t xml:space="preserve"> و</w:t>
            </w:r>
            <w:r w:rsidRPr="00C41446">
              <w:rPr>
                <w:rFonts w:asciiTheme="majorBidi" w:hAnsiTheme="majorBidi"/>
                <w:sz w:val="20"/>
                <w:szCs w:val="20"/>
                <w:rtl/>
              </w:rPr>
              <w:t xml:space="preserve">التوجيه </w:t>
            </w:r>
            <w:r w:rsidR="008D4797" w:rsidRPr="00C41446">
              <w:rPr>
                <w:sz w:val="20"/>
                <w:szCs w:val="20"/>
                <w:rtl/>
              </w:rPr>
              <w:t xml:space="preserve">التنفيذي </w:t>
            </w:r>
            <w:r w:rsidRPr="00C41446">
              <w:rPr>
                <w:rFonts w:asciiTheme="majorBidi" w:hAnsiTheme="majorBidi"/>
                <w:sz w:val="20"/>
                <w:szCs w:val="20"/>
                <w:rtl/>
              </w:rPr>
              <w:t>108،</w:t>
            </w:r>
            <w:r w:rsidR="000D1BB2" w:rsidRPr="00C41446">
              <w:rPr>
                <w:rFonts w:asciiTheme="majorBidi" w:hAnsiTheme="majorBidi" w:hint="cs"/>
                <w:sz w:val="20"/>
                <w:szCs w:val="20"/>
                <w:rtl/>
              </w:rPr>
              <w:t xml:space="preserve"> و</w:t>
            </w:r>
            <w:r w:rsidR="00614645" w:rsidRPr="00C41446">
              <w:rPr>
                <w:rFonts w:asciiTheme="majorBidi" w:hAnsiTheme="majorBidi"/>
                <w:sz w:val="20"/>
                <w:szCs w:val="20"/>
                <w:rtl/>
              </w:rPr>
              <w:t xml:space="preserve">التوجيه </w:t>
            </w:r>
            <w:r w:rsidR="008D4797" w:rsidRPr="00C41446">
              <w:rPr>
                <w:sz w:val="20"/>
                <w:szCs w:val="20"/>
                <w:rtl/>
              </w:rPr>
              <w:t xml:space="preserve">التنفيذي </w:t>
            </w:r>
            <w:r w:rsidR="00614645" w:rsidRPr="00C41446">
              <w:rPr>
                <w:rFonts w:asciiTheme="majorBidi" w:hAnsiTheme="majorBidi"/>
                <w:sz w:val="20"/>
                <w:szCs w:val="20"/>
                <w:rtl/>
              </w:rPr>
              <w:t>157 (هـ)</w:t>
            </w:r>
            <w:r w:rsidR="000D1BB2" w:rsidRPr="00C41446">
              <w:rPr>
                <w:rFonts w:asciiTheme="majorBidi" w:hAnsiTheme="majorBidi" w:hint="cs"/>
                <w:sz w:val="20"/>
                <w:szCs w:val="20"/>
                <w:rtl/>
              </w:rPr>
              <w:t>، و</w:t>
            </w:r>
            <w:r w:rsidR="00614645" w:rsidRPr="00C41446">
              <w:rPr>
                <w:rFonts w:asciiTheme="majorBidi" w:hAnsiTheme="majorBidi"/>
                <w:sz w:val="20"/>
                <w:szCs w:val="20"/>
                <w:rtl/>
              </w:rPr>
              <w:t xml:space="preserve">التوجيه </w:t>
            </w:r>
            <w:r w:rsidR="008D4797" w:rsidRPr="00C41446">
              <w:rPr>
                <w:sz w:val="20"/>
                <w:szCs w:val="20"/>
                <w:rtl/>
              </w:rPr>
              <w:t xml:space="preserve">التنفيذي </w:t>
            </w:r>
            <w:r w:rsidR="00614645" w:rsidRPr="00C41446">
              <w:rPr>
                <w:rFonts w:asciiTheme="majorBidi" w:hAnsiTheme="majorBidi"/>
                <w:sz w:val="20"/>
                <w:szCs w:val="20"/>
                <w:rtl/>
              </w:rPr>
              <w:t>158 (ب)</w:t>
            </w:r>
            <w:r w:rsidR="000D1BB2" w:rsidRPr="00C41446">
              <w:rPr>
                <w:rFonts w:asciiTheme="majorBidi" w:hAnsiTheme="majorBidi" w:hint="cs"/>
                <w:sz w:val="20"/>
                <w:szCs w:val="20"/>
                <w:rtl/>
              </w:rPr>
              <w:t>، و</w:t>
            </w:r>
            <w:r w:rsidR="00614645" w:rsidRPr="00C41446">
              <w:rPr>
                <w:rFonts w:asciiTheme="majorBidi" w:hAnsiTheme="majorBidi"/>
                <w:sz w:val="20"/>
                <w:szCs w:val="20"/>
                <w:rtl/>
              </w:rPr>
              <w:t xml:space="preserve">التوجيه </w:t>
            </w:r>
            <w:r w:rsidR="008D4797" w:rsidRPr="00C41446">
              <w:rPr>
                <w:sz w:val="20"/>
                <w:szCs w:val="20"/>
                <w:rtl/>
              </w:rPr>
              <w:t xml:space="preserve">التنفيذي </w:t>
            </w:r>
            <w:r w:rsidR="00614645" w:rsidRPr="00C41446">
              <w:rPr>
                <w:rFonts w:asciiTheme="majorBidi" w:hAnsiTheme="majorBidi"/>
                <w:sz w:val="20"/>
                <w:szCs w:val="20"/>
                <w:rtl/>
              </w:rPr>
              <w:t>162 (د)</w:t>
            </w:r>
            <w:r w:rsidR="000D1BB2" w:rsidRPr="00C41446">
              <w:rPr>
                <w:rFonts w:asciiTheme="majorBidi" w:hAnsiTheme="majorBidi" w:hint="cs"/>
                <w:sz w:val="20"/>
                <w:szCs w:val="20"/>
                <w:rtl/>
              </w:rPr>
              <w:t>، و</w:t>
            </w:r>
            <w:r w:rsidRPr="00C41446">
              <w:rPr>
                <w:rFonts w:asciiTheme="majorBidi" w:hAnsiTheme="majorBidi"/>
                <w:sz w:val="20"/>
                <w:szCs w:val="20"/>
                <w:rtl/>
              </w:rPr>
              <w:t xml:space="preserve">التوجيه </w:t>
            </w:r>
            <w:r w:rsidR="008D4797" w:rsidRPr="00C41446">
              <w:rPr>
                <w:sz w:val="20"/>
                <w:szCs w:val="20"/>
                <w:rtl/>
              </w:rPr>
              <w:t xml:space="preserve">التنفيذي </w:t>
            </w:r>
            <w:r w:rsidRPr="00C41446">
              <w:rPr>
                <w:rFonts w:asciiTheme="majorBidi" w:hAnsiTheme="majorBidi"/>
                <w:sz w:val="20"/>
                <w:szCs w:val="20"/>
                <w:rtl/>
              </w:rPr>
              <w:t>163 (ب)</w:t>
            </w:r>
          </w:p>
        </w:tc>
      </w:tr>
      <w:tr w:rsidR="002C7C2C" w:rsidRPr="003908D2" w14:paraId="2B1DD1BF" w14:textId="77777777" w:rsidTr="00EF70E2">
        <w:trPr>
          <w:cantSplit/>
        </w:trPr>
        <w:tc>
          <w:tcPr>
            <w:tcW w:w="786" w:type="pct"/>
            <w:vMerge/>
            <w:shd w:val="clear" w:color="auto" w:fill="auto"/>
          </w:tcPr>
          <w:p w14:paraId="209BA759" w14:textId="77777777" w:rsidR="002C7C2C" w:rsidRPr="00C41446" w:rsidRDefault="002C7C2C" w:rsidP="002A5E32">
            <w:pPr>
              <w:bidi/>
              <w:spacing w:before="120"/>
              <w:jc w:val="both"/>
              <w:rPr>
                <w:rFonts w:asciiTheme="majorBidi" w:hAnsiTheme="majorBidi" w:cstheme="majorBidi"/>
                <w:b/>
                <w:sz w:val="24"/>
              </w:rPr>
            </w:pPr>
          </w:p>
        </w:tc>
        <w:tc>
          <w:tcPr>
            <w:tcW w:w="3418" w:type="pct"/>
            <w:shd w:val="clear" w:color="auto" w:fill="auto"/>
            <w:vAlign w:val="center"/>
          </w:tcPr>
          <w:p w14:paraId="0E6FB543" w14:textId="18C4FF97" w:rsidR="002C7C2C" w:rsidRPr="00C41446" w:rsidRDefault="00E80C17" w:rsidP="002A5E32">
            <w:pPr>
              <w:keepLines/>
              <w:bidi/>
              <w:spacing w:before="120"/>
              <w:jc w:val="both"/>
              <w:rPr>
                <w:rFonts w:asciiTheme="majorBidi" w:hAnsiTheme="majorBidi" w:cstheme="majorBidi"/>
                <w:sz w:val="24"/>
              </w:rPr>
            </w:pPr>
            <w:r w:rsidRPr="00C41446">
              <w:rPr>
                <w:rFonts w:asciiTheme="majorBidi" w:hAnsiTheme="majorBidi"/>
                <w:sz w:val="24"/>
                <w:rtl/>
              </w:rPr>
              <w:t>21-3 مشاركة كيانات القطاع الخاص في صون التراث الثقافي غير المادي وعناصر محدّدة من التراث الثقافي غير المادي، سواء كانت مدرجة أم لا، مع احترام المبادئ الأخلاقية لصون التراث الثقافي غير المادي.</w:t>
            </w:r>
          </w:p>
        </w:tc>
        <w:tc>
          <w:tcPr>
            <w:tcW w:w="796" w:type="pct"/>
            <w:shd w:val="clear" w:color="auto" w:fill="auto"/>
            <w:vAlign w:val="center"/>
          </w:tcPr>
          <w:p w14:paraId="6E897A18" w14:textId="689F14B1" w:rsidR="002C7C2C" w:rsidRPr="00C41446" w:rsidRDefault="00562E51" w:rsidP="002A5E32">
            <w:pPr>
              <w:keepLines/>
              <w:bidi/>
              <w:spacing w:before="120"/>
              <w:jc w:val="both"/>
              <w:rPr>
                <w:rFonts w:asciiTheme="majorBidi" w:hAnsiTheme="majorBidi" w:cstheme="majorBidi"/>
                <w:sz w:val="24"/>
              </w:rPr>
            </w:pPr>
            <w:r w:rsidRPr="00C41446">
              <w:rPr>
                <w:rFonts w:asciiTheme="majorBidi" w:hAnsiTheme="majorBidi"/>
                <w:sz w:val="24"/>
                <w:rtl/>
              </w:rPr>
              <w:t xml:space="preserve">التوجيه </w:t>
            </w:r>
            <w:r w:rsidR="008D4797" w:rsidRPr="00C41446">
              <w:rPr>
                <w:sz w:val="24"/>
                <w:rtl/>
              </w:rPr>
              <w:t xml:space="preserve">التنفيذي </w:t>
            </w:r>
            <w:r w:rsidRPr="00C41446">
              <w:rPr>
                <w:rFonts w:asciiTheme="majorBidi" w:hAnsiTheme="majorBidi"/>
                <w:sz w:val="24"/>
                <w:rtl/>
              </w:rPr>
              <w:t>1</w:t>
            </w:r>
            <w:r w:rsidRPr="00C41446">
              <w:rPr>
                <w:rFonts w:asciiTheme="majorBidi" w:hAnsiTheme="majorBidi" w:hint="cs"/>
                <w:sz w:val="24"/>
                <w:rtl/>
              </w:rPr>
              <w:t>87</w:t>
            </w:r>
          </w:p>
        </w:tc>
      </w:tr>
      <w:tr w:rsidR="005473CF" w:rsidRPr="003908D2" w14:paraId="20F7B1AB" w14:textId="77777777" w:rsidTr="00EF70E2">
        <w:trPr>
          <w:cantSplit/>
        </w:trPr>
        <w:tc>
          <w:tcPr>
            <w:tcW w:w="786" w:type="pct"/>
            <w:shd w:val="clear" w:color="auto" w:fill="auto"/>
          </w:tcPr>
          <w:p w14:paraId="32045CF0" w14:textId="6324CD3C" w:rsidR="005473CF" w:rsidRPr="00C41446" w:rsidRDefault="00146058" w:rsidP="002A5E32">
            <w:pPr>
              <w:bidi/>
              <w:spacing w:before="120"/>
              <w:jc w:val="both"/>
              <w:rPr>
                <w:rFonts w:asciiTheme="majorBidi" w:hAnsiTheme="majorBidi" w:cstheme="majorBidi"/>
                <w:b/>
                <w:sz w:val="24"/>
              </w:rPr>
            </w:pPr>
            <w:r w:rsidRPr="00C41446">
              <w:rPr>
                <w:rFonts w:asciiTheme="majorBidi" w:hAnsiTheme="majorBidi"/>
                <w:b/>
                <w:bCs/>
                <w:sz w:val="24"/>
                <w:rtl/>
              </w:rPr>
              <w:t>العلاقة مع أهداف التنمية المستدامة والمؤشرات الأخرى</w:t>
            </w:r>
          </w:p>
        </w:tc>
        <w:tc>
          <w:tcPr>
            <w:tcW w:w="4214" w:type="pct"/>
            <w:gridSpan w:val="2"/>
            <w:shd w:val="clear" w:color="auto" w:fill="auto"/>
          </w:tcPr>
          <w:p w14:paraId="33672737" w14:textId="7577059D" w:rsidR="00475070" w:rsidRPr="00C41446" w:rsidRDefault="00475070" w:rsidP="002A5E32">
            <w:pPr>
              <w:keepLines/>
              <w:bidi/>
              <w:spacing w:before="120"/>
              <w:jc w:val="both"/>
              <w:rPr>
                <w:rFonts w:asciiTheme="majorBidi" w:hAnsiTheme="majorBidi" w:cstheme="majorBidi"/>
                <w:sz w:val="24"/>
                <w:rtl/>
              </w:rPr>
            </w:pPr>
            <w:r w:rsidRPr="00C41446">
              <w:rPr>
                <w:rFonts w:asciiTheme="majorBidi" w:hAnsiTheme="majorBidi"/>
                <w:b/>
                <w:bCs/>
                <w:sz w:val="24"/>
                <w:rtl/>
              </w:rPr>
              <w:t xml:space="preserve">أهداف التنمية المستدامة: </w:t>
            </w:r>
            <w:r w:rsidRPr="00C41446">
              <w:rPr>
                <w:rFonts w:asciiTheme="majorBidi" w:hAnsiTheme="majorBidi"/>
                <w:sz w:val="24"/>
                <w:rtl/>
              </w:rPr>
              <w:t>يدعم المؤشر الحالي، من خلال دعوة مجموعة كبيرة من الجهات الفاعلة إلى المشاركة الواسعة في صون التراث الثقافي غير المادي، الغاية 16-7 من أهداف التنمية المستدامة "ضمان اتخاذ القرارات على نحو مستجيب للاحتياجات وشامل للجميع وتشاركي وتمثيلي على جميع المستويات"، والغاية 17-17 من أهداف التنمية المستدامة "تشجيع وتعزيز الشراكات العامة وبين القطاع العام والقطاع الخاص وشراكات المجتمع المدني...". كما أنه يستجيب للغاية 11-4 من أهداف التنمية المستدامة</w:t>
            </w:r>
            <w:r w:rsidRPr="00C41446">
              <w:rPr>
                <w:rFonts w:asciiTheme="majorBidi" w:hAnsiTheme="majorBidi" w:hint="cs"/>
                <w:sz w:val="24"/>
                <w:rtl/>
              </w:rPr>
              <w:t xml:space="preserve"> </w:t>
            </w:r>
            <w:r w:rsidRPr="00C41446">
              <w:rPr>
                <w:rFonts w:asciiTheme="majorBidi" w:hAnsiTheme="majorBidi"/>
                <w:sz w:val="24"/>
                <w:rtl/>
              </w:rPr>
              <w:t>المتعلقة بحماية وصون التراث الثقافي والطبيعي العالمي.</w:t>
            </w:r>
          </w:p>
          <w:p w14:paraId="57EC57F8" w14:textId="7EAE7E20" w:rsidR="005473CF" w:rsidRPr="00C41446" w:rsidRDefault="00002D84" w:rsidP="002A5E32">
            <w:pPr>
              <w:keepLines/>
              <w:bidi/>
              <w:spacing w:before="120"/>
              <w:jc w:val="both"/>
              <w:rPr>
                <w:rFonts w:asciiTheme="majorBidi" w:hAnsiTheme="majorBidi" w:cstheme="majorBidi"/>
                <w:bCs/>
                <w:sz w:val="24"/>
              </w:rPr>
            </w:pPr>
            <w:r w:rsidRPr="00C41446">
              <w:rPr>
                <w:rFonts w:asciiTheme="majorBidi" w:hAnsiTheme="majorBidi"/>
                <w:bCs/>
                <w:sz w:val="24"/>
                <w:rtl/>
              </w:rPr>
              <w:t>العلاقة بالمؤشرات الأخرى:</w:t>
            </w:r>
            <w:r w:rsidRPr="00C41446">
              <w:rPr>
                <w:rFonts w:asciiTheme="majorBidi" w:hAnsiTheme="majorBidi"/>
                <w:b/>
                <w:sz w:val="24"/>
                <w:rtl/>
              </w:rPr>
              <w:t xml:space="preserve"> نظرًا للاهتمام بالمشاركة الواسعة والشاملة للجماعات والمجموعات والأفراد في صون التراث الثقافي غير المادي، يكمل المؤشر الحالي العديد من المؤشرات المعنية بتدابير صون محددة: المؤشر 4 (التعليم)، المؤشر 8 (ال</w:t>
            </w:r>
            <w:r w:rsidR="002064A7" w:rsidRPr="00C41446">
              <w:rPr>
                <w:rFonts w:asciiTheme="majorBidi" w:hAnsiTheme="majorBidi" w:hint="cs"/>
                <w:b/>
                <w:sz w:val="24"/>
                <w:rtl/>
              </w:rPr>
              <w:t>حصر</w:t>
            </w:r>
            <w:r w:rsidRPr="00C41446">
              <w:rPr>
                <w:rFonts w:asciiTheme="majorBidi" w:hAnsiTheme="majorBidi"/>
                <w:b/>
                <w:sz w:val="24"/>
                <w:rtl/>
              </w:rPr>
              <w:t xml:space="preserve">)، المؤشر 11 (السياسة الثقافية)، والمؤشر 17 (التوعية). </w:t>
            </w:r>
            <w:r w:rsidR="002064A7" w:rsidRPr="00C41446">
              <w:rPr>
                <w:rFonts w:asciiTheme="majorBidi" w:hAnsiTheme="majorBidi" w:hint="cs"/>
                <w:b/>
                <w:sz w:val="24"/>
                <w:rtl/>
              </w:rPr>
              <w:t xml:space="preserve">كما </w:t>
            </w:r>
            <w:r w:rsidRPr="00C41446">
              <w:rPr>
                <w:rFonts w:asciiTheme="majorBidi" w:hAnsiTheme="majorBidi"/>
                <w:b/>
                <w:sz w:val="24"/>
                <w:rtl/>
              </w:rPr>
              <w:t>يكمل المؤشر 25 روح التنسيق بين مختلف الجهات الفاعلة المشاركة في الصون - بما في ذلك الجماعات، والمجموعات، والأفراد، والمنظمات غير الحكومية، والجهات الفاعلة في المجتمع المدني، وكيانات القطاع الخاص.</w:t>
            </w:r>
          </w:p>
        </w:tc>
      </w:tr>
      <w:tr w:rsidR="00896177" w:rsidRPr="003908D2" w14:paraId="5AB160F5" w14:textId="77777777" w:rsidTr="00EF70E2">
        <w:trPr>
          <w:cantSplit/>
        </w:trPr>
        <w:tc>
          <w:tcPr>
            <w:tcW w:w="786" w:type="pct"/>
            <w:shd w:val="clear" w:color="auto" w:fill="auto"/>
          </w:tcPr>
          <w:p w14:paraId="5967A82A" w14:textId="3F888D4B" w:rsidR="00896177" w:rsidRPr="00C41446" w:rsidRDefault="00146058" w:rsidP="002A5E32">
            <w:pPr>
              <w:bidi/>
              <w:spacing w:before="120"/>
              <w:jc w:val="both"/>
              <w:rPr>
                <w:rFonts w:asciiTheme="majorBidi" w:hAnsiTheme="majorBidi" w:cstheme="majorBidi"/>
                <w:b/>
                <w:sz w:val="24"/>
              </w:rPr>
            </w:pPr>
            <w:r w:rsidRPr="00C41446">
              <w:rPr>
                <w:rFonts w:asciiTheme="majorBidi" w:hAnsiTheme="majorBidi"/>
                <w:b/>
                <w:bCs/>
                <w:sz w:val="24"/>
                <w:rtl/>
              </w:rPr>
              <w:t xml:space="preserve">الأسس المنطقية </w:t>
            </w:r>
            <w:r w:rsidR="00765591" w:rsidRPr="00C41446">
              <w:rPr>
                <w:rFonts w:asciiTheme="majorBidi" w:hAnsiTheme="majorBidi" w:hint="cs"/>
                <w:b/>
                <w:bCs/>
                <w:sz w:val="24"/>
                <w:rtl/>
              </w:rPr>
              <w:t>للإجراءات</w:t>
            </w:r>
          </w:p>
        </w:tc>
        <w:tc>
          <w:tcPr>
            <w:tcW w:w="4214" w:type="pct"/>
            <w:gridSpan w:val="2"/>
            <w:shd w:val="clear" w:color="auto" w:fill="auto"/>
          </w:tcPr>
          <w:p w14:paraId="78AB3230" w14:textId="183458CF" w:rsidR="00704766" w:rsidRPr="00C41446" w:rsidRDefault="0024409B" w:rsidP="002A5E32">
            <w:pPr>
              <w:keepLines/>
              <w:bidi/>
              <w:spacing w:before="120"/>
              <w:jc w:val="both"/>
              <w:rPr>
                <w:rFonts w:asciiTheme="majorBidi" w:hAnsiTheme="majorBidi" w:cstheme="majorBidi"/>
                <w:sz w:val="24"/>
              </w:rPr>
            </w:pPr>
            <w:r w:rsidRPr="00C41446">
              <w:rPr>
                <w:rFonts w:asciiTheme="majorBidi" w:hAnsiTheme="majorBidi"/>
                <w:sz w:val="24"/>
                <w:rtl/>
              </w:rPr>
              <w:t>تشجع المادة 15 كل دولة على "ضمان أوسع مشاركة ممكنة للجماعات، والمجموعات، وأحيان</w:t>
            </w:r>
            <w:r w:rsidR="005F7186" w:rsidRPr="00C41446">
              <w:rPr>
                <w:rFonts w:asciiTheme="majorBidi" w:hAnsiTheme="majorBidi" w:hint="cs"/>
                <w:sz w:val="24"/>
                <w:rtl/>
              </w:rPr>
              <w:t>ً</w:t>
            </w:r>
            <w:r w:rsidRPr="00C41446">
              <w:rPr>
                <w:rFonts w:asciiTheme="majorBidi" w:hAnsiTheme="majorBidi"/>
                <w:sz w:val="24"/>
                <w:rtl/>
              </w:rPr>
              <w:t>ا الأفراد" في صون تراثهم الثقافي غير المادي</w:t>
            </w:r>
            <w:r w:rsidR="00DA68D8" w:rsidRPr="00C41446">
              <w:rPr>
                <w:rFonts w:asciiTheme="majorBidi" w:hAnsiTheme="majorBidi" w:hint="cs"/>
                <w:sz w:val="24"/>
                <w:rtl/>
              </w:rPr>
              <w:t xml:space="preserve"> </w:t>
            </w:r>
            <w:r w:rsidR="00DA68D8" w:rsidRPr="00C41446">
              <w:rPr>
                <w:rFonts w:asciiTheme="majorBidi" w:hAnsiTheme="majorBidi"/>
                <w:sz w:val="24"/>
                <w:rtl/>
              </w:rPr>
              <w:t>وإدار</w:t>
            </w:r>
            <w:r w:rsidR="00DA68D8" w:rsidRPr="00C41446">
              <w:rPr>
                <w:rFonts w:asciiTheme="majorBidi" w:hAnsiTheme="majorBidi" w:hint="cs"/>
                <w:sz w:val="24"/>
                <w:rtl/>
              </w:rPr>
              <w:t>ته</w:t>
            </w:r>
            <w:r w:rsidRPr="00C41446">
              <w:rPr>
                <w:rFonts w:asciiTheme="majorBidi" w:hAnsiTheme="majorBidi"/>
                <w:sz w:val="24"/>
                <w:rtl/>
              </w:rPr>
              <w:t xml:space="preserve">. </w:t>
            </w:r>
            <w:r w:rsidR="007877E8" w:rsidRPr="00C41446">
              <w:rPr>
                <w:rFonts w:asciiTheme="majorBidi" w:hAnsiTheme="majorBidi" w:hint="cs"/>
                <w:sz w:val="24"/>
                <w:rtl/>
              </w:rPr>
              <w:t>تم إ</w:t>
            </w:r>
            <w:r w:rsidRPr="00C41446">
              <w:rPr>
                <w:rFonts w:asciiTheme="majorBidi" w:hAnsiTheme="majorBidi"/>
                <w:sz w:val="24"/>
                <w:rtl/>
              </w:rPr>
              <w:t>در</w:t>
            </w:r>
            <w:r w:rsidR="007877E8" w:rsidRPr="00C41446">
              <w:rPr>
                <w:rFonts w:asciiTheme="majorBidi" w:hAnsiTheme="majorBidi" w:hint="cs"/>
                <w:sz w:val="24"/>
                <w:rtl/>
              </w:rPr>
              <w:t>ا</w:t>
            </w:r>
            <w:r w:rsidRPr="00C41446">
              <w:rPr>
                <w:rFonts w:asciiTheme="majorBidi" w:hAnsiTheme="majorBidi"/>
                <w:sz w:val="24"/>
                <w:rtl/>
              </w:rPr>
              <w:t xml:space="preserve">ج هذا المبدأ العام في جميع التوجيهات </w:t>
            </w:r>
            <w:r w:rsidR="007877E8" w:rsidRPr="00C41446">
              <w:rPr>
                <w:rFonts w:asciiTheme="majorBidi" w:hAnsiTheme="majorBidi" w:hint="cs"/>
                <w:sz w:val="24"/>
                <w:rtl/>
              </w:rPr>
              <w:t xml:space="preserve">التنفيذية </w:t>
            </w:r>
            <w:r w:rsidRPr="00C41446">
              <w:rPr>
                <w:rFonts w:asciiTheme="majorBidi" w:hAnsiTheme="majorBidi"/>
                <w:sz w:val="24"/>
                <w:rtl/>
              </w:rPr>
              <w:t xml:space="preserve">والمبادئ الأخلاقية. وهذا لا يعني ببساطة شراكة متبادلة بين الدولة وهذه الجماعات؛ ولكن أصبح للتوجيهات </w:t>
            </w:r>
            <w:r w:rsidR="007877E8" w:rsidRPr="00C41446">
              <w:rPr>
                <w:rFonts w:asciiTheme="majorBidi" w:hAnsiTheme="majorBidi" w:hint="cs"/>
                <w:sz w:val="24"/>
                <w:rtl/>
              </w:rPr>
              <w:t xml:space="preserve">التنفيذية </w:t>
            </w:r>
            <w:r w:rsidRPr="00C41446">
              <w:rPr>
                <w:rFonts w:asciiTheme="majorBidi" w:hAnsiTheme="majorBidi"/>
                <w:sz w:val="24"/>
                <w:rtl/>
              </w:rPr>
              <w:t xml:space="preserve">دورًا مهمًا في </w:t>
            </w:r>
            <w:r w:rsidR="007877E8" w:rsidRPr="00C41446">
              <w:rPr>
                <w:rFonts w:asciiTheme="majorBidi" w:hAnsiTheme="majorBidi" w:hint="cs"/>
                <w:sz w:val="24"/>
                <w:rtl/>
              </w:rPr>
              <w:t>الصون</w:t>
            </w:r>
            <w:r w:rsidRPr="00C41446">
              <w:rPr>
                <w:rFonts w:asciiTheme="majorBidi" w:hAnsiTheme="majorBidi"/>
                <w:sz w:val="24"/>
                <w:rtl/>
              </w:rPr>
              <w:t xml:space="preserve"> </w:t>
            </w:r>
            <w:r w:rsidR="007877E8" w:rsidRPr="00C41446">
              <w:rPr>
                <w:rFonts w:asciiTheme="majorBidi" w:hAnsiTheme="majorBidi" w:hint="cs"/>
                <w:sz w:val="24"/>
                <w:rtl/>
              </w:rPr>
              <w:t>ل</w:t>
            </w:r>
            <w:r w:rsidRPr="00C41446">
              <w:rPr>
                <w:rFonts w:asciiTheme="majorBidi" w:hAnsiTheme="majorBidi"/>
                <w:sz w:val="24"/>
                <w:rtl/>
              </w:rPr>
              <w:t xml:space="preserve">لمنظمات غير الحكومية والجهات الفاعلة الأخرى في المجتمع المدني والقطاع الخاص. </w:t>
            </w:r>
            <w:r w:rsidR="00A90AAA" w:rsidRPr="00C41446">
              <w:rPr>
                <w:rFonts w:asciiTheme="majorBidi" w:hAnsiTheme="majorBidi" w:hint="cs"/>
                <w:sz w:val="24"/>
                <w:rtl/>
              </w:rPr>
              <w:t>ي</w:t>
            </w:r>
            <w:r w:rsidRPr="00C41446">
              <w:rPr>
                <w:rFonts w:asciiTheme="majorBidi" w:hAnsiTheme="majorBidi"/>
                <w:sz w:val="24"/>
                <w:rtl/>
              </w:rPr>
              <w:t xml:space="preserve">عد </w:t>
            </w:r>
            <w:r w:rsidR="00A90AAA" w:rsidRPr="00C41446">
              <w:rPr>
                <w:rFonts w:asciiTheme="majorBidi" w:hAnsiTheme="majorBidi" w:hint="cs"/>
                <w:sz w:val="24"/>
                <w:rtl/>
              </w:rPr>
              <w:t xml:space="preserve">الإشراك </w:t>
            </w:r>
            <w:r w:rsidRPr="00C41446">
              <w:rPr>
                <w:rFonts w:asciiTheme="majorBidi" w:hAnsiTheme="majorBidi"/>
                <w:sz w:val="24"/>
                <w:rtl/>
              </w:rPr>
              <w:t xml:space="preserve">الفعال لهذه المجموعة الواسعة من الجهات الفاعلة ضروري لتحقيق أفضل نتائج </w:t>
            </w:r>
            <w:r w:rsidR="00A90AAA" w:rsidRPr="00C41446">
              <w:rPr>
                <w:rFonts w:asciiTheme="majorBidi" w:hAnsiTheme="majorBidi" w:hint="cs"/>
                <w:sz w:val="24"/>
                <w:rtl/>
              </w:rPr>
              <w:t>لل</w:t>
            </w:r>
            <w:r w:rsidRPr="00C41446">
              <w:rPr>
                <w:rFonts w:asciiTheme="majorBidi" w:hAnsiTheme="majorBidi"/>
                <w:sz w:val="24"/>
                <w:rtl/>
              </w:rPr>
              <w:t>صون، سواء بالنسبة للتراث الثقافي غير المادي عامة أو لعناصر محددة منه.</w:t>
            </w:r>
          </w:p>
        </w:tc>
      </w:tr>
      <w:tr w:rsidR="00704766" w:rsidRPr="003908D2" w14:paraId="1AA17242" w14:textId="77777777" w:rsidTr="00EF70E2">
        <w:trPr>
          <w:cantSplit/>
        </w:trPr>
        <w:tc>
          <w:tcPr>
            <w:tcW w:w="786" w:type="pct"/>
            <w:shd w:val="clear" w:color="auto" w:fill="auto"/>
          </w:tcPr>
          <w:p w14:paraId="0AB37732" w14:textId="523AD34B" w:rsidR="00704766" w:rsidRPr="00C41446" w:rsidRDefault="00146058" w:rsidP="002A5E32">
            <w:pPr>
              <w:bidi/>
              <w:spacing w:before="120" w:after="60"/>
              <w:jc w:val="both"/>
              <w:rPr>
                <w:rFonts w:asciiTheme="majorBidi" w:hAnsiTheme="majorBidi" w:cstheme="majorBidi"/>
                <w:b/>
                <w:sz w:val="24"/>
              </w:rPr>
            </w:pPr>
            <w:r w:rsidRPr="00C41446">
              <w:rPr>
                <w:rFonts w:asciiTheme="majorBidi" w:hAnsiTheme="majorBidi"/>
                <w:b/>
                <w:bCs/>
                <w:sz w:val="24"/>
                <w:rtl/>
              </w:rPr>
              <w:lastRenderedPageBreak/>
              <w:t>المصطلحات الرئيسية</w:t>
            </w:r>
          </w:p>
        </w:tc>
        <w:tc>
          <w:tcPr>
            <w:tcW w:w="4214" w:type="pct"/>
            <w:gridSpan w:val="2"/>
            <w:shd w:val="clear" w:color="auto" w:fill="auto"/>
          </w:tcPr>
          <w:p w14:paraId="7760FDB9" w14:textId="4F761B4F"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481D13" w:rsidRPr="00C41446">
              <w:rPr>
                <w:rFonts w:asciiTheme="majorBidi" w:hAnsiTheme="majorBidi"/>
                <w:sz w:val="24"/>
                <w:szCs w:val="24"/>
                <w:rtl/>
                <w:lang w:val="en-GB"/>
              </w:rPr>
              <w:t xml:space="preserve">أطراف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معنية</w:t>
            </w:r>
          </w:p>
          <w:p w14:paraId="5EF2A81A" w14:textId="78E6C5FB" w:rsidR="00CE1A39" w:rsidRPr="00C41446" w:rsidRDefault="00481D13"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sz w:val="24"/>
                <w:szCs w:val="24"/>
                <w:rtl/>
                <w:lang w:val="en-GB"/>
              </w:rPr>
              <w:t xml:space="preserve">جماعات أو مجموعات أو أحيانًا </w:t>
            </w:r>
            <w:r w:rsidR="00CE1A39" w:rsidRPr="00C41446">
              <w:rPr>
                <w:rFonts w:asciiTheme="majorBidi" w:hAnsiTheme="majorBidi"/>
                <w:sz w:val="24"/>
                <w:szCs w:val="24"/>
                <w:rtl/>
                <w:lang w:val="en-GB"/>
              </w:rPr>
              <w:t>أفراد</w:t>
            </w:r>
          </w:p>
          <w:p w14:paraId="1E27DE11" w14:textId="7A05ADE1"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481D13" w:rsidRPr="00C41446">
              <w:rPr>
                <w:rFonts w:asciiTheme="majorBidi" w:hAnsiTheme="majorBidi"/>
                <w:sz w:val="24"/>
                <w:szCs w:val="24"/>
                <w:rtl/>
                <w:lang w:val="en-GB"/>
              </w:rPr>
              <w:t xml:space="preserve">مشاركة أو </w:t>
            </w:r>
            <w:r w:rsidRPr="00C41446">
              <w:rPr>
                <w:rFonts w:asciiTheme="majorBidi" w:hAnsiTheme="majorBidi" w:hint="cs"/>
                <w:sz w:val="24"/>
                <w:szCs w:val="24"/>
                <w:rtl/>
                <w:lang w:val="en-GB"/>
              </w:rPr>
              <w:t>ال</w:t>
            </w:r>
            <w:r w:rsidR="00481D13" w:rsidRPr="00C41446">
              <w:rPr>
                <w:rFonts w:asciiTheme="majorBidi" w:hAnsiTheme="majorBidi" w:hint="cs"/>
                <w:sz w:val="24"/>
                <w:szCs w:val="24"/>
                <w:rtl/>
                <w:lang w:val="en-GB"/>
              </w:rPr>
              <w:t>إشراك</w:t>
            </w:r>
          </w:p>
          <w:p w14:paraId="7A7EE5E0" w14:textId="2B3FBB64" w:rsidR="00CE1A39" w:rsidRPr="00C41446" w:rsidRDefault="00481D13"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sz w:val="24"/>
                <w:szCs w:val="24"/>
                <w:rtl/>
                <w:lang w:val="en-GB"/>
              </w:rPr>
              <w:t>شامل/ شمولي</w:t>
            </w:r>
            <w:r w:rsidR="00A90AAA" w:rsidRPr="00C41446">
              <w:rPr>
                <w:rFonts w:asciiTheme="majorBidi" w:hAnsiTheme="majorBidi" w:hint="cs"/>
                <w:sz w:val="24"/>
                <w:szCs w:val="24"/>
                <w:rtl/>
                <w:lang w:val="en-GB"/>
              </w:rPr>
              <w:t>ة</w:t>
            </w:r>
          </w:p>
          <w:p w14:paraId="7145A8F3" w14:textId="77777777" w:rsidR="00CE1A39" w:rsidRPr="00C41446" w:rsidRDefault="00CE1A39"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sz w:val="24"/>
                <w:szCs w:val="24"/>
                <w:rtl/>
                <w:lang w:val="en-GB"/>
              </w:rPr>
              <w:t>عناصر التراث الثقافي غير المادي</w:t>
            </w:r>
          </w:p>
          <w:p w14:paraId="186F65BF" w14:textId="0E2CE43C" w:rsidR="00CE1A39" w:rsidRPr="00C41446" w:rsidRDefault="00CE1A39"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sz w:val="24"/>
                <w:szCs w:val="24"/>
                <w:rtl/>
                <w:lang w:val="en-GB"/>
              </w:rPr>
              <w:t>مدرج (</w:t>
            </w:r>
            <w:r w:rsidR="00481D13" w:rsidRPr="00C41446">
              <w:rPr>
                <w:rFonts w:asciiTheme="majorBidi" w:hAnsiTheme="majorBidi" w:hint="cs"/>
                <w:sz w:val="24"/>
                <w:szCs w:val="24"/>
                <w:rtl/>
                <w:lang w:val="en-GB"/>
              </w:rPr>
              <w:t>سواء كان مدرجًا أم لا</w:t>
            </w:r>
            <w:r w:rsidRPr="00C41446">
              <w:rPr>
                <w:rFonts w:asciiTheme="majorBidi" w:hAnsiTheme="majorBidi"/>
                <w:sz w:val="24"/>
                <w:szCs w:val="24"/>
                <w:rtl/>
                <w:lang w:val="en-GB"/>
              </w:rPr>
              <w:t>)</w:t>
            </w:r>
          </w:p>
          <w:p w14:paraId="049F006B" w14:textId="29A8C09D"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 xml:space="preserve">منظمات غير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حكومية</w:t>
            </w:r>
          </w:p>
          <w:p w14:paraId="62DFCCE7" w14:textId="33D682CC"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481D13" w:rsidRPr="00C41446">
              <w:rPr>
                <w:rFonts w:asciiTheme="majorBidi" w:hAnsiTheme="majorBidi"/>
                <w:sz w:val="24"/>
                <w:szCs w:val="24"/>
                <w:rtl/>
                <w:lang w:val="en-GB"/>
              </w:rPr>
              <w:t xml:space="preserve">مجتمع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مدني</w:t>
            </w:r>
          </w:p>
          <w:p w14:paraId="3EC4B76C" w14:textId="63F717C7"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 xml:space="preserve">جهات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فاعلة</w:t>
            </w:r>
          </w:p>
          <w:p w14:paraId="1BBD8D98" w14:textId="10A69E4F" w:rsidR="00CE1A39" w:rsidRPr="00C41446" w:rsidRDefault="00D01E68" w:rsidP="002A5E32">
            <w:pPr>
              <w:pStyle w:val="ListParagraph"/>
              <w:numPr>
                <w:ilvl w:val="0"/>
                <w:numId w:val="71"/>
              </w:numPr>
              <w:bidi/>
              <w:spacing w:before="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481D13" w:rsidRPr="00C41446">
              <w:rPr>
                <w:rFonts w:asciiTheme="majorBidi" w:hAnsiTheme="majorBidi"/>
                <w:sz w:val="24"/>
                <w:szCs w:val="24"/>
                <w:rtl/>
                <w:lang w:val="en-GB"/>
              </w:rPr>
              <w:t xml:space="preserve">قطاع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خاص</w:t>
            </w:r>
          </w:p>
          <w:p w14:paraId="59A4997F" w14:textId="2190F75B" w:rsidR="00D474D7" w:rsidRPr="00C41446" w:rsidRDefault="00D01E68" w:rsidP="002A5E32">
            <w:pPr>
              <w:pStyle w:val="ListParagraph"/>
              <w:numPr>
                <w:ilvl w:val="0"/>
                <w:numId w:val="71"/>
              </w:numPr>
              <w:bidi/>
              <w:spacing w:before="120" w:after="120"/>
              <w:jc w:val="both"/>
              <w:rPr>
                <w:rFonts w:asciiTheme="majorBidi" w:hAnsiTheme="majorBidi" w:cstheme="majorBidi"/>
                <w:sz w:val="24"/>
                <w:szCs w:val="24"/>
                <w:lang w:val="en-GB"/>
              </w:rPr>
            </w:pPr>
            <w:r w:rsidRPr="00C41446">
              <w:rPr>
                <w:rFonts w:asciiTheme="majorBidi" w:hAnsiTheme="majorBidi" w:hint="cs"/>
                <w:sz w:val="24"/>
                <w:szCs w:val="24"/>
                <w:rtl/>
                <w:lang w:val="en-GB"/>
              </w:rPr>
              <w:t>ال</w:t>
            </w:r>
            <w:r w:rsidR="00481D13" w:rsidRPr="00C41446">
              <w:rPr>
                <w:rFonts w:asciiTheme="majorBidi" w:hAnsiTheme="majorBidi"/>
                <w:sz w:val="24"/>
                <w:szCs w:val="24"/>
                <w:rtl/>
                <w:lang w:val="en-GB"/>
              </w:rPr>
              <w:t xml:space="preserve">مبادئ </w:t>
            </w:r>
            <w:r w:rsidRPr="00C41446">
              <w:rPr>
                <w:rFonts w:asciiTheme="majorBidi" w:hAnsiTheme="majorBidi" w:hint="cs"/>
                <w:sz w:val="24"/>
                <w:szCs w:val="24"/>
                <w:rtl/>
                <w:lang w:val="en-GB"/>
              </w:rPr>
              <w:t>ال</w:t>
            </w:r>
            <w:r w:rsidR="00CE1A39" w:rsidRPr="00C41446">
              <w:rPr>
                <w:rFonts w:asciiTheme="majorBidi" w:hAnsiTheme="majorBidi"/>
                <w:sz w:val="24"/>
                <w:szCs w:val="24"/>
                <w:rtl/>
                <w:lang w:val="en-GB"/>
              </w:rPr>
              <w:t>أخلاقية لصون التراث الثقافي غير المادي</w:t>
            </w:r>
          </w:p>
        </w:tc>
      </w:tr>
    </w:tbl>
    <w:p w14:paraId="3EA90EA4" w14:textId="77777777" w:rsidR="0054175C" w:rsidRPr="003908D2" w:rsidRDefault="0054175C" w:rsidP="002A5E32">
      <w:pPr>
        <w:bidi/>
        <w:jc w:val="center"/>
        <w:rPr>
          <w:rFonts w:asciiTheme="majorBidi" w:hAnsiTheme="majorBidi" w:cstheme="majorBidi"/>
          <w:b/>
          <w:sz w:val="24"/>
        </w:rPr>
        <w:sectPr w:rsidR="0054175C" w:rsidRPr="003908D2" w:rsidSect="000F25BA">
          <w:footerReference w:type="default" r:id="rId8"/>
          <w:pgSz w:w="11906" w:h="16838" w:code="9"/>
          <w:pgMar w:top="1418" w:right="1134" w:bottom="1134" w:left="1134" w:header="397" w:footer="284" w:gutter="0"/>
          <w:cols w:space="708"/>
          <w:docGrid w:linePitch="360"/>
        </w:sectPr>
      </w:pPr>
    </w:p>
    <w:p w14:paraId="008ADADC" w14:textId="6146A3C1" w:rsidR="00146058" w:rsidRPr="00A90AAA" w:rsidRDefault="00146058" w:rsidP="002A5E32">
      <w:pPr>
        <w:keepNext/>
        <w:bidi/>
        <w:jc w:val="center"/>
        <w:rPr>
          <w:rFonts w:asciiTheme="majorBidi" w:hAnsiTheme="majorBidi" w:cstheme="majorBidi"/>
          <w:b/>
          <w:bCs/>
          <w:sz w:val="28"/>
          <w:szCs w:val="28"/>
        </w:rPr>
      </w:pPr>
      <w:r w:rsidRPr="00A90AAA">
        <w:rPr>
          <w:rFonts w:asciiTheme="majorBidi" w:hAnsiTheme="majorBidi" w:hint="cs"/>
          <w:b/>
          <w:bCs/>
          <w:sz w:val="28"/>
          <w:szCs w:val="28"/>
          <w:rtl/>
        </w:rPr>
        <w:t>التوجيهات المحددة بشأن الرصد و</w:t>
      </w:r>
      <w:r w:rsidR="00A90AAA" w:rsidRPr="00A90AAA">
        <w:rPr>
          <w:rFonts w:asciiTheme="majorBidi" w:hAnsiTheme="majorBidi" w:hint="cs"/>
          <w:b/>
          <w:bCs/>
          <w:sz w:val="28"/>
          <w:szCs w:val="28"/>
          <w:rtl/>
        </w:rPr>
        <w:t>ال</w:t>
      </w:r>
      <w:r w:rsidR="00772AD8">
        <w:rPr>
          <w:rFonts w:asciiTheme="majorBidi" w:hAnsiTheme="majorBidi" w:hint="cs"/>
          <w:b/>
          <w:bCs/>
          <w:sz w:val="28"/>
          <w:szCs w:val="28"/>
          <w:rtl/>
        </w:rPr>
        <w:t>تقرير</w:t>
      </w:r>
      <w:r w:rsidR="00A90AAA" w:rsidRPr="00A90AAA">
        <w:rPr>
          <w:rFonts w:asciiTheme="majorBidi" w:hAnsiTheme="majorBidi" w:hint="cs"/>
          <w:b/>
          <w:bCs/>
          <w:sz w:val="28"/>
          <w:szCs w:val="28"/>
          <w:rtl/>
        </w:rPr>
        <w:t xml:space="preserve"> </w:t>
      </w:r>
      <w:r w:rsidRPr="00A90AAA">
        <w:rPr>
          <w:rFonts w:asciiTheme="majorBidi" w:hAnsiTheme="majorBidi" w:hint="cs"/>
          <w:b/>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3908D2" w14:paraId="1EFB1B4B" w14:textId="77777777" w:rsidTr="00EF70E2">
        <w:tc>
          <w:tcPr>
            <w:tcW w:w="730" w:type="pct"/>
            <w:shd w:val="clear" w:color="auto" w:fill="auto"/>
          </w:tcPr>
          <w:p w14:paraId="788E21B5" w14:textId="62985947" w:rsidR="002C28BA" w:rsidRPr="003908D2" w:rsidRDefault="00146058" w:rsidP="002A5E32">
            <w:pPr>
              <w:bidi/>
              <w:spacing w:before="120"/>
              <w:rPr>
                <w:rFonts w:asciiTheme="majorBidi" w:hAnsiTheme="majorBidi" w:cstheme="majorBidi"/>
                <w:b/>
                <w:sz w:val="24"/>
              </w:rPr>
            </w:pPr>
            <w:r w:rsidRPr="003908D2">
              <w:rPr>
                <w:rFonts w:asciiTheme="majorBidi" w:hAnsiTheme="majorBidi"/>
                <w:b/>
                <w:bCs/>
                <w:sz w:val="24"/>
                <w:rtl/>
              </w:rPr>
              <w:t>فوائد الرصد</w:t>
            </w:r>
          </w:p>
        </w:tc>
        <w:tc>
          <w:tcPr>
            <w:tcW w:w="4270" w:type="pct"/>
            <w:shd w:val="clear" w:color="auto" w:fill="auto"/>
          </w:tcPr>
          <w:p w14:paraId="7FB006A0" w14:textId="67C900E9" w:rsidR="002C28BA" w:rsidRPr="003908D2" w:rsidRDefault="001D18C4" w:rsidP="002A5E32">
            <w:pPr>
              <w:keepLines/>
              <w:bidi/>
              <w:spacing w:before="120"/>
              <w:jc w:val="both"/>
              <w:rPr>
                <w:rFonts w:asciiTheme="majorBidi" w:hAnsiTheme="majorBidi" w:cstheme="majorBidi"/>
                <w:b/>
                <w:sz w:val="24"/>
              </w:rPr>
            </w:pPr>
            <w:r w:rsidRPr="003908D2">
              <w:rPr>
                <w:rFonts w:asciiTheme="majorBidi" w:hAnsiTheme="majorBidi"/>
                <w:b/>
                <w:sz w:val="24"/>
                <w:rtl/>
              </w:rPr>
              <w:t xml:space="preserve">نظرًا لأهمية المادة 15، يمكن للرصد أن يساعد الدولة على تقييم ما إذا كانت جهود الصون الخاصة بها تُبذل بفعالية </w:t>
            </w:r>
            <w:r w:rsidR="006718E1">
              <w:rPr>
                <w:rFonts w:asciiTheme="majorBidi" w:hAnsiTheme="majorBidi" w:hint="cs"/>
                <w:b/>
                <w:sz w:val="24"/>
                <w:rtl/>
              </w:rPr>
              <w:t>وب</w:t>
            </w:r>
            <w:r w:rsidRPr="003908D2">
              <w:rPr>
                <w:rFonts w:asciiTheme="majorBidi" w:hAnsiTheme="majorBidi"/>
                <w:b/>
                <w:sz w:val="24"/>
                <w:rtl/>
              </w:rPr>
              <w:t xml:space="preserve">أوسع مشاركة ممكنة </w:t>
            </w:r>
            <w:r w:rsidR="00F166E8" w:rsidRPr="003908D2">
              <w:rPr>
                <w:rFonts w:asciiTheme="majorBidi" w:hAnsiTheme="majorBidi" w:hint="cs"/>
                <w:b/>
                <w:sz w:val="24"/>
                <w:rtl/>
              </w:rPr>
              <w:t>للجماعات</w:t>
            </w:r>
            <w:r w:rsidRPr="003908D2">
              <w:rPr>
                <w:rFonts w:asciiTheme="majorBidi" w:hAnsiTheme="majorBidi"/>
                <w:b/>
                <w:sz w:val="24"/>
                <w:rtl/>
              </w:rPr>
              <w:t xml:space="preserve"> والمجموعات والأفراد. كما يمكن أن يساعد رصد مشاركة المجتمع المدني والقطاع الخاص في صون التراث الثقافي غير المادي على تحديد الفرص المتاحة لزيادة فعالية جهود الدولة و</w:t>
            </w:r>
            <w:r w:rsidR="003447DF">
              <w:rPr>
                <w:rFonts w:asciiTheme="majorBidi" w:hAnsiTheme="majorBidi" w:hint="cs"/>
                <w:b/>
                <w:sz w:val="24"/>
                <w:rtl/>
                <w:lang w:bidi="ar-EG"/>
              </w:rPr>
              <w:t>الجماعة</w:t>
            </w:r>
            <w:r w:rsidRPr="003908D2">
              <w:rPr>
                <w:rFonts w:asciiTheme="majorBidi" w:hAnsiTheme="majorBidi"/>
                <w:b/>
                <w:sz w:val="24"/>
                <w:rtl/>
              </w:rPr>
              <w:t>، والطرق الملائمة محليًا للقيام بذلك. وعلى الصعيد العالمي، يمكن للرصد أن يؤدي إلى تبادل أمثلة الممارسات الجيدة وتقدم دروسًا للدول التي لم تش</w:t>
            </w:r>
            <w:r w:rsidR="003447DF">
              <w:rPr>
                <w:rFonts w:asciiTheme="majorBidi" w:hAnsiTheme="majorBidi" w:hint="cs"/>
                <w:b/>
                <w:sz w:val="24"/>
                <w:rtl/>
              </w:rPr>
              <w:t>ا</w:t>
            </w:r>
            <w:r w:rsidRPr="003908D2">
              <w:rPr>
                <w:rFonts w:asciiTheme="majorBidi" w:hAnsiTheme="majorBidi"/>
                <w:b/>
                <w:sz w:val="24"/>
                <w:rtl/>
              </w:rPr>
              <w:t>رك بالكامل مجموعة واسعة من الأطراف المعنية بالتراث الثقافي غير المادي في جهود الصون المشتركة.</w:t>
            </w:r>
          </w:p>
        </w:tc>
      </w:tr>
      <w:tr w:rsidR="0054175C" w:rsidRPr="003908D2" w14:paraId="5646D0EB" w14:textId="77777777" w:rsidTr="00EF70E2">
        <w:tc>
          <w:tcPr>
            <w:tcW w:w="730" w:type="pct"/>
            <w:shd w:val="clear" w:color="auto" w:fill="auto"/>
          </w:tcPr>
          <w:p w14:paraId="2252C6C4" w14:textId="1DD8DB6E" w:rsidR="0054175C" w:rsidRPr="003908D2" w:rsidRDefault="00146058" w:rsidP="002A5E32">
            <w:pPr>
              <w:bidi/>
              <w:spacing w:before="120"/>
              <w:rPr>
                <w:rFonts w:asciiTheme="majorBidi" w:hAnsiTheme="majorBidi" w:cstheme="majorBidi"/>
                <w:b/>
                <w:sz w:val="24"/>
              </w:rPr>
            </w:pPr>
            <w:r w:rsidRPr="003908D2">
              <w:rPr>
                <w:rFonts w:asciiTheme="majorBidi" w:hAnsiTheme="majorBidi"/>
                <w:b/>
                <w:bCs/>
                <w:sz w:val="24"/>
                <w:rtl/>
              </w:rPr>
              <w:t>مصادر البيانات وجمعها</w:t>
            </w:r>
          </w:p>
        </w:tc>
        <w:tc>
          <w:tcPr>
            <w:tcW w:w="4270" w:type="pct"/>
            <w:shd w:val="clear" w:color="auto" w:fill="auto"/>
          </w:tcPr>
          <w:p w14:paraId="292F78EE" w14:textId="56390454" w:rsidR="009356D0" w:rsidRPr="003908D2" w:rsidRDefault="009356D0" w:rsidP="002A5E32">
            <w:pPr>
              <w:keepNext/>
              <w:keepLines/>
              <w:bidi/>
              <w:spacing w:before="120" w:after="60"/>
              <w:jc w:val="both"/>
              <w:rPr>
                <w:rFonts w:asciiTheme="majorBidi" w:hAnsiTheme="majorBidi"/>
                <w:sz w:val="24"/>
                <w:rtl/>
              </w:rPr>
            </w:pPr>
            <w:r w:rsidRPr="003908D2">
              <w:rPr>
                <w:rFonts w:asciiTheme="majorBidi" w:hAnsiTheme="majorBidi"/>
                <w:sz w:val="24"/>
                <w:rtl/>
              </w:rPr>
              <w:t xml:space="preserve">قد تكون وزارة الثقافة أو الوكالات المماثلة المسؤولة عن أنشطة الصون على الصعيديين الوطني والمحلي مصدرًا مهمًا للمعلومات، فيما يتعلق بالمشاركة الواسعة لمختلف الأطراف المعنية. إذا كان لدى الدولة هيئة استشارية شاملة أو آلية تنسيق، فقد تضم ممثلين </w:t>
            </w:r>
            <w:r w:rsidR="00161E50">
              <w:rPr>
                <w:rFonts w:asciiTheme="majorBidi" w:hAnsiTheme="majorBidi" w:hint="cs"/>
                <w:sz w:val="24"/>
                <w:rtl/>
              </w:rPr>
              <w:t>م</w:t>
            </w:r>
            <w:r w:rsidRPr="003908D2">
              <w:rPr>
                <w:rFonts w:asciiTheme="majorBidi" w:hAnsiTheme="majorBidi"/>
                <w:sz w:val="24"/>
                <w:rtl/>
              </w:rPr>
              <w:t>ن مختلف القطاعات التي تدخل مشاركتها في الصون في هذا المؤشر. ويمكن لمثل هذه الوزارات والهيئات أو الآليات الاستشارية أن تقدم معلومات مستمرة حول جهود الصون، سواء بالنسبة للتراث الثقافي غير المادي عامة أو لعناصر محددة، كما يمكن أن تكون بمثابة منتدى لمختلف الجهات الفاعلة بهدف تبادل الخبرات وإقامة شراكات فعالة. إذا كانت الدولة تدير خطة تمويل واحدة أو أكثر لدعم أنشطة الصون، ستسلط هذه الآليات الضوء على أمثلة انخراط ومشاركة مجموعة واسعة من الأطراف المعنية.</w:t>
            </w:r>
          </w:p>
          <w:p w14:paraId="063A8BDB" w14:textId="2EB6783D" w:rsidR="0054175C" w:rsidRPr="003908D2" w:rsidRDefault="00146058" w:rsidP="002A5E32">
            <w:pPr>
              <w:keepNext/>
              <w:keepLines/>
              <w:bidi/>
              <w:spacing w:before="120" w:after="60"/>
              <w:jc w:val="both"/>
              <w:rPr>
                <w:rFonts w:asciiTheme="majorBidi" w:hAnsiTheme="majorBidi" w:cstheme="majorBidi"/>
                <w:b/>
                <w:sz w:val="24"/>
              </w:rPr>
            </w:pPr>
            <w:r w:rsidRPr="003908D2">
              <w:rPr>
                <w:rFonts w:asciiTheme="majorBidi" w:hAnsiTheme="majorBidi" w:cstheme="majorBidi" w:hint="cs"/>
                <w:b/>
                <w:bCs/>
                <w:sz w:val="24"/>
                <w:rtl/>
              </w:rPr>
              <w:t>مصادر البيانات المحتملة</w:t>
            </w:r>
          </w:p>
          <w:p w14:paraId="10D66BEC" w14:textId="2A47D895" w:rsidR="00805826" w:rsidRPr="003908D2" w:rsidRDefault="002F3E19" w:rsidP="002A5E32">
            <w:pPr>
              <w:pStyle w:val="ListParagraph"/>
              <w:numPr>
                <w:ilvl w:val="0"/>
                <w:numId w:val="73"/>
              </w:numPr>
              <w:bidi/>
              <w:spacing w:before="120"/>
              <w:jc w:val="both"/>
              <w:rPr>
                <w:rFonts w:asciiTheme="majorBidi" w:hAnsiTheme="majorBidi" w:cstheme="majorBidi"/>
                <w:sz w:val="24"/>
                <w:szCs w:val="24"/>
                <w:lang w:val="en-GB"/>
              </w:rPr>
            </w:pPr>
            <w:r w:rsidRPr="003908D2">
              <w:rPr>
                <w:rFonts w:asciiTheme="majorBidi" w:hAnsiTheme="majorBidi"/>
                <w:sz w:val="24"/>
                <w:szCs w:val="24"/>
                <w:rtl/>
                <w:lang w:val="en-GB"/>
              </w:rPr>
              <w:t xml:space="preserve">ميزانيات، وخطط عمل، وتقارير أنشطة </w:t>
            </w:r>
            <w:r w:rsidR="00805826" w:rsidRPr="003908D2">
              <w:rPr>
                <w:rFonts w:asciiTheme="majorBidi" w:hAnsiTheme="majorBidi"/>
                <w:sz w:val="24"/>
                <w:szCs w:val="24"/>
                <w:rtl/>
                <w:lang w:val="en-GB"/>
              </w:rPr>
              <w:t>خا</w:t>
            </w:r>
            <w:r w:rsidRPr="003908D2">
              <w:rPr>
                <w:rFonts w:asciiTheme="majorBidi" w:hAnsiTheme="majorBidi"/>
                <w:sz w:val="24"/>
                <w:szCs w:val="24"/>
                <w:rtl/>
                <w:lang w:val="en-GB"/>
              </w:rPr>
              <w:t xml:space="preserve">صة بوزارة الثقافة و/أو وكالات تمويل أخرى </w:t>
            </w:r>
            <w:r w:rsidR="00805826" w:rsidRPr="003908D2">
              <w:rPr>
                <w:rFonts w:asciiTheme="majorBidi" w:hAnsiTheme="majorBidi"/>
                <w:sz w:val="24"/>
                <w:szCs w:val="24"/>
                <w:rtl/>
                <w:lang w:val="en-GB"/>
              </w:rPr>
              <w:t>داع</w:t>
            </w:r>
            <w:r w:rsidR="005D71FA" w:rsidRPr="003908D2">
              <w:rPr>
                <w:rFonts w:asciiTheme="majorBidi" w:hAnsiTheme="majorBidi" w:hint="cs"/>
                <w:sz w:val="24"/>
                <w:szCs w:val="24"/>
                <w:rtl/>
                <w:lang w:val="en-GB"/>
              </w:rPr>
              <w:t>م</w:t>
            </w:r>
            <w:r w:rsidR="00805826" w:rsidRPr="003908D2">
              <w:rPr>
                <w:rFonts w:asciiTheme="majorBidi" w:hAnsiTheme="majorBidi"/>
                <w:sz w:val="24"/>
                <w:szCs w:val="24"/>
                <w:rtl/>
                <w:lang w:val="en-GB"/>
              </w:rPr>
              <w:t>ة لصون التراث الثقافي غير المادي</w:t>
            </w:r>
          </w:p>
          <w:p w14:paraId="0CF702B9" w14:textId="132ACDF9" w:rsidR="00805826" w:rsidRPr="003908D2" w:rsidRDefault="002F3E19" w:rsidP="002A5E32">
            <w:pPr>
              <w:pStyle w:val="ListParagraph"/>
              <w:numPr>
                <w:ilvl w:val="0"/>
                <w:numId w:val="73"/>
              </w:numPr>
              <w:bidi/>
              <w:spacing w:before="120"/>
              <w:jc w:val="both"/>
              <w:rPr>
                <w:rFonts w:asciiTheme="majorBidi" w:hAnsiTheme="majorBidi" w:cstheme="majorBidi"/>
                <w:sz w:val="24"/>
                <w:szCs w:val="24"/>
                <w:lang w:val="en-GB"/>
              </w:rPr>
            </w:pPr>
            <w:r w:rsidRPr="003908D2">
              <w:rPr>
                <w:rFonts w:asciiTheme="majorBidi" w:hAnsiTheme="majorBidi"/>
                <w:sz w:val="24"/>
                <w:szCs w:val="24"/>
                <w:rtl/>
                <w:lang w:val="en-GB"/>
              </w:rPr>
              <w:t xml:space="preserve">مواقع إلكترونية ومصادر معلومات أخرى عن جمعيات </w:t>
            </w:r>
            <w:r w:rsidR="00A53DFB">
              <w:rPr>
                <w:rFonts w:asciiTheme="majorBidi" w:hAnsiTheme="majorBidi" w:hint="cs"/>
                <w:sz w:val="24"/>
                <w:szCs w:val="24"/>
                <w:rtl/>
                <w:lang w:val="en-GB"/>
              </w:rPr>
              <w:t xml:space="preserve">الجماعات </w:t>
            </w:r>
            <w:r w:rsidRPr="003908D2">
              <w:rPr>
                <w:rFonts w:asciiTheme="majorBidi" w:hAnsiTheme="majorBidi"/>
                <w:sz w:val="24"/>
                <w:szCs w:val="24"/>
                <w:rtl/>
                <w:lang w:val="en-GB"/>
              </w:rPr>
              <w:t xml:space="preserve">ومنظمات غير حكومية </w:t>
            </w:r>
            <w:r w:rsidR="00805826" w:rsidRPr="003908D2">
              <w:rPr>
                <w:rFonts w:asciiTheme="majorBidi" w:hAnsiTheme="majorBidi"/>
                <w:sz w:val="24"/>
                <w:szCs w:val="24"/>
                <w:rtl/>
                <w:lang w:val="en-GB"/>
              </w:rPr>
              <w:t>نشطة في صون التراث الثقافي غير المادي</w:t>
            </w:r>
          </w:p>
          <w:p w14:paraId="7B303058" w14:textId="77777777" w:rsidR="00805826" w:rsidRPr="003908D2" w:rsidRDefault="00805826" w:rsidP="002A5E32">
            <w:pPr>
              <w:pStyle w:val="ListParagraph"/>
              <w:numPr>
                <w:ilvl w:val="0"/>
                <w:numId w:val="73"/>
              </w:numPr>
              <w:bidi/>
              <w:spacing w:before="120"/>
              <w:jc w:val="both"/>
              <w:rPr>
                <w:rFonts w:asciiTheme="majorBidi" w:hAnsiTheme="majorBidi" w:cstheme="majorBidi"/>
                <w:sz w:val="24"/>
                <w:szCs w:val="24"/>
                <w:lang w:val="en-GB"/>
              </w:rPr>
            </w:pPr>
            <w:r w:rsidRPr="003908D2">
              <w:rPr>
                <w:rFonts w:asciiTheme="majorBidi" w:hAnsiTheme="majorBidi"/>
                <w:sz w:val="24"/>
                <w:szCs w:val="24"/>
                <w:rtl/>
                <w:lang w:val="en-GB"/>
              </w:rPr>
              <w:t>ملفات ترشيح عناصر مقترح إدراجها في قائمة أو سجل على الصعيد القطري، وذلك إذا كانت خطة الصون مطلوبة كجزء من هذه الملفات</w:t>
            </w:r>
          </w:p>
          <w:p w14:paraId="02BBA891" w14:textId="5A889AB7" w:rsidR="00805826" w:rsidRPr="003908D2" w:rsidRDefault="00805826" w:rsidP="002A5E32">
            <w:pPr>
              <w:pStyle w:val="ListParagraph"/>
              <w:numPr>
                <w:ilvl w:val="0"/>
                <w:numId w:val="73"/>
              </w:numPr>
              <w:bidi/>
              <w:spacing w:before="120"/>
              <w:jc w:val="both"/>
              <w:rPr>
                <w:rFonts w:asciiTheme="majorBidi" w:hAnsiTheme="majorBidi" w:cstheme="majorBidi"/>
                <w:sz w:val="24"/>
                <w:szCs w:val="24"/>
                <w:lang w:val="en-GB"/>
              </w:rPr>
            </w:pPr>
            <w:r w:rsidRPr="003908D2">
              <w:rPr>
                <w:rFonts w:asciiTheme="majorBidi" w:hAnsiTheme="majorBidi"/>
                <w:sz w:val="24"/>
                <w:szCs w:val="24"/>
                <w:rtl/>
                <w:lang w:val="en-GB"/>
              </w:rPr>
              <w:t>ملفات ترشيح عناصر</w:t>
            </w:r>
            <w:r w:rsidR="00B57568" w:rsidRPr="003908D2">
              <w:rPr>
                <w:rFonts w:asciiTheme="majorBidi" w:hAnsiTheme="majorBidi" w:hint="cs"/>
                <w:sz w:val="24"/>
                <w:szCs w:val="24"/>
                <w:rtl/>
                <w:lang w:val="en-GB"/>
              </w:rPr>
              <w:t xml:space="preserve"> </w:t>
            </w:r>
            <w:r w:rsidRPr="003908D2">
              <w:rPr>
                <w:rFonts w:asciiTheme="majorBidi" w:hAnsiTheme="majorBidi"/>
                <w:sz w:val="24"/>
                <w:szCs w:val="24"/>
                <w:rtl/>
                <w:lang w:val="en-GB"/>
              </w:rPr>
              <w:t>مقترح إدراجها في قائمة الصون العاجل أو القائمة التمثيلية</w:t>
            </w:r>
          </w:p>
          <w:p w14:paraId="41257D5B" w14:textId="51F2BC98" w:rsidR="0054175C" w:rsidRPr="003908D2" w:rsidRDefault="00772AD8" w:rsidP="002A5E32">
            <w:pPr>
              <w:pStyle w:val="ListParagraph"/>
              <w:numPr>
                <w:ilvl w:val="0"/>
                <w:numId w:val="73"/>
              </w:numPr>
              <w:bidi/>
              <w:rPr>
                <w:rFonts w:asciiTheme="majorBidi" w:hAnsiTheme="majorBidi" w:cstheme="majorBidi"/>
                <w:sz w:val="24"/>
                <w:szCs w:val="24"/>
                <w:lang w:val="en-GB"/>
              </w:rPr>
            </w:pPr>
            <w:r>
              <w:rPr>
                <w:rFonts w:asciiTheme="majorBidi" w:hAnsiTheme="majorBidi" w:hint="cs"/>
                <w:sz w:val="24"/>
                <w:szCs w:val="24"/>
                <w:rtl/>
                <w:lang w:val="en-GB"/>
              </w:rPr>
              <w:t xml:space="preserve">التقارير </w:t>
            </w:r>
            <w:proofErr w:type="gramStart"/>
            <w:r>
              <w:rPr>
                <w:rFonts w:asciiTheme="majorBidi" w:hAnsiTheme="majorBidi" w:hint="cs"/>
                <w:sz w:val="24"/>
                <w:szCs w:val="24"/>
                <w:rtl/>
                <w:lang w:val="en-GB"/>
              </w:rPr>
              <w:t xml:space="preserve">الدورية </w:t>
            </w:r>
            <w:r w:rsidR="002F3E19" w:rsidRPr="003908D2">
              <w:rPr>
                <w:rFonts w:asciiTheme="majorBidi" w:hAnsiTheme="majorBidi"/>
                <w:sz w:val="24"/>
                <w:szCs w:val="24"/>
                <w:rtl/>
                <w:lang w:val="en-GB"/>
              </w:rPr>
              <w:t xml:space="preserve"> </w:t>
            </w:r>
            <w:r w:rsidR="00A53DFB">
              <w:rPr>
                <w:rFonts w:asciiTheme="majorBidi" w:hAnsiTheme="majorBidi" w:hint="cs"/>
                <w:sz w:val="24"/>
                <w:szCs w:val="24"/>
                <w:rtl/>
                <w:lang w:val="en-GB"/>
              </w:rPr>
              <w:t>ل</w:t>
            </w:r>
            <w:r w:rsidR="002F3E19" w:rsidRPr="003908D2">
              <w:rPr>
                <w:rFonts w:asciiTheme="majorBidi" w:hAnsiTheme="majorBidi"/>
                <w:sz w:val="24"/>
                <w:szCs w:val="24"/>
                <w:rtl/>
                <w:lang w:val="en-GB"/>
              </w:rPr>
              <w:t>لدولة</w:t>
            </w:r>
            <w:proofErr w:type="gramEnd"/>
            <w:r w:rsidR="002F3E19" w:rsidRPr="003908D2">
              <w:rPr>
                <w:rFonts w:asciiTheme="majorBidi" w:hAnsiTheme="majorBidi"/>
                <w:sz w:val="24"/>
                <w:szCs w:val="24"/>
                <w:rtl/>
                <w:lang w:val="en-GB"/>
              </w:rPr>
              <w:t xml:space="preserve"> بشأن عناصر </w:t>
            </w:r>
            <w:r w:rsidR="00805826" w:rsidRPr="003908D2">
              <w:rPr>
                <w:rFonts w:asciiTheme="majorBidi" w:hAnsiTheme="majorBidi"/>
                <w:sz w:val="24"/>
                <w:szCs w:val="24"/>
                <w:rtl/>
                <w:lang w:val="en-GB"/>
              </w:rPr>
              <w:t xml:space="preserve">مدرجة في </w:t>
            </w:r>
            <w:r w:rsidR="00673E72" w:rsidRPr="003908D2">
              <w:rPr>
                <w:rFonts w:asciiTheme="majorBidi" w:hAnsiTheme="majorBidi"/>
                <w:sz w:val="24"/>
                <w:szCs w:val="24"/>
                <w:rtl/>
                <w:lang w:val="en-GB"/>
              </w:rPr>
              <w:t>قائمة وطنية أو في أي من ق</w:t>
            </w:r>
            <w:r w:rsidR="00805826" w:rsidRPr="003908D2">
              <w:rPr>
                <w:rFonts w:asciiTheme="majorBidi" w:hAnsiTheme="majorBidi"/>
                <w:sz w:val="24"/>
                <w:szCs w:val="24"/>
                <w:rtl/>
                <w:lang w:val="en-GB"/>
              </w:rPr>
              <w:t>ائم</w:t>
            </w:r>
            <w:r w:rsidR="00673E72" w:rsidRPr="003908D2">
              <w:rPr>
                <w:rFonts w:asciiTheme="majorBidi" w:hAnsiTheme="majorBidi" w:hint="cs"/>
                <w:sz w:val="24"/>
                <w:szCs w:val="24"/>
                <w:rtl/>
                <w:lang w:val="en-GB"/>
              </w:rPr>
              <w:t>تي</w:t>
            </w:r>
            <w:r w:rsidR="00805826" w:rsidRPr="003908D2">
              <w:rPr>
                <w:rFonts w:asciiTheme="majorBidi" w:hAnsiTheme="majorBidi"/>
                <w:sz w:val="24"/>
                <w:szCs w:val="24"/>
                <w:rtl/>
                <w:lang w:val="en-GB"/>
              </w:rPr>
              <w:t xml:space="preserve"> اليونسكو</w:t>
            </w:r>
          </w:p>
        </w:tc>
      </w:tr>
    </w:tbl>
    <w:p w14:paraId="168CDA07" w14:textId="77777777" w:rsidR="00320242" w:rsidRPr="003908D2" w:rsidRDefault="00320242" w:rsidP="002A5E32">
      <w:pPr>
        <w:bidi/>
        <w:jc w:val="both"/>
        <w:rPr>
          <w:rFonts w:asciiTheme="majorBidi" w:hAnsiTheme="majorBidi" w:cstheme="majorBidi"/>
          <w:sz w:val="24"/>
        </w:rPr>
      </w:pPr>
    </w:p>
    <w:sectPr w:rsidR="00320242" w:rsidRPr="003908D2"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D2CF" w14:textId="77777777" w:rsidR="008F5AB0" w:rsidRDefault="008F5AB0" w:rsidP="002938F2">
      <w:r>
        <w:separator/>
      </w:r>
    </w:p>
    <w:p w14:paraId="045D16AF" w14:textId="77777777" w:rsidR="008F5AB0" w:rsidRDefault="008F5AB0"/>
  </w:endnote>
  <w:endnote w:type="continuationSeparator" w:id="0">
    <w:p w14:paraId="5158D083" w14:textId="77777777" w:rsidR="008F5AB0" w:rsidRDefault="008F5AB0" w:rsidP="002938F2">
      <w:r>
        <w:continuationSeparator/>
      </w:r>
    </w:p>
    <w:p w14:paraId="5744171E" w14:textId="77777777" w:rsidR="008F5AB0" w:rsidRDefault="008F5AB0"/>
  </w:endnote>
  <w:endnote w:type="continuationNotice" w:id="1">
    <w:p w14:paraId="7A1EBB7A" w14:textId="77777777" w:rsidR="008F5AB0" w:rsidRDefault="008F5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9E21" w14:textId="6C3206CA" w:rsidR="00C04344" w:rsidRPr="000A0709" w:rsidRDefault="00F60D2F" w:rsidP="00962C25">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F96F5B">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F754" w14:textId="77777777" w:rsidR="008F5AB0" w:rsidRDefault="008F5AB0" w:rsidP="002938F2">
      <w:r>
        <w:separator/>
      </w:r>
    </w:p>
  </w:footnote>
  <w:footnote w:type="continuationSeparator" w:id="0">
    <w:p w14:paraId="368B212E" w14:textId="77777777" w:rsidR="008F5AB0" w:rsidRDefault="008F5AB0" w:rsidP="002938F2">
      <w:r>
        <w:continuationSeparator/>
      </w:r>
    </w:p>
    <w:p w14:paraId="1284C1D9" w14:textId="77777777" w:rsidR="008F5AB0" w:rsidRDefault="008F5AB0"/>
  </w:footnote>
  <w:footnote w:type="continuationNotice" w:id="1">
    <w:p w14:paraId="3CD0A666" w14:textId="77777777" w:rsidR="008F5AB0" w:rsidRDefault="008F5A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B179EF"/>
    <w:multiLevelType w:val="hybridMultilevel"/>
    <w:tmpl w:val="108AF45E"/>
    <w:lvl w:ilvl="0" w:tplc="8A5EDA8E">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50032F5"/>
    <w:multiLevelType w:val="multilevel"/>
    <w:tmpl w:val="1BCCAE14"/>
    <w:lvl w:ilvl="0">
      <w:start w:val="2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05831AD"/>
    <w:multiLevelType w:val="hybridMultilevel"/>
    <w:tmpl w:val="C5F61E96"/>
    <w:lvl w:ilvl="0" w:tplc="A05E9D1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6"/>
  </w:num>
  <w:num w:numId="3">
    <w:abstractNumId w:val="11"/>
  </w:num>
  <w:num w:numId="4">
    <w:abstractNumId w:val="57"/>
  </w:num>
  <w:num w:numId="5">
    <w:abstractNumId w:val="47"/>
  </w:num>
  <w:num w:numId="6">
    <w:abstractNumId w:val="4"/>
  </w:num>
  <w:num w:numId="7">
    <w:abstractNumId w:val="15"/>
  </w:num>
  <w:num w:numId="8">
    <w:abstractNumId w:val="25"/>
  </w:num>
  <w:num w:numId="9">
    <w:abstractNumId w:val="50"/>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40"/>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5"/>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8"/>
  </w:num>
  <w:num w:numId="35">
    <w:abstractNumId w:val="21"/>
  </w:num>
  <w:num w:numId="36">
    <w:abstractNumId w:val="42"/>
  </w:num>
  <w:num w:numId="37">
    <w:abstractNumId w:val="17"/>
  </w:num>
  <w:num w:numId="38">
    <w:abstractNumId w:val="9"/>
  </w:num>
  <w:num w:numId="39">
    <w:abstractNumId w:val="6"/>
  </w:num>
  <w:num w:numId="40">
    <w:abstractNumId w:val="20"/>
  </w:num>
  <w:num w:numId="41">
    <w:abstractNumId w:val="56"/>
  </w:num>
  <w:num w:numId="42">
    <w:abstractNumId w:val="52"/>
  </w:num>
  <w:num w:numId="43">
    <w:abstractNumId w:val="29"/>
  </w:num>
  <w:num w:numId="44">
    <w:abstractNumId w:val="12"/>
  </w:num>
  <w:num w:numId="45">
    <w:abstractNumId w:val="53"/>
  </w:num>
  <w:num w:numId="46">
    <w:abstractNumId w:val="5"/>
  </w:num>
  <w:num w:numId="47">
    <w:abstractNumId w:val="36"/>
  </w:num>
  <w:num w:numId="48">
    <w:abstractNumId w:val="58"/>
  </w:num>
  <w:num w:numId="49">
    <w:abstractNumId w:val="32"/>
  </w:num>
  <w:num w:numId="50">
    <w:abstractNumId w:val="30"/>
  </w:num>
  <w:num w:numId="51">
    <w:abstractNumId w:val="27"/>
  </w:num>
  <w:num w:numId="52">
    <w:abstractNumId w:val="39"/>
  </w:num>
  <w:num w:numId="53">
    <w:abstractNumId w:val="14"/>
  </w:num>
  <w:num w:numId="54">
    <w:abstractNumId w:val="1"/>
  </w:num>
  <w:num w:numId="55">
    <w:abstractNumId w:val="34"/>
  </w:num>
  <w:num w:numId="56">
    <w:abstractNumId w:val="41"/>
  </w:num>
  <w:num w:numId="57">
    <w:abstractNumId w:val="0"/>
  </w:num>
  <w:num w:numId="58">
    <w:abstractNumId w:val="3"/>
  </w:num>
  <w:num w:numId="59">
    <w:abstractNumId w:val="45"/>
  </w:num>
  <w:num w:numId="60">
    <w:abstractNumId w:val="2"/>
  </w:num>
  <w:num w:numId="61">
    <w:abstractNumId w:val="31"/>
  </w:num>
  <w:num w:numId="62">
    <w:abstractNumId w:val="22"/>
  </w:num>
  <w:num w:numId="63">
    <w:abstractNumId w:val="49"/>
  </w:num>
  <w:num w:numId="64">
    <w:abstractNumId w:val="19"/>
  </w:num>
  <w:num w:numId="65">
    <w:abstractNumId w:val="24"/>
  </w:num>
  <w:num w:numId="66">
    <w:abstractNumId w:val="46"/>
  </w:num>
  <w:num w:numId="67">
    <w:abstractNumId w:val="37"/>
  </w:num>
  <w:num w:numId="68">
    <w:abstractNumId w:val="13"/>
  </w:num>
  <w:num w:numId="69">
    <w:abstractNumId w:val="43"/>
  </w:num>
  <w:num w:numId="70">
    <w:abstractNumId w:val="33"/>
  </w:num>
  <w:num w:numId="71">
    <w:abstractNumId w:val="28"/>
  </w:num>
  <w:num w:numId="72">
    <w:abstractNumId w:val="51"/>
  </w:num>
  <w:num w:numId="73">
    <w:abstractNumId w:val="7"/>
  </w:num>
  <w:num w:numId="74">
    <w:abstractNumId w:val="35"/>
  </w:num>
  <w:num w:numId="75">
    <w:abstractNumId w:val="38"/>
  </w:num>
  <w:num w:numId="76">
    <w:abstractNumId w:val="54"/>
  </w:num>
  <w:num w:numId="77">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2C"/>
    <w:rsid w:val="00000617"/>
    <w:rsid w:val="000016A4"/>
    <w:rsid w:val="000019DB"/>
    <w:rsid w:val="00002D84"/>
    <w:rsid w:val="000047CC"/>
    <w:rsid w:val="00005BA5"/>
    <w:rsid w:val="00005BFA"/>
    <w:rsid w:val="00006F66"/>
    <w:rsid w:val="00010E2D"/>
    <w:rsid w:val="000120FD"/>
    <w:rsid w:val="00013A65"/>
    <w:rsid w:val="0001506E"/>
    <w:rsid w:val="00015B9D"/>
    <w:rsid w:val="0001601A"/>
    <w:rsid w:val="00021831"/>
    <w:rsid w:val="00022C19"/>
    <w:rsid w:val="0002580B"/>
    <w:rsid w:val="00031A37"/>
    <w:rsid w:val="00036843"/>
    <w:rsid w:val="000460BD"/>
    <w:rsid w:val="00047E58"/>
    <w:rsid w:val="000528FD"/>
    <w:rsid w:val="00054FDC"/>
    <w:rsid w:val="000632E2"/>
    <w:rsid w:val="00063D25"/>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16F3"/>
    <w:rsid w:val="000A21DA"/>
    <w:rsid w:val="000A34CE"/>
    <w:rsid w:val="000C03BF"/>
    <w:rsid w:val="000C15BD"/>
    <w:rsid w:val="000C65E4"/>
    <w:rsid w:val="000C7EE0"/>
    <w:rsid w:val="000D1BB2"/>
    <w:rsid w:val="000D1EBC"/>
    <w:rsid w:val="000D260B"/>
    <w:rsid w:val="000D345F"/>
    <w:rsid w:val="000D7375"/>
    <w:rsid w:val="000E2EE7"/>
    <w:rsid w:val="000F0B85"/>
    <w:rsid w:val="000F25BA"/>
    <w:rsid w:val="000F2B3F"/>
    <w:rsid w:val="000F6885"/>
    <w:rsid w:val="000F7E6F"/>
    <w:rsid w:val="00100904"/>
    <w:rsid w:val="00106B72"/>
    <w:rsid w:val="00106D19"/>
    <w:rsid w:val="0011334A"/>
    <w:rsid w:val="00115672"/>
    <w:rsid w:val="00115830"/>
    <w:rsid w:val="00116489"/>
    <w:rsid w:val="0011750D"/>
    <w:rsid w:val="00121B41"/>
    <w:rsid w:val="001301DF"/>
    <w:rsid w:val="001412DE"/>
    <w:rsid w:val="00142D78"/>
    <w:rsid w:val="0014326E"/>
    <w:rsid w:val="00144A4D"/>
    <w:rsid w:val="00146058"/>
    <w:rsid w:val="00151351"/>
    <w:rsid w:val="00152F27"/>
    <w:rsid w:val="00156788"/>
    <w:rsid w:val="001609A1"/>
    <w:rsid w:val="00161E50"/>
    <w:rsid w:val="00162554"/>
    <w:rsid w:val="00163F68"/>
    <w:rsid w:val="00173B50"/>
    <w:rsid w:val="00173E0E"/>
    <w:rsid w:val="00174B39"/>
    <w:rsid w:val="00183F6C"/>
    <w:rsid w:val="00187949"/>
    <w:rsid w:val="00194802"/>
    <w:rsid w:val="00194AEB"/>
    <w:rsid w:val="001A431C"/>
    <w:rsid w:val="001A5519"/>
    <w:rsid w:val="001A7C3A"/>
    <w:rsid w:val="001B5C26"/>
    <w:rsid w:val="001C08BC"/>
    <w:rsid w:val="001C56BA"/>
    <w:rsid w:val="001C6D7D"/>
    <w:rsid w:val="001C741B"/>
    <w:rsid w:val="001D00B5"/>
    <w:rsid w:val="001D18C4"/>
    <w:rsid w:val="001D3B29"/>
    <w:rsid w:val="001D59C8"/>
    <w:rsid w:val="001E4EEB"/>
    <w:rsid w:val="001E6026"/>
    <w:rsid w:val="001F3696"/>
    <w:rsid w:val="001F37CA"/>
    <w:rsid w:val="0020163D"/>
    <w:rsid w:val="00203AD7"/>
    <w:rsid w:val="002042CC"/>
    <w:rsid w:val="00204B37"/>
    <w:rsid w:val="002064A7"/>
    <w:rsid w:val="002074D6"/>
    <w:rsid w:val="00210CBC"/>
    <w:rsid w:val="002119C5"/>
    <w:rsid w:val="00222AF2"/>
    <w:rsid w:val="00223C3B"/>
    <w:rsid w:val="00224346"/>
    <w:rsid w:val="0022597C"/>
    <w:rsid w:val="00226582"/>
    <w:rsid w:val="00230F77"/>
    <w:rsid w:val="00232E4E"/>
    <w:rsid w:val="00234AE4"/>
    <w:rsid w:val="00237935"/>
    <w:rsid w:val="00237E43"/>
    <w:rsid w:val="0024409B"/>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87D"/>
    <w:rsid w:val="002A195D"/>
    <w:rsid w:val="002A5E32"/>
    <w:rsid w:val="002A7B13"/>
    <w:rsid w:val="002B43D6"/>
    <w:rsid w:val="002B6B98"/>
    <w:rsid w:val="002C28BA"/>
    <w:rsid w:val="002C3B8F"/>
    <w:rsid w:val="002C444C"/>
    <w:rsid w:val="002C5021"/>
    <w:rsid w:val="002C5280"/>
    <w:rsid w:val="002C5C29"/>
    <w:rsid w:val="002C7C2C"/>
    <w:rsid w:val="002D3649"/>
    <w:rsid w:val="002D396D"/>
    <w:rsid w:val="002D71D4"/>
    <w:rsid w:val="002E113D"/>
    <w:rsid w:val="002E6BAA"/>
    <w:rsid w:val="002F17E1"/>
    <w:rsid w:val="002F3E19"/>
    <w:rsid w:val="003043A9"/>
    <w:rsid w:val="0030454E"/>
    <w:rsid w:val="003134B7"/>
    <w:rsid w:val="00320242"/>
    <w:rsid w:val="00322A3A"/>
    <w:rsid w:val="00324A32"/>
    <w:rsid w:val="00325D6E"/>
    <w:rsid w:val="00334977"/>
    <w:rsid w:val="00337194"/>
    <w:rsid w:val="00342EE8"/>
    <w:rsid w:val="003447DF"/>
    <w:rsid w:val="00344D78"/>
    <w:rsid w:val="00346517"/>
    <w:rsid w:val="00351CCB"/>
    <w:rsid w:val="0035648A"/>
    <w:rsid w:val="00362B41"/>
    <w:rsid w:val="00363995"/>
    <w:rsid w:val="00364E5E"/>
    <w:rsid w:val="00370E9B"/>
    <w:rsid w:val="00377E4B"/>
    <w:rsid w:val="00383BA9"/>
    <w:rsid w:val="003845B0"/>
    <w:rsid w:val="00385B34"/>
    <w:rsid w:val="00386C08"/>
    <w:rsid w:val="0038793F"/>
    <w:rsid w:val="00387D88"/>
    <w:rsid w:val="003908D2"/>
    <w:rsid w:val="0039446E"/>
    <w:rsid w:val="003A260A"/>
    <w:rsid w:val="003A2BC4"/>
    <w:rsid w:val="003B31BE"/>
    <w:rsid w:val="003B504D"/>
    <w:rsid w:val="003C7065"/>
    <w:rsid w:val="003D12FB"/>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26246"/>
    <w:rsid w:val="00430ED2"/>
    <w:rsid w:val="00434773"/>
    <w:rsid w:val="004367F5"/>
    <w:rsid w:val="004458C9"/>
    <w:rsid w:val="00447C66"/>
    <w:rsid w:val="004612E9"/>
    <w:rsid w:val="00462F38"/>
    <w:rsid w:val="00471B34"/>
    <w:rsid w:val="00474AFE"/>
    <w:rsid w:val="00475070"/>
    <w:rsid w:val="00477E66"/>
    <w:rsid w:val="00480809"/>
    <w:rsid w:val="00481D13"/>
    <w:rsid w:val="004825AD"/>
    <w:rsid w:val="004831C7"/>
    <w:rsid w:val="00486A5E"/>
    <w:rsid w:val="00493F92"/>
    <w:rsid w:val="004A0C2B"/>
    <w:rsid w:val="004A5E66"/>
    <w:rsid w:val="004A610E"/>
    <w:rsid w:val="004C20E2"/>
    <w:rsid w:val="004E056C"/>
    <w:rsid w:val="004E2817"/>
    <w:rsid w:val="004E2AE8"/>
    <w:rsid w:val="004E3824"/>
    <w:rsid w:val="004E418A"/>
    <w:rsid w:val="005016FB"/>
    <w:rsid w:val="00504256"/>
    <w:rsid w:val="00511D17"/>
    <w:rsid w:val="005157E2"/>
    <w:rsid w:val="0051699F"/>
    <w:rsid w:val="00516DE3"/>
    <w:rsid w:val="0052528B"/>
    <w:rsid w:val="005300BF"/>
    <w:rsid w:val="00532631"/>
    <w:rsid w:val="005414A1"/>
    <w:rsid w:val="0054175C"/>
    <w:rsid w:val="005473CF"/>
    <w:rsid w:val="00562E51"/>
    <w:rsid w:val="00570355"/>
    <w:rsid w:val="00574530"/>
    <w:rsid w:val="00581423"/>
    <w:rsid w:val="005819A9"/>
    <w:rsid w:val="00582F4C"/>
    <w:rsid w:val="00583F76"/>
    <w:rsid w:val="0058407A"/>
    <w:rsid w:val="00594539"/>
    <w:rsid w:val="00595B16"/>
    <w:rsid w:val="005A1BCE"/>
    <w:rsid w:val="005A3C71"/>
    <w:rsid w:val="005A65BD"/>
    <w:rsid w:val="005A7D00"/>
    <w:rsid w:val="005B0FE5"/>
    <w:rsid w:val="005B357C"/>
    <w:rsid w:val="005B4A0B"/>
    <w:rsid w:val="005B53C6"/>
    <w:rsid w:val="005C0015"/>
    <w:rsid w:val="005C0052"/>
    <w:rsid w:val="005C05F4"/>
    <w:rsid w:val="005C0660"/>
    <w:rsid w:val="005C386B"/>
    <w:rsid w:val="005C44A6"/>
    <w:rsid w:val="005C7D6A"/>
    <w:rsid w:val="005D2DDA"/>
    <w:rsid w:val="005D71FA"/>
    <w:rsid w:val="005E3A3E"/>
    <w:rsid w:val="005E6A2B"/>
    <w:rsid w:val="005E7C7C"/>
    <w:rsid w:val="005F7186"/>
    <w:rsid w:val="00601DD6"/>
    <w:rsid w:val="006032AE"/>
    <w:rsid w:val="00603F71"/>
    <w:rsid w:val="00605202"/>
    <w:rsid w:val="00614645"/>
    <w:rsid w:val="00620BE9"/>
    <w:rsid w:val="00621092"/>
    <w:rsid w:val="00621208"/>
    <w:rsid w:val="00624C51"/>
    <w:rsid w:val="00632B30"/>
    <w:rsid w:val="006340A1"/>
    <w:rsid w:val="00634B21"/>
    <w:rsid w:val="00636760"/>
    <w:rsid w:val="00644B92"/>
    <w:rsid w:val="00645B77"/>
    <w:rsid w:val="0065099D"/>
    <w:rsid w:val="006515C9"/>
    <w:rsid w:val="00651944"/>
    <w:rsid w:val="00652318"/>
    <w:rsid w:val="00652484"/>
    <w:rsid w:val="00653314"/>
    <w:rsid w:val="0067005F"/>
    <w:rsid w:val="0067015A"/>
    <w:rsid w:val="006718E1"/>
    <w:rsid w:val="006736EC"/>
    <w:rsid w:val="00673D90"/>
    <w:rsid w:val="00673E72"/>
    <w:rsid w:val="00676C1E"/>
    <w:rsid w:val="00686D60"/>
    <w:rsid w:val="00691869"/>
    <w:rsid w:val="00694EE3"/>
    <w:rsid w:val="006A0D86"/>
    <w:rsid w:val="006A49AE"/>
    <w:rsid w:val="006A56C0"/>
    <w:rsid w:val="006B5A9D"/>
    <w:rsid w:val="006C0911"/>
    <w:rsid w:val="006C3049"/>
    <w:rsid w:val="006C737A"/>
    <w:rsid w:val="006D46FB"/>
    <w:rsid w:val="006E29C0"/>
    <w:rsid w:val="006E752A"/>
    <w:rsid w:val="006E7CF0"/>
    <w:rsid w:val="006F3290"/>
    <w:rsid w:val="006F3E83"/>
    <w:rsid w:val="006F4B83"/>
    <w:rsid w:val="006F7F47"/>
    <w:rsid w:val="00701458"/>
    <w:rsid w:val="00701D7E"/>
    <w:rsid w:val="00704766"/>
    <w:rsid w:val="007119B8"/>
    <w:rsid w:val="0071438D"/>
    <w:rsid w:val="007227CA"/>
    <w:rsid w:val="0072415E"/>
    <w:rsid w:val="007247D7"/>
    <w:rsid w:val="007250E3"/>
    <w:rsid w:val="007277C8"/>
    <w:rsid w:val="00732057"/>
    <w:rsid w:val="007368A2"/>
    <w:rsid w:val="00736B78"/>
    <w:rsid w:val="007418AE"/>
    <w:rsid w:val="00742DD1"/>
    <w:rsid w:val="0074360F"/>
    <w:rsid w:val="00746204"/>
    <w:rsid w:val="00747715"/>
    <w:rsid w:val="00747F86"/>
    <w:rsid w:val="00750138"/>
    <w:rsid w:val="00753DA3"/>
    <w:rsid w:val="00757AA3"/>
    <w:rsid w:val="007610D3"/>
    <w:rsid w:val="007629DB"/>
    <w:rsid w:val="00764F50"/>
    <w:rsid w:val="00765591"/>
    <w:rsid w:val="00767871"/>
    <w:rsid w:val="00770A92"/>
    <w:rsid w:val="00772AD8"/>
    <w:rsid w:val="00774D9C"/>
    <w:rsid w:val="00776A63"/>
    <w:rsid w:val="007877E8"/>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3088"/>
    <w:rsid w:val="007F4B07"/>
    <w:rsid w:val="00802709"/>
    <w:rsid w:val="008029A6"/>
    <w:rsid w:val="0080482E"/>
    <w:rsid w:val="00805826"/>
    <w:rsid w:val="0081185A"/>
    <w:rsid w:val="008147BA"/>
    <w:rsid w:val="008269B0"/>
    <w:rsid w:val="0083067E"/>
    <w:rsid w:val="00832357"/>
    <w:rsid w:val="0083488D"/>
    <w:rsid w:val="00844C26"/>
    <w:rsid w:val="008466C3"/>
    <w:rsid w:val="00846809"/>
    <w:rsid w:val="00851458"/>
    <w:rsid w:val="00861A47"/>
    <w:rsid w:val="00867C3A"/>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D4797"/>
    <w:rsid w:val="008E0DAA"/>
    <w:rsid w:val="008E194D"/>
    <w:rsid w:val="008F16C6"/>
    <w:rsid w:val="008F2A76"/>
    <w:rsid w:val="008F34A1"/>
    <w:rsid w:val="008F4F13"/>
    <w:rsid w:val="008F5052"/>
    <w:rsid w:val="008F5193"/>
    <w:rsid w:val="008F5AB0"/>
    <w:rsid w:val="0090187D"/>
    <w:rsid w:val="00903C3D"/>
    <w:rsid w:val="0090710F"/>
    <w:rsid w:val="00910B12"/>
    <w:rsid w:val="00911179"/>
    <w:rsid w:val="009121CE"/>
    <w:rsid w:val="009127D8"/>
    <w:rsid w:val="00916F7B"/>
    <w:rsid w:val="00917A4D"/>
    <w:rsid w:val="00921F65"/>
    <w:rsid w:val="0092574C"/>
    <w:rsid w:val="009342E8"/>
    <w:rsid w:val="009356D0"/>
    <w:rsid w:val="009357B4"/>
    <w:rsid w:val="00946D71"/>
    <w:rsid w:val="009577E1"/>
    <w:rsid w:val="00962C25"/>
    <w:rsid w:val="00964AE2"/>
    <w:rsid w:val="00971CA1"/>
    <w:rsid w:val="0097349C"/>
    <w:rsid w:val="009814C2"/>
    <w:rsid w:val="009820CB"/>
    <w:rsid w:val="00982FFD"/>
    <w:rsid w:val="00983F01"/>
    <w:rsid w:val="00985265"/>
    <w:rsid w:val="00985856"/>
    <w:rsid w:val="00986621"/>
    <w:rsid w:val="0099747F"/>
    <w:rsid w:val="009A4969"/>
    <w:rsid w:val="009B1466"/>
    <w:rsid w:val="009B6973"/>
    <w:rsid w:val="009C0510"/>
    <w:rsid w:val="009C3663"/>
    <w:rsid w:val="009D098F"/>
    <w:rsid w:val="009D4547"/>
    <w:rsid w:val="009D5A49"/>
    <w:rsid w:val="009D5E38"/>
    <w:rsid w:val="009D602F"/>
    <w:rsid w:val="009D68D0"/>
    <w:rsid w:val="009E05C0"/>
    <w:rsid w:val="009E17AF"/>
    <w:rsid w:val="009F0D42"/>
    <w:rsid w:val="009F1B82"/>
    <w:rsid w:val="009F34A4"/>
    <w:rsid w:val="009F3988"/>
    <w:rsid w:val="00A003D0"/>
    <w:rsid w:val="00A073FD"/>
    <w:rsid w:val="00A150C7"/>
    <w:rsid w:val="00A2307A"/>
    <w:rsid w:val="00A462C6"/>
    <w:rsid w:val="00A47B01"/>
    <w:rsid w:val="00A519A2"/>
    <w:rsid w:val="00A51BDC"/>
    <w:rsid w:val="00A535B7"/>
    <w:rsid w:val="00A53DFB"/>
    <w:rsid w:val="00A5709F"/>
    <w:rsid w:val="00A616C4"/>
    <w:rsid w:val="00A61F20"/>
    <w:rsid w:val="00A64796"/>
    <w:rsid w:val="00A66CD4"/>
    <w:rsid w:val="00A70883"/>
    <w:rsid w:val="00A77AEB"/>
    <w:rsid w:val="00A81F0A"/>
    <w:rsid w:val="00A85C7A"/>
    <w:rsid w:val="00A86042"/>
    <w:rsid w:val="00A90AAA"/>
    <w:rsid w:val="00A960E1"/>
    <w:rsid w:val="00A97258"/>
    <w:rsid w:val="00AA36F9"/>
    <w:rsid w:val="00AA3A5D"/>
    <w:rsid w:val="00AA444A"/>
    <w:rsid w:val="00AB1528"/>
    <w:rsid w:val="00AB6662"/>
    <w:rsid w:val="00AD2679"/>
    <w:rsid w:val="00AD6BD4"/>
    <w:rsid w:val="00AE1B18"/>
    <w:rsid w:val="00AE1D83"/>
    <w:rsid w:val="00AE2DFB"/>
    <w:rsid w:val="00AE3061"/>
    <w:rsid w:val="00AE4A5E"/>
    <w:rsid w:val="00AF15BA"/>
    <w:rsid w:val="00AF1C32"/>
    <w:rsid w:val="00AF65C6"/>
    <w:rsid w:val="00B04733"/>
    <w:rsid w:val="00B11AE3"/>
    <w:rsid w:val="00B121A6"/>
    <w:rsid w:val="00B300B8"/>
    <w:rsid w:val="00B32A28"/>
    <w:rsid w:val="00B33904"/>
    <w:rsid w:val="00B3751E"/>
    <w:rsid w:val="00B427FE"/>
    <w:rsid w:val="00B51737"/>
    <w:rsid w:val="00B57568"/>
    <w:rsid w:val="00B6102A"/>
    <w:rsid w:val="00B6167A"/>
    <w:rsid w:val="00B62ED0"/>
    <w:rsid w:val="00B64196"/>
    <w:rsid w:val="00B66A7A"/>
    <w:rsid w:val="00B70266"/>
    <w:rsid w:val="00B74304"/>
    <w:rsid w:val="00B743A3"/>
    <w:rsid w:val="00B82F05"/>
    <w:rsid w:val="00B87142"/>
    <w:rsid w:val="00B8750E"/>
    <w:rsid w:val="00B90F68"/>
    <w:rsid w:val="00B92374"/>
    <w:rsid w:val="00B924C8"/>
    <w:rsid w:val="00B95E33"/>
    <w:rsid w:val="00B973B5"/>
    <w:rsid w:val="00B97FD1"/>
    <w:rsid w:val="00BA6367"/>
    <w:rsid w:val="00BB1062"/>
    <w:rsid w:val="00BB28EF"/>
    <w:rsid w:val="00BB5DEE"/>
    <w:rsid w:val="00BC002E"/>
    <w:rsid w:val="00BC393F"/>
    <w:rsid w:val="00BC4668"/>
    <w:rsid w:val="00BC75FC"/>
    <w:rsid w:val="00BD59BD"/>
    <w:rsid w:val="00BE5B3F"/>
    <w:rsid w:val="00BF351F"/>
    <w:rsid w:val="00BF3F50"/>
    <w:rsid w:val="00BF6F37"/>
    <w:rsid w:val="00C02924"/>
    <w:rsid w:val="00C04344"/>
    <w:rsid w:val="00C17FE4"/>
    <w:rsid w:val="00C21897"/>
    <w:rsid w:val="00C276EE"/>
    <w:rsid w:val="00C34CB1"/>
    <w:rsid w:val="00C41446"/>
    <w:rsid w:val="00C43146"/>
    <w:rsid w:val="00C43757"/>
    <w:rsid w:val="00C43BCE"/>
    <w:rsid w:val="00C46FBA"/>
    <w:rsid w:val="00C47CF1"/>
    <w:rsid w:val="00C52006"/>
    <w:rsid w:val="00C53AB4"/>
    <w:rsid w:val="00C542F1"/>
    <w:rsid w:val="00C572B3"/>
    <w:rsid w:val="00C57CA1"/>
    <w:rsid w:val="00C6300B"/>
    <w:rsid w:val="00C6426B"/>
    <w:rsid w:val="00C6478B"/>
    <w:rsid w:val="00C65110"/>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8B3"/>
    <w:rsid w:val="00CD6C36"/>
    <w:rsid w:val="00CE1A39"/>
    <w:rsid w:val="00CE2586"/>
    <w:rsid w:val="00CE2810"/>
    <w:rsid w:val="00CE6DA6"/>
    <w:rsid w:val="00CF05D7"/>
    <w:rsid w:val="00CF34A6"/>
    <w:rsid w:val="00CF3F93"/>
    <w:rsid w:val="00D01E68"/>
    <w:rsid w:val="00D020F3"/>
    <w:rsid w:val="00D04515"/>
    <w:rsid w:val="00D065AD"/>
    <w:rsid w:val="00D22831"/>
    <w:rsid w:val="00D404B7"/>
    <w:rsid w:val="00D41854"/>
    <w:rsid w:val="00D44509"/>
    <w:rsid w:val="00D448CB"/>
    <w:rsid w:val="00D47226"/>
    <w:rsid w:val="00D474D7"/>
    <w:rsid w:val="00D47ED5"/>
    <w:rsid w:val="00D5123E"/>
    <w:rsid w:val="00D61779"/>
    <w:rsid w:val="00D73DB6"/>
    <w:rsid w:val="00D809E5"/>
    <w:rsid w:val="00D81948"/>
    <w:rsid w:val="00D83C22"/>
    <w:rsid w:val="00D90819"/>
    <w:rsid w:val="00D93291"/>
    <w:rsid w:val="00D9501F"/>
    <w:rsid w:val="00DA1CE7"/>
    <w:rsid w:val="00DA68D8"/>
    <w:rsid w:val="00DA6BCF"/>
    <w:rsid w:val="00DB50D5"/>
    <w:rsid w:val="00DC5537"/>
    <w:rsid w:val="00DD11EE"/>
    <w:rsid w:val="00DD52A0"/>
    <w:rsid w:val="00DE5590"/>
    <w:rsid w:val="00DE6364"/>
    <w:rsid w:val="00DF1D9E"/>
    <w:rsid w:val="00DF3DA3"/>
    <w:rsid w:val="00DF5881"/>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2868"/>
    <w:rsid w:val="00E64BE4"/>
    <w:rsid w:val="00E75328"/>
    <w:rsid w:val="00E75953"/>
    <w:rsid w:val="00E76283"/>
    <w:rsid w:val="00E77F9D"/>
    <w:rsid w:val="00E80C17"/>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E584C"/>
    <w:rsid w:val="00EF0BCB"/>
    <w:rsid w:val="00EF0E74"/>
    <w:rsid w:val="00EF2549"/>
    <w:rsid w:val="00EF70E2"/>
    <w:rsid w:val="00F00E8A"/>
    <w:rsid w:val="00F0709F"/>
    <w:rsid w:val="00F16242"/>
    <w:rsid w:val="00F166E8"/>
    <w:rsid w:val="00F17FCB"/>
    <w:rsid w:val="00F226CC"/>
    <w:rsid w:val="00F2691E"/>
    <w:rsid w:val="00F279DD"/>
    <w:rsid w:val="00F3242E"/>
    <w:rsid w:val="00F33650"/>
    <w:rsid w:val="00F348F9"/>
    <w:rsid w:val="00F36EDD"/>
    <w:rsid w:val="00F37E4B"/>
    <w:rsid w:val="00F4144E"/>
    <w:rsid w:val="00F41B00"/>
    <w:rsid w:val="00F473CB"/>
    <w:rsid w:val="00F50245"/>
    <w:rsid w:val="00F54898"/>
    <w:rsid w:val="00F60D2F"/>
    <w:rsid w:val="00F63DDA"/>
    <w:rsid w:val="00F67028"/>
    <w:rsid w:val="00F67029"/>
    <w:rsid w:val="00F70858"/>
    <w:rsid w:val="00F71299"/>
    <w:rsid w:val="00F71BBC"/>
    <w:rsid w:val="00F7397F"/>
    <w:rsid w:val="00F75949"/>
    <w:rsid w:val="00F75CF4"/>
    <w:rsid w:val="00F866CD"/>
    <w:rsid w:val="00F941F0"/>
    <w:rsid w:val="00F96F5B"/>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66252"/>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B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5765-E2C4-491E-8F66-9ADF3D1C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2022-04-06T09:56:00Z</dcterms:created>
  <dcterms:modified xsi:type="dcterms:W3CDTF">2022-04-06T09:56:00Z</dcterms:modified>
</cp:coreProperties>
</file>