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7E07" w14:textId="77777777" w:rsidR="00380BDA" w:rsidRDefault="00380BDA" w:rsidP="009B48AA">
      <w:pPr>
        <w:pageBreakBefore/>
        <w:bidi/>
        <w:jc w:val="center"/>
        <w:rPr>
          <w:rFonts w:asciiTheme="majorBidi" w:hAnsiTheme="majorBidi" w:cstheme="majorBidi"/>
          <w:b/>
          <w:bCs/>
          <w:sz w:val="24"/>
          <w:szCs w:val="28"/>
        </w:rPr>
      </w:pPr>
      <w:r>
        <w:rPr>
          <w:rFonts w:asciiTheme="majorBidi" w:hAnsiTheme="majorBidi" w:hint="cs"/>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220E72" w14:paraId="6733A301" w14:textId="77777777" w:rsidTr="007F2D62">
        <w:trPr>
          <w:cantSplit/>
        </w:trPr>
        <w:tc>
          <w:tcPr>
            <w:tcW w:w="786" w:type="pct"/>
            <w:shd w:val="clear" w:color="auto" w:fill="auto"/>
          </w:tcPr>
          <w:p w14:paraId="2286508B" w14:textId="1FA16471" w:rsidR="005473CF" w:rsidRPr="00604494" w:rsidRDefault="00411977" w:rsidP="009B48AA">
            <w:pPr>
              <w:bidi/>
              <w:spacing w:before="120"/>
              <w:jc w:val="both"/>
              <w:rPr>
                <w:rFonts w:asciiTheme="majorBidi" w:hAnsiTheme="majorBidi" w:cstheme="majorBidi"/>
                <w:b/>
                <w:sz w:val="24"/>
              </w:rPr>
            </w:pPr>
            <w:r w:rsidRPr="00604494">
              <w:rPr>
                <w:rFonts w:asciiTheme="majorBidi" w:hAnsiTheme="majorBidi"/>
                <w:b/>
                <w:bCs/>
                <w:sz w:val="24"/>
                <w:rtl/>
              </w:rPr>
              <w:t>المؤشر</w:t>
            </w:r>
          </w:p>
        </w:tc>
        <w:tc>
          <w:tcPr>
            <w:tcW w:w="4214" w:type="pct"/>
            <w:gridSpan w:val="2"/>
            <w:shd w:val="clear" w:color="auto" w:fill="auto"/>
          </w:tcPr>
          <w:p w14:paraId="15CCA71C" w14:textId="6E764C05" w:rsidR="005473CF" w:rsidRPr="00604494" w:rsidRDefault="00220E72" w:rsidP="009B48AA">
            <w:pPr>
              <w:pStyle w:val="ListParagraph"/>
              <w:keepLines/>
              <w:numPr>
                <w:ilvl w:val="0"/>
                <w:numId w:val="77"/>
              </w:numPr>
              <w:bidi/>
              <w:spacing w:before="120"/>
              <w:jc w:val="both"/>
              <w:rPr>
                <w:rFonts w:asciiTheme="majorBidi" w:hAnsiTheme="majorBidi" w:cstheme="majorBidi"/>
                <w:bCs/>
                <w:sz w:val="24"/>
                <w:szCs w:val="24"/>
                <w:rtl/>
                <w:lang w:bidi="ar-EG"/>
              </w:rPr>
            </w:pPr>
            <w:r w:rsidRPr="00604494">
              <w:rPr>
                <w:rFonts w:asciiTheme="majorBidi" w:hAnsiTheme="majorBidi" w:cstheme="majorBidi"/>
                <w:bCs/>
                <w:sz w:val="24"/>
                <w:szCs w:val="24"/>
                <w:rtl/>
              </w:rPr>
              <w:t>مدى مساهمة المجتمع المدني في رصد صون التراث الثقافي غير المادي</w:t>
            </w:r>
          </w:p>
        </w:tc>
      </w:tr>
      <w:tr w:rsidR="005B0FE5" w:rsidRPr="00220E72" w14:paraId="4C0B8085" w14:textId="77777777" w:rsidTr="007F2D62">
        <w:trPr>
          <w:cantSplit/>
        </w:trPr>
        <w:tc>
          <w:tcPr>
            <w:tcW w:w="786" w:type="pct"/>
            <w:vMerge w:val="restart"/>
            <w:shd w:val="clear" w:color="auto" w:fill="auto"/>
          </w:tcPr>
          <w:p w14:paraId="4301424B" w14:textId="7238A3D2" w:rsidR="005B0FE5" w:rsidRPr="00604494" w:rsidRDefault="00411977" w:rsidP="009B48AA">
            <w:pPr>
              <w:bidi/>
              <w:spacing w:before="120"/>
              <w:jc w:val="both"/>
              <w:rPr>
                <w:rFonts w:asciiTheme="majorBidi" w:hAnsiTheme="majorBidi" w:cstheme="majorBidi"/>
                <w:b/>
                <w:sz w:val="24"/>
              </w:rPr>
            </w:pPr>
            <w:r w:rsidRPr="00604494">
              <w:rPr>
                <w:rFonts w:asciiTheme="majorBidi" w:hAnsiTheme="majorBidi"/>
                <w:b/>
                <w:bCs/>
                <w:sz w:val="24"/>
                <w:rtl/>
              </w:rPr>
              <w:t>عوامل التقييم الشامل</w:t>
            </w:r>
          </w:p>
        </w:tc>
        <w:tc>
          <w:tcPr>
            <w:tcW w:w="4214" w:type="pct"/>
            <w:gridSpan w:val="2"/>
            <w:shd w:val="clear" w:color="auto" w:fill="auto"/>
          </w:tcPr>
          <w:p w14:paraId="2259046D" w14:textId="61C44D2F" w:rsidR="005B0FE5" w:rsidRPr="00604494" w:rsidRDefault="00411977" w:rsidP="009B48AA">
            <w:pPr>
              <w:keepLines/>
              <w:bidi/>
              <w:spacing w:before="120"/>
              <w:jc w:val="both"/>
              <w:rPr>
                <w:rFonts w:asciiTheme="majorBidi" w:hAnsiTheme="majorBidi" w:cstheme="majorBidi"/>
                <w:b/>
                <w:sz w:val="24"/>
              </w:rPr>
            </w:pPr>
            <w:r w:rsidRPr="00604494">
              <w:rPr>
                <w:rFonts w:asciiTheme="majorBidi" w:hAnsiTheme="majorBidi"/>
                <w:sz w:val="24"/>
                <w:rtl/>
              </w:rPr>
              <w:t xml:space="preserve">يتم تقييم هذا المؤشر على أساس ثلاثة عوامل على الصعيد القطري ترصدها كل دولة طرف </w:t>
            </w:r>
            <w:r w:rsidR="00115376" w:rsidRPr="00604494">
              <w:rPr>
                <w:rFonts w:asciiTheme="majorBidi" w:hAnsiTheme="majorBidi" w:hint="cs"/>
                <w:sz w:val="24"/>
                <w:rtl/>
                <w:lang w:bidi="ar-EG"/>
              </w:rPr>
              <w:t>و</w:t>
            </w:r>
            <w:r w:rsidR="00CC257D" w:rsidRPr="00604494">
              <w:rPr>
                <w:rFonts w:asciiTheme="majorBidi" w:hAnsiTheme="majorBidi" w:hint="cs"/>
                <w:sz w:val="24"/>
                <w:rtl/>
                <w:lang w:bidi="ar-EG"/>
              </w:rPr>
              <w:t>ت</w:t>
            </w:r>
            <w:r w:rsidR="00EB69A2">
              <w:rPr>
                <w:rFonts w:asciiTheme="majorBidi" w:hAnsiTheme="majorBidi" w:hint="cs"/>
                <w:sz w:val="24"/>
                <w:rtl/>
                <w:lang w:bidi="ar-EG"/>
              </w:rPr>
              <w:t xml:space="preserve">عد </w:t>
            </w:r>
            <w:proofErr w:type="gramStart"/>
            <w:r w:rsidR="00EB69A2">
              <w:rPr>
                <w:rFonts w:asciiTheme="majorBidi" w:hAnsiTheme="majorBidi" w:hint="cs"/>
                <w:sz w:val="24"/>
                <w:rtl/>
                <w:lang w:bidi="ar-EG"/>
              </w:rPr>
              <w:t xml:space="preserve">التقرير </w:t>
            </w:r>
            <w:r w:rsidR="00CC257D" w:rsidRPr="00604494">
              <w:rPr>
                <w:rFonts w:asciiTheme="majorBidi" w:hAnsiTheme="majorBidi" w:hint="cs"/>
                <w:sz w:val="24"/>
                <w:rtl/>
                <w:lang w:bidi="ar-EG"/>
              </w:rPr>
              <w:t xml:space="preserve"> عنها</w:t>
            </w:r>
            <w:proofErr w:type="gramEnd"/>
            <w:r w:rsidRPr="00604494">
              <w:rPr>
                <w:rFonts w:asciiTheme="majorBidi" w:hAnsiTheme="majorBidi"/>
                <w:sz w:val="24"/>
                <w:rtl/>
              </w:rPr>
              <w:t>:</w:t>
            </w:r>
          </w:p>
        </w:tc>
      </w:tr>
      <w:tr w:rsidR="00612088" w:rsidRPr="00220E72" w14:paraId="1B91D014" w14:textId="77777777" w:rsidTr="007F2D62">
        <w:trPr>
          <w:cantSplit/>
        </w:trPr>
        <w:tc>
          <w:tcPr>
            <w:tcW w:w="786" w:type="pct"/>
            <w:vMerge/>
            <w:shd w:val="clear" w:color="auto" w:fill="auto"/>
          </w:tcPr>
          <w:p w14:paraId="704E4D9F" w14:textId="77777777" w:rsidR="00612088" w:rsidRPr="00604494" w:rsidRDefault="00612088" w:rsidP="009B48AA">
            <w:pPr>
              <w:bidi/>
              <w:spacing w:before="120"/>
              <w:jc w:val="both"/>
              <w:rPr>
                <w:rFonts w:asciiTheme="majorBidi" w:hAnsiTheme="majorBidi" w:cstheme="majorBidi"/>
                <w:b/>
                <w:sz w:val="24"/>
              </w:rPr>
            </w:pPr>
          </w:p>
        </w:tc>
        <w:tc>
          <w:tcPr>
            <w:tcW w:w="3418" w:type="pct"/>
            <w:shd w:val="clear" w:color="auto" w:fill="auto"/>
            <w:vAlign w:val="center"/>
          </w:tcPr>
          <w:p w14:paraId="66860B31" w14:textId="23D304F4" w:rsidR="00612088" w:rsidRPr="00604494" w:rsidRDefault="0047430E" w:rsidP="009B48AA">
            <w:pPr>
              <w:keepLines/>
              <w:bidi/>
              <w:spacing w:before="120"/>
              <w:jc w:val="both"/>
              <w:rPr>
                <w:rFonts w:asciiTheme="majorBidi" w:hAnsiTheme="majorBidi" w:cstheme="majorBidi"/>
                <w:sz w:val="24"/>
              </w:rPr>
            </w:pPr>
            <w:r w:rsidRPr="00604494">
              <w:rPr>
                <w:rFonts w:asciiTheme="majorBidi" w:hAnsiTheme="majorBidi"/>
                <w:sz w:val="24"/>
                <w:rtl/>
              </w:rPr>
              <w:t>22-1 وجود بيئة تمكينية للجماعات والمجموعات والأفراد المعنيين لرصد الدراسات العلمية والتقنية والفنية بشأن برامج وتدابير صون التراث الثقافي غير المادي وإنجازها.</w:t>
            </w:r>
          </w:p>
        </w:tc>
        <w:tc>
          <w:tcPr>
            <w:tcW w:w="796" w:type="pct"/>
            <w:shd w:val="clear" w:color="auto" w:fill="auto"/>
            <w:vAlign w:val="center"/>
          </w:tcPr>
          <w:p w14:paraId="3F6833A3" w14:textId="79C5594F" w:rsidR="00612088" w:rsidRPr="00604494" w:rsidRDefault="00115376" w:rsidP="009B48AA">
            <w:pPr>
              <w:keepLines/>
              <w:bidi/>
              <w:spacing w:before="120"/>
              <w:jc w:val="both"/>
              <w:rPr>
                <w:rFonts w:asciiTheme="majorBidi" w:hAnsiTheme="majorBidi" w:cstheme="majorBidi"/>
                <w:sz w:val="24"/>
              </w:rPr>
            </w:pP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Pr="00604494">
              <w:rPr>
                <w:rFonts w:asciiTheme="majorBidi" w:hAnsiTheme="majorBidi"/>
                <w:sz w:val="24"/>
                <w:rtl/>
              </w:rPr>
              <w:t xml:space="preserve"> 85</w:t>
            </w:r>
            <w:r w:rsidR="004774BB" w:rsidRPr="00604494">
              <w:rPr>
                <w:rFonts w:asciiTheme="majorBidi" w:hAnsiTheme="majorBidi" w:hint="cs"/>
                <w:sz w:val="24"/>
                <w:rtl/>
              </w:rPr>
              <w:t>، و</w:t>
            </w: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151</w:t>
            </w:r>
            <w:r w:rsidR="004774BB" w:rsidRPr="00604494">
              <w:rPr>
                <w:rFonts w:asciiTheme="majorBidi" w:hAnsiTheme="majorBidi" w:hint="cs"/>
                <w:sz w:val="24"/>
                <w:rtl/>
              </w:rPr>
              <w:t>، و</w:t>
            </w:r>
            <w:r w:rsidR="005E3D3F"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005E3D3F" w:rsidRPr="00604494">
              <w:rPr>
                <w:rFonts w:asciiTheme="majorBidi" w:hAnsiTheme="majorBidi"/>
                <w:sz w:val="24"/>
                <w:rtl/>
              </w:rPr>
              <w:t>153 (ب) (2)</w:t>
            </w:r>
          </w:p>
        </w:tc>
      </w:tr>
      <w:tr w:rsidR="00612088" w:rsidRPr="00220E72" w14:paraId="17FBE118" w14:textId="77777777" w:rsidTr="007F2D62">
        <w:trPr>
          <w:cantSplit/>
        </w:trPr>
        <w:tc>
          <w:tcPr>
            <w:tcW w:w="786" w:type="pct"/>
            <w:vMerge/>
            <w:shd w:val="clear" w:color="auto" w:fill="auto"/>
          </w:tcPr>
          <w:p w14:paraId="43E85D44" w14:textId="77777777" w:rsidR="00612088" w:rsidRPr="00604494" w:rsidRDefault="00612088" w:rsidP="009B48AA">
            <w:pPr>
              <w:bidi/>
              <w:spacing w:before="120"/>
              <w:jc w:val="both"/>
              <w:rPr>
                <w:rFonts w:asciiTheme="majorBidi" w:hAnsiTheme="majorBidi" w:cstheme="majorBidi"/>
                <w:b/>
                <w:sz w:val="24"/>
              </w:rPr>
            </w:pPr>
          </w:p>
        </w:tc>
        <w:tc>
          <w:tcPr>
            <w:tcW w:w="3418" w:type="pct"/>
            <w:shd w:val="clear" w:color="auto" w:fill="auto"/>
            <w:vAlign w:val="center"/>
          </w:tcPr>
          <w:p w14:paraId="444ED6EA" w14:textId="2D35381C" w:rsidR="00612088" w:rsidRPr="00604494" w:rsidRDefault="0047430E" w:rsidP="009B48AA">
            <w:pPr>
              <w:keepLines/>
              <w:bidi/>
              <w:spacing w:before="120"/>
              <w:jc w:val="both"/>
              <w:rPr>
                <w:rFonts w:asciiTheme="majorBidi" w:hAnsiTheme="majorBidi" w:cstheme="majorBidi"/>
                <w:sz w:val="24"/>
              </w:rPr>
            </w:pPr>
            <w:r w:rsidRPr="00604494">
              <w:rPr>
                <w:rFonts w:asciiTheme="majorBidi" w:hAnsiTheme="majorBidi"/>
                <w:sz w:val="24"/>
                <w:rtl/>
              </w:rPr>
              <w:t>22-2 وجود بيئة تمكينية للمنظّمات غير الحكومية وغيرها من هيئات المجتمع المدني لرصد الدراسات العلمية والتقنية والفنية بشأن برامج وتدابير صون التراث الثقافي غير المادي و</w:t>
            </w:r>
            <w:r w:rsidR="002B0209" w:rsidRPr="00604494">
              <w:rPr>
                <w:rFonts w:asciiTheme="majorBidi" w:hAnsiTheme="majorBidi" w:hint="cs"/>
                <w:sz w:val="24"/>
                <w:rtl/>
              </w:rPr>
              <w:t>إ</w:t>
            </w:r>
            <w:r w:rsidRPr="00604494">
              <w:rPr>
                <w:rFonts w:asciiTheme="majorBidi" w:hAnsiTheme="majorBidi"/>
                <w:sz w:val="24"/>
                <w:rtl/>
              </w:rPr>
              <w:t>نجازها.</w:t>
            </w:r>
          </w:p>
        </w:tc>
        <w:tc>
          <w:tcPr>
            <w:tcW w:w="796" w:type="pct"/>
            <w:shd w:val="clear" w:color="auto" w:fill="auto"/>
            <w:vAlign w:val="center"/>
          </w:tcPr>
          <w:p w14:paraId="1F97A75A" w14:textId="533E136C" w:rsidR="00612088" w:rsidRPr="00604494" w:rsidRDefault="005E3D3F" w:rsidP="009B48AA">
            <w:pPr>
              <w:bidi/>
              <w:spacing w:before="60" w:after="60"/>
              <w:jc w:val="both"/>
              <w:rPr>
                <w:rFonts w:asciiTheme="majorBidi" w:hAnsiTheme="majorBidi" w:cstheme="majorBidi"/>
                <w:sz w:val="24"/>
              </w:rPr>
            </w:pP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8</w:t>
            </w:r>
            <w:r w:rsidRPr="00604494">
              <w:rPr>
                <w:rFonts w:asciiTheme="majorBidi" w:hAnsiTheme="majorBidi" w:hint="cs"/>
                <w:sz w:val="24"/>
                <w:rtl/>
              </w:rPr>
              <w:t>3</w:t>
            </w:r>
            <w:r w:rsidR="004774BB" w:rsidRPr="00604494">
              <w:rPr>
                <w:rFonts w:asciiTheme="majorBidi" w:hAnsiTheme="majorBidi" w:hint="cs"/>
                <w:sz w:val="24"/>
                <w:rtl/>
              </w:rPr>
              <w:t>، و</w:t>
            </w:r>
            <w:r w:rsidR="00115376"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00115376" w:rsidRPr="00604494">
              <w:rPr>
                <w:rFonts w:asciiTheme="majorBidi" w:hAnsiTheme="majorBidi"/>
                <w:sz w:val="24"/>
                <w:rtl/>
              </w:rPr>
              <w:t>151</w:t>
            </w:r>
            <w:r w:rsidR="004774BB" w:rsidRPr="00604494">
              <w:rPr>
                <w:rFonts w:asciiTheme="majorBidi" w:hAnsiTheme="majorBidi" w:hint="cs"/>
                <w:sz w:val="24"/>
                <w:rtl/>
              </w:rPr>
              <w:t>، و</w:t>
            </w: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153 (ب) (2)</w:t>
            </w:r>
          </w:p>
        </w:tc>
      </w:tr>
      <w:tr w:rsidR="00612088" w:rsidRPr="00220E72" w14:paraId="314367C6" w14:textId="77777777" w:rsidTr="007F2D62">
        <w:trPr>
          <w:cantSplit/>
        </w:trPr>
        <w:tc>
          <w:tcPr>
            <w:tcW w:w="786" w:type="pct"/>
            <w:vMerge/>
            <w:shd w:val="clear" w:color="auto" w:fill="auto"/>
          </w:tcPr>
          <w:p w14:paraId="34F70E71" w14:textId="77777777" w:rsidR="00612088" w:rsidRPr="00604494" w:rsidRDefault="00612088" w:rsidP="009B48AA">
            <w:pPr>
              <w:bidi/>
              <w:spacing w:before="120"/>
              <w:jc w:val="both"/>
              <w:rPr>
                <w:rFonts w:asciiTheme="majorBidi" w:hAnsiTheme="majorBidi" w:cstheme="majorBidi"/>
                <w:b/>
                <w:sz w:val="24"/>
              </w:rPr>
            </w:pPr>
          </w:p>
        </w:tc>
        <w:tc>
          <w:tcPr>
            <w:tcW w:w="3418" w:type="pct"/>
            <w:shd w:val="clear" w:color="auto" w:fill="auto"/>
            <w:vAlign w:val="center"/>
          </w:tcPr>
          <w:p w14:paraId="6595AF81" w14:textId="05398608" w:rsidR="00612088" w:rsidRPr="00604494" w:rsidRDefault="0047430E" w:rsidP="009B48AA">
            <w:pPr>
              <w:keepLines/>
              <w:bidi/>
              <w:spacing w:before="120"/>
              <w:jc w:val="both"/>
              <w:rPr>
                <w:rFonts w:asciiTheme="majorBidi" w:hAnsiTheme="majorBidi" w:cstheme="majorBidi"/>
                <w:sz w:val="24"/>
              </w:rPr>
            </w:pPr>
            <w:r w:rsidRPr="00604494">
              <w:rPr>
                <w:rFonts w:asciiTheme="majorBidi" w:hAnsiTheme="majorBidi"/>
                <w:sz w:val="24"/>
                <w:rtl/>
              </w:rPr>
              <w:t>22-3 وجود بيئة تمكينية للعلماء والخبراء ومؤسسات البحوث ومراكز الخبرة لرصد الدراسات العلمية والتقنية والفنية بشأن برامج وتدابير صون التراث الثقافي غير المادي و</w:t>
            </w:r>
            <w:r w:rsidR="002B0209" w:rsidRPr="00604494">
              <w:rPr>
                <w:rFonts w:asciiTheme="majorBidi" w:hAnsiTheme="majorBidi" w:hint="cs"/>
                <w:sz w:val="24"/>
                <w:rtl/>
              </w:rPr>
              <w:t>إ</w:t>
            </w:r>
            <w:r w:rsidRPr="00604494">
              <w:rPr>
                <w:rFonts w:asciiTheme="majorBidi" w:hAnsiTheme="majorBidi"/>
                <w:sz w:val="24"/>
                <w:rtl/>
              </w:rPr>
              <w:t>نجازها.</w:t>
            </w:r>
          </w:p>
        </w:tc>
        <w:tc>
          <w:tcPr>
            <w:tcW w:w="796" w:type="pct"/>
            <w:shd w:val="clear" w:color="auto" w:fill="auto"/>
            <w:vAlign w:val="center"/>
          </w:tcPr>
          <w:p w14:paraId="4B23A37A" w14:textId="3C60535F" w:rsidR="00612088" w:rsidRPr="00604494" w:rsidRDefault="00115376" w:rsidP="009B48AA">
            <w:pPr>
              <w:keepLines/>
              <w:bidi/>
              <w:spacing w:before="120"/>
              <w:jc w:val="both"/>
              <w:rPr>
                <w:rFonts w:asciiTheme="majorBidi" w:hAnsiTheme="majorBidi" w:cstheme="majorBidi"/>
                <w:sz w:val="24"/>
              </w:rPr>
            </w:pP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83</w:t>
            </w:r>
            <w:r w:rsidR="004774BB" w:rsidRPr="00604494">
              <w:rPr>
                <w:rFonts w:asciiTheme="majorBidi" w:hAnsiTheme="majorBidi" w:hint="cs"/>
                <w:sz w:val="24"/>
                <w:rtl/>
              </w:rPr>
              <w:t>، و</w:t>
            </w: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84</w:t>
            </w:r>
            <w:r w:rsidR="004774BB" w:rsidRPr="00604494">
              <w:rPr>
                <w:rFonts w:asciiTheme="majorBidi" w:hAnsiTheme="majorBidi" w:hint="cs"/>
                <w:sz w:val="24"/>
                <w:rtl/>
              </w:rPr>
              <w:t>، و</w:t>
            </w:r>
            <w:r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Pr="00604494">
              <w:rPr>
                <w:rFonts w:asciiTheme="majorBidi" w:hAnsiTheme="majorBidi"/>
                <w:sz w:val="24"/>
                <w:rtl/>
              </w:rPr>
              <w:t>151</w:t>
            </w:r>
            <w:r w:rsidR="004774BB" w:rsidRPr="00604494">
              <w:rPr>
                <w:rFonts w:asciiTheme="majorBidi" w:hAnsiTheme="majorBidi" w:hint="cs"/>
                <w:sz w:val="24"/>
                <w:rtl/>
              </w:rPr>
              <w:t>، و</w:t>
            </w:r>
            <w:r w:rsidR="0089034F" w:rsidRPr="00604494">
              <w:rPr>
                <w:rFonts w:asciiTheme="majorBidi" w:hAnsiTheme="majorBidi"/>
                <w:sz w:val="24"/>
                <w:rtl/>
              </w:rPr>
              <w:t xml:space="preserve">التوجيه </w:t>
            </w:r>
            <w:r w:rsidR="00CC257D" w:rsidRPr="00604494">
              <w:rPr>
                <w:rFonts w:asciiTheme="majorBidi" w:hAnsiTheme="majorBidi" w:hint="cs"/>
                <w:sz w:val="24"/>
                <w:rtl/>
              </w:rPr>
              <w:t>التنفيذي</w:t>
            </w:r>
            <w:r w:rsidR="00CC257D" w:rsidRPr="00604494">
              <w:rPr>
                <w:rFonts w:asciiTheme="majorBidi" w:hAnsiTheme="majorBidi"/>
                <w:sz w:val="24"/>
                <w:rtl/>
              </w:rPr>
              <w:t xml:space="preserve"> </w:t>
            </w:r>
            <w:r w:rsidR="0089034F" w:rsidRPr="00604494">
              <w:rPr>
                <w:rFonts w:asciiTheme="majorBidi" w:hAnsiTheme="majorBidi"/>
                <w:sz w:val="24"/>
                <w:rtl/>
              </w:rPr>
              <w:t>153 (ب) (2)</w:t>
            </w:r>
          </w:p>
        </w:tc>
      </w:tr>
      <w:tr w:rsidR="005473CF" w:rsidRPr="00220E72" w14:paraId="0F53BC22" w14:textId="77777777" w:rsidTr="007F2D62">
        <w:trPr>
          <w:cantSplit/>
        </w:trPr>
        <w:tc>
          <w:tcPr>
            <w:tcW w:w="786" w:type="pct"/>
            <w:shd w:val="clear" w:color="auto" w:fill="auto"/>
          </w:tcPr>
          <w:p w14:paraId="01F0D25A" w14:textId="0CF1D219" w:rsidR="005473CF" w:rsidRPr="00604494" w:rsidRDefault="00411977" w:rsidP="009B48AA">
            <w:pPr>
              <w:bidi/>
              <w:spacing w:before="120"/>
              <w:jc w:val="both"/>
              <w:rPr>
                <w:rFonts w:asciiTheme="majorBidi" w:hAnsiTheme="majorBidi" w:cstheme="majorBidi"/>
                <w:b/>
                <w:sz w:val="24"/>
              </w:rPr>
            </w:pPr>
            <w:r w:rsidRPr="00604494">
              <w:rPr>
                <w:rFonts w:asciiTheme="majorBidi" w:hAnsiTheme="majorBidi"/>
                <w:b/>
                <w:bCs/>
                <w:sz w:val="24"/>
                <w:rtl/>
              </w:rPr>
              <w:t>العلاقة مع أهداف التنمية المستدامة والمؤشرات الأخرى</w:t>
            </w:r>
          </w:p>
        </w:tc>
        <w:tc>
          <w:tcPr>
            <w:tcW w:w="4214" w:type="pct"/>
            <w:gridSpan w:val="2"/>
            <w:shd w:val="clear" w:color="auto" w:fill="auto"/>
          </w:tcPr>
          <w:p w14:paraId="1053F2CC" w14:textId="57FDCAEF" w:rsidR="005A668E" w:rsidRPr="00604494" w:rsidRDefault="005A668E" w:rsidP="009B48AA">
            <w:pPr>
              <w:keepLines/>
              <w:bidi/>
              <w:spacing w:before="120"/>
              <w:jc w:val="both"/>
              <w:rPr>
                <w:rFonts w:asciiTheme="majorBidi" w:hAnsiTheme="majorBidi"/>
                <w:sz w:val="24"/>
                <w:rtl/>
              </w:rPr>
            </w:pPr>
            <w:r w:rsidRPr="00604494">
              <w:rPr>
                <w:rFonts w:asciiTheme="majorBidi" w:hAnsiTheme="majorBidi"/>
                <w:b/>
                <w:bCs/>
                <w:sz w:val="24"/>
                <w:rtl/>
              </w:rPr>
              <w:t xml:space="preserve">أهداف التنمية المستدامة: </w:t>
            </w:r>
            <w:r w:rsidRPr="00604494">
              <w:rPr>
                <w:rFonts w:asciiTheme="majorBidi" w:hAnsiTheme="majorBidi"/>
                <w:sz w:val="24"/>
                <w:rtl/>
              </w:rPr>
              <w:t xml:space="preserve">مثل المؤشر 21، يدعم المؤشر الحالي الغاية 16-7 من أهداف التنمية المستدامة "ضمان اتخاذ القرارات على نحو مستجيب للاحتياجات وشامل للجميع وتشاركي وتمثيلي على جميع المستويات''، وكذلك الغاية 17-17 من أهداف التنمية المستدامة "تشجيع وتعزيز الشراكات العامة وبين القطاع العام والقطاع الخاص وشراكات المجتمع المدني الفعالة". </w:t>
            </w:r>
            <w:r w:rsidR="007E7469" w:rsidRPr="00604494">
              <w:rPr>
                <w:rFonts w:asciiTheme="majorBidi" w:hAnsiTheme="majorBidi" w:hint="cs"/>
                <w:sz w:val="24"/>
                <w:rtl/>
              </w:rPr>
              <w:t>و</w:t>
            </w:r>
            <w:r w:rsidRPr="00604494">
              <w:rPr>
                <w:rFonts w:asciiTheme="majorBidi" w:hAnsiTheme="majorBidi"/>
                <w:sz w:val="24"/>
                <w:rtl/>
              </w:rPr>
              <w:t>مثل جميع المؤشرات، يستجيب المؤشر الحالي للغاية 11-4 من أهداف التنمية المستدامة "تعزيز الجهود الرامية إلى حماية وصون التراث الثقافي والطبيعي العالمي."</w:t>
            </w:r>
          </w:p>
          <w:p w14:paraId="561218F1" w14:textId="648072C2" w:rsidR="005473CF" w:rsidRPr="00604494" w:rsidRDefault="005A668E" w:rsidP="009B48AA">
            <w:pPr>
              <w:keepLines/>
              <w:bidi/>
              <w:spacing w:before="120"/>
              <w:jc w:val="both"/>
              <w:rPr>
                <w:rFonts w:asciiTheme="majorBidi" w:hAnsiTheme="majorBidi" w:cstheme="majorBidi"/>
                <w:bCs/>
                <w:sz w:val="24"/>
              </w:rPr>
            </w:pPr>
            <w:r w:rsidRPr="00604494">
              <w:rPr>
                <w:rFonts w:asciiTheme="majorBidi" w:hAnsiTheme="majorBidi"/>
                <w:bCs/>
                <w:sz w:val="24"/>
                <w:rtl/>
              </w:rPr>
              <w:t>العلاقة بالمؤشرات الأخرى:</w:t>
            </w:r>
            <w:r w:rsidRPr="00604494">
              <w:rPr>
                <w:rFonts w:asciiTheme="majorBidi" w:hAnsiTheme="majorBidi"/>
                <w:b/>
                <w:sz w:val="24"/>
                <w:rtl/>
              </w:rPr>
              <w:t xml:space="preserve"> </w:t>
            </w:r>
            <w:r w:rsidR="007E7469" w:rsidRPr="00604494">
              <w:rPr>
                <w:rFonts w:asciiTheme="majorBidi" w:hAnsiTheme="majorBidi" w:hint="cs"/>
                <w:b/>
                <w:sz w:val="24"/>
                <w:rtl/>
              </w:rPr>
              <w:t>بينما</w:t>
            </w:r>
            <w:r w:rsidRPr="00604494">
              <w:rPr>
                <w:rFonts w:asciiTheme="majorBidi" w:hAnsiTheme="majorBidi"/>
                <w:b/>
                <w:sz w:val="24"/>
                <w:rtl/>
              </w:rPr>
              <w:t xml:space="preserve"> يشير المؤشر 21 إلى أوسع مشاركة ممكنة من </w:t>
            </w:r>
            <w:r w:rsidR="007E7469" w:rsidRPr="00604494">
              <w:rPr>
                <w:rFonts w:asciiTheme="majorBidi" w:hAnsiTheme="majorBidi" w:hint="cs"/>
                <w:b/>
                <w:sz w:val="24"/>
                <w:rtl/>
              </w:rPr>
              <w:t xml:space="preserve">جانب </w:t>
            </w:r>
            <w:r w:rsidRPr="00604494">
              <w:rPr>
                <w:rFonts w:asciiTheme="majorBidi" w:hAnsiTheme="majorBidi"/>
                <w:b/>
                <w:sz w:val="24"/>
                <w:rtl/>
              </w:rPr>
              <w:t>عدد من الجهات الفاعلة المتنوعة في صون التراث الثقافي غير المادي، هنا ي</w:t>
            </w:r>
            <w:r w:rsidR="007E7469" w:rsidRPr="00604494">
              <w:rPr>
                <w:rFonts w:asciiTheme="majorBidi" w:hAnsiTheme="majorBidi" w:hint="cs"/>
                <w:b/>
                <w:sz w:val="24"/>
                <w:rtl/>
              </w:rPr>
              <w:t>نتقل</w:t>
            </w:r>
            <w:r w:rsidRPr="00604494">
              <w:rPr>
                <w:rFonts w:asciiTheme="majorBidi" w:hAnsiTheme="majorBidi"/>
                <w:b/>
                <w:sz w:val="24"/>
                <w:rtl/>
              </w:rPr>
              <w:t xml:space="preserve"> التركيز إلى مشاركتهم في رصد صون التراث الثقافي غير المادي. بالإضافة إلى ذلك، يكمل المؤشر الحالي المؤشر 9، الذي ينظر أيضًا في الدراسات العلمية والتقنية والفنية، ولكن هناك ينصب التركيز على التراث الثقافي غير المادي نفسه</w:t>
            </w:r>
            <w:r w:rsidR="00A103A4" w:rsidRPr="00604494">
              <w:rPr>
                <w:rFonts w:asciiTheme="majorBidi" w:hAnsiTheme="majorBidi" w:hint="cs"/>
                <w:b/>
                <w:sz w:val="24"/>
                <w:rtl/>
              </w:rPr>
              <w:t>،</w:t>
            </w:r>
            <w:r w:rsidRPr="00604494">
              <w:rPr>
                <w:rFonts w:asciiTheme="majorBidi" w:hAnsiTheme="majorBidi"/>
                <w:b/>
                <w:sz w:val="24"/>
                <w:rtl/>
              </w:rPr>
              <w:t xml:space="preserve"> </w:t>
            </w:r>
            <w:r w:rsidR="00A103A4" w:rsidRPr="00604494">
              <w:rPr>
                <w:rFonts w:asciiTheme="majorBidi" w:hAnsiTheme="majorBidi" w:hint="cs"/>
                <w:b/>
                <w:sz w:val="24"/>
                <w:rtl/>
              </w:rPr>
              <w:t xml:space="preserve">بينما </w:t>
            </w:r>
            <w:r w:rsidRPr="00604494">
              <w:rPr>
                <w:rFonts w:asciiTheme="majorBidi" w:hAnsiTheme="majorBidi"/>
                <w:b/>
                <w:sz w:val="24"/>
                <w:rtl/>
              </w:rPr>
              <w:t>هنا ينصب التركيز على دراسات برامج وتدابير صون التراث الثقافي غير المادي.</w:t>
            </w:r>
          </w:p>
        </w:tc>
      </w:tr>
      <w:tr w:rsidR="00896177" w:rsidRPr="00220E72" w14:paraId="73EF0B05" w14:textId="77777777" w:rsidTr="007F2D62">
        <w:trPr>
          <w:cantSplit/>
        </w:trPr>
        <w:tc>
          <w:tcPr>
            <w:tcW w:w="786" w:type="pct"/>
            <w:shd w:val="clear" w:color="auto" w:fill="auto"/>
          </w:tcPr>
          <w:p w14:paraId="1A650B04" w14:textId="0C6241A6" w:rsidR="00896177" w:rsidRPr="00604494" w:rsidRDefault="00411977" w:rsidP="009B48AA">
            <w:pPr>
              <w:bidi/>
              <w:spacing w:before="120"/>
              <w:jc w:val="both"/>
              <w:rPr>
                <w:rFonts w:asciiTheme="majorBidi" w:hAnsiTheme="majorBidi" w:cstheme="majorBidi"/>
                <w:b/>
                <w:sz w:val="24"/>
              </w:rPr>
            </w:pPr>
            <w:r w:rsidRPr="00604494">
              <w:rPr>
                <w:rFonts w:asciiTheme="majorBidi" w:hAnsiTheme="majorBidi"/>
                <w:b/>
                <w:bCs/>
                <w:sz w:val="24"/>
                <w:rtl/>
              </w:rPr>
              <w:t xml:space="preserve">الأسس المنطقية </w:t>
            </w:r>
            <w:r w:rsidR="00C06117" w:rsidRPr="00604494">
              <w:rPr>
                <w:rFonts w:asciiTheme="majorBidi" w:hAnsiTheme="majorBidi" w:hint="cs"/>
                <w:b/>
                <w:bCs/>
                <w:sz w:val="24"/>
                <w:rtl/>
              </w:rPr>
              <w:t>للإجراءات</w:t>
            </w:r>
          </w:p>
        </w:tc>
        <w:tc>
          <w:tcPr>
            <w:tcW w:w="4214" w:type="pct"/>
            <w:gridSpan w:val="2"/>
            <w:shd w:val="clear" w:color="auto" w:fill="auto"/>
          </w:tcPr>
          <w:p w14:paraId="316467CE" w14:textId="43D0C1DB" w:rsidR="00704766" w:rsidRPr="00604494" w:rsidRDefault="00835150" w:rsidP="009B48AA">
            <w:pPr>
              <w:keepLines/>
              <w:bidi/>
              <w:spacing w:before="120"/>
              <w:jc w:val="both"/>
              <w:rPr>
                <w:rFonts w:asciiTheme="majorBidi" w:hAnsiTheme="majorBidi" w:cstheme="majorBidi"/>
                <w:sz w:val="24"/>
              </w:rPr>
            </w:pPr>
            <w:r w:rsidRPr="00604494">
              <w:rPr>
                <w:rFonts w:asciiTheme="majorBidi" w:hAnsiTheme="majorBidi"/>
                <w:sz w:val="24"/>
                <w:rtl/>
              </w:rPr>
              <w:t xml:space="preserve">يمكن زيادة فعالية برامج وتدابير صون التراث الثقافي غير المادي وتحسينها من خلال رصدها المنتظم وإجراء دراسات علمية وتقنية وفنية حولها. </w:t>
            </w:r>
            <w:r w:rsidR="003D5173" w:rsidRPr="00604494">
              <w:rPr>
                <w:rFonts w:asciiTheme="majorBidi" w:hAnsiTheme="majorBidi" w:hint="cs"/>
                <w:sz w:val="24"/>
                <w:rtl/>
              </w:rPr>
              <w:t>يقدم</w:t>
            </w:r>
            <w:r w:rsidRPr="00604494">
              <w:rPr>
                <w:rFonts w:asciiTheme="majorBidi" w:hAnsiTheme="majorBidi"/>
                <w:sz w:val="24"/>
                <w:rtl/>
              </w:rPr>
              <w:t xml:space="preserve"> مثل هذا الرصد والدراسات الآراء حول </w:t>
            </w:r>
            <w:r w:rsidR="003D5173" w:rsidRPr="00604494">
              <w:rPr>
                <w:rFonts w:asciiTheme="majorBidi" w:hAnsiTheme="majorBidi" w:hint="cs"/>
                <w:sz w:val="24"/>
                <w:rtl/>
              </w:rPr>
              <w:t xml:space="preserve">أي </w:t>
            </w:r>
            <w:r w:rsidRPr="00604494">
              <w:rPr>
                <w:rFonts w:asciiTheme="majorBidi" w:hAnsiTheme="majorBidi"/>
                <w:sz w:val="24"/>
                <w:rtl/>
              </w:rPr>
              <w:t xml:space="preserve">البرامج والتدابير ذات آثار إيجابية. وغالبًا ما تجمع المنظمات غير الحكومية وغيرها من هيئات المجتمع المدني بين الخبرات والتجارب التي تجعلها جهات فاعلة مهمة لإجراء مثل هذا الرصد والدراسات. قد تكون مؤسسات </w:t>
            </w:r>
            <w:r w:rsidR="00992AF7" w:rsidRPr="00604494">
              <w:rPr>
                <w:rFonts w:asciiTheme="majorBidi" w:hAnsiTheme="majorBidi" w:hint="cs"/>
                <w:sz w:val="24"/>
                <w:rtl/>
              </w:rPr>
              <w:t xml:space="preserve">البحوث </w:t>
            </w:r>
            <w:r w:rsidRPr="00604494">
              <w:rPr>
                <w:rFonts w:asciiTheme="majorBidi" w:hAnsiTheme="majorBidi"/>
                <w:sz w:val="24"/>
                <w:rtl/>
              </w:rPr>
              <w:t xml:space="preserve">ومراكز الخبرات حكومية أو غير حكومية، وفقًا للوضع الخاص بكل بلد، وقد يكون العلماء والخبراء مسؤولين حكوميين أو أفرادًا عاديين. ومع ذلك، </w:t>
            </w:r>
            <w:r w:rsidR="00992AF7" w:rsidRPr="00604494">
              <w:rPr>
                <w:rFonts w:asciiTheme="majorBidi" w:hAnsiTheme="majorBidi" w:hint="cs"/>
                <w:sz w:val="24"/>
                <w:rtl/>
                <w:lang w:bidi="ar-EG"/>
              </w:rPr>
              <w:t xml:space="preserve">تضطلع </w:t>
            </w:r>
            <w:r w:rsidRPr="00604494">
              <w:rPr>
                <w:rFonts w:asciiTheme="majorBidi" w:hAnsiTheme="majorBidi"/>
                <w:sz w:val="24"/>
                <w:rtl/>
              </w:rPr>
              <w:t xml:space="preserve">هذه الجهات الفاعلة، في جميع الأحوال، </w:t>
            </w:r>
            <w:r w:rsidR="00992AF7" w:rsidRPr="00604494">
              <w:rPr>
                <w:rFonts w:asciiTheme="majorBidi" w:hAnsiTheme="majorBidi" w:hint="cs"/>
                <w:sz w:val="24"/>
                <w:rtl/>
              </w:rPr>
              <w:t>ب</w:t>
            </w:r>
            <w:r w:rsidRPr="00604494">
              <w:rPr>
                <w:rFonts w:asciiTheme="majorBidi" w:hAnsiTheme="majorBidi"/>
                <w:sz w:val="24"/>
                <w:rtl/>
              </w:rPr>
              <w:t xml:space="preserve">دور حيوي في رصد التنفيذ </w:t>
            </w:r>
            <w:r w:rsidR="005C5F33" w:rsidRPr="00604494">
              <w:rPr>
                <w:rFonts w:asciiTheme="majorBidi" w:hAnsiTheme="majorBidi" w:hint="cs"/>
                <w:sz w:val="24"/>
                <w:rtl/>
              </w:rPr>
              <w:t>الجاري</w:t>
            </w:r>
            <w:r w:rsidRPr="00604494">
              <w:rPr>
                <w:rFonts w:asciiTheme="majorBidi" w:hAnsiTheme="majorBidi"/>
                <w:sz w:val="24"/>
                <w:rtl/>
              </w:rPr>
              <w:t xml:space="preserve"> للاتفاقية على الصعيد القطري.</w:t>
            </w:r>
          </w:p>
        </w:tc>
      </w:tr>
      <w:tr w:rsidR="00704766" w:rsidRPr="00220E72" w14:paraId="62D2F6A0" w14:textId="77777777" w:rsidTr="007F2D62">
        <w:trPr>
          <w:cantSplit/>
        </w:trPr>
        <w:tc>
          <w:tcPr>
            <w:tcW w:w="786" w:type="pct"/>
            <w:shd w:val="clear" w:color="auto" w:fill="auto"/>
          </w:tcPr>
          <w:p w14:paraId="6B9CAB6D" w14:textId="5D1ECDD6" w:rsidR="00704766" w:rsidRPr="00604494" w:rsidRDefault="00411977" w:rsidP="009B48AA">
            <w:pPr>
              <w:bidi/>
              <w:spacing w:before="120" w:after="60"/>
              <w:jc w:val="both"/>
              <w:rPr>
                <w:rFonts w:asciiTheme="majorBidi" w:hAnsiTheme="majorBidi" w:cstheme="majorBidi"/>
                <w:b/>
                <w:sz w:val="24"/>
              </w:rPr>
            </w:pPr>
            <w:r w:rsidRPr="00604494">
              <w:rPr>
                <w:rFonts w:asciiTheme="majorBidi" w:hAnsiTheme="majorBidi"/>
                <w:b/>
                <w:bCs/>
                <w:sz w:val="24"/>
                <w:rtl/>
              </w:rPr>
              <w:lastRenderedPageBreak/>
              <w:t>المصطلحات الرئيسية</w:t>
            </w:r>
          </w:p>
        </w:tc>
        <w:tc>
          <w:tcPr>
            <w:tcW w:w="4214" w:type="pct"/>
            <w:gridSpan w:val="2"/>
            <w:shd w:val="clear" w:color="auto" w:fill="auto"/>
          </w:tcPr>
          <w:p w14:paraId="732AD81B" w14:textId="2B6836D8" w:rsidR="00BE738D" w:rsidRPr="00604494" w:rsidRDefault="00C06117"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hint="cs"/>
                <w:sz w:val="24"/>
                <w:szCs w:val="24"/>
                <w:rtl/>
                <w:lang w:val="en-GB"/>
              </w:rPr>
              <w:t>ال</w:t>
            </w:r>
            <w:r w:rsidR="00115376" w:rsidRPr="00604494">
              <w:rPr>
                <w:rFonts w:asciiTheme="majorBidi" w:hAnsiTheme="majorBidi"/>
                <w:sz w:val="24"/>
                <w:szCs w:val="24"/>
                <w:rtl/>
                <w:lang w:val="en-GB"/>
              </w:rPr>
              <w:t xml:space="preserve">مجتمع </w:t>
            </w:r>
            <w:r w:rsidRPr="00604494">
              <w:rPr>
                <w:rFonts w:asciiTheme="majorBidi" w:hAnsiTheme="majorBidi" w:hint="cs"/>
                <w:sz w:val="24"/>
                <w:szCs w:val="24"/>
                <w:rtl/>
                <w:lang w:val="en-GB"/>
              </w:rPr>
              <w:t>ال</w:t>
            </w:r>
            <w:r w:rsidR="00BE738D" w:rsidRPr="00604494">
              <w:rPr>
                <w:rFonts w:asciiTheme="majorBidi" w:hAnsiTheme="majorBidi"/>
                <w:sz w:val="24"/>
                <w:szCs w:val="24"/>
                <w:rtl/>
                <w:lang w:val="en-GB"/>
              </w:rPr>
              <w:t>مدني</w:t>
            </w:r>
          </w:p>
          <w:p w14:paraId="4DB173AD" w14:textId="3C3FE843" w:rsidR="00BE738D" w:rsidRPr="00604494" w:rsidRDefault="00C06117"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hint="cs"/>
                <w:sz w:val="24"/>
                <w:szCs w:val="24"/>
                <w:rtl/>
                <w:lang w:val="en-GB"/>
              </w:rPr>
              <w:t>ال</w:t>
            </w:r>
            <w:r w:rsidR="00BE738D" w:rsidRPr="00604494">
              <w:rPr>
                <w:rFonts w:asciiTheme="majorBidi" w:hAnsiTheme="majorBidi"/>
                <w:sz w:val="24"/>
                <w:szCs w:val="24"/>
                <w:rtl/>
                <w:lang w:val="en-GB"/>
              </w:rPr>
              <w:t xml:space="preserve">بيئة </w:t>
            </w:r>
            <w:r w:rsidRPr="00604494">
              <w:rPr>
                <w:rFonts w:asciiTheme="majorBidi" w:hAnsiTheme="majorBidi" w:hint="cs"/>
                <w:sz w:val="24"/>
                <w:szCs w:val="24"/>
                <w:rtl/>
                <w:lang w:val="en-GB"/>
              </w:rPr>
              <w:t>المواتية</w:t>
            </w:r>
          </w:p>
          <w:p w14:paraId="2BAF9508" w14:textId="57D5E7D2" w:rsidR="00BE738D" w:rsidRPr="00604494" w:rsidRDefault="00115376"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sz w:val="24"/>
                <w:szCs w:val="24"/>
                <w:rtl/>
                <w:lang w:val="en-GB"/>
              </w:rPr>
              <w:t xml:space="preserve">جماعات أو مجموعات أو أحيانًا </w:t>
            </w:r>
            <w:r w:rsidR="00BE738D" w:rsidRPr="00604494">
              <w:rPr>
                <w:rFonts w:asciiTheme="majorBidi" w:hAnsiTheme="majorBidi"/>
                <w:sz w:val="24"/>
                <w:szCs w:val="24"/>
                <w:rtl/>
                <w:lang w:val="en-GB"/>
              </w:rPr>
              <w:t>أفراد</w:t>
            </w:r>
          </w:p>
          <w:p w14:paraId="09F51DF0" w14:textId="349CEB09" w:rsidR="00BE738D" w:rsidRPr="00604494" w:rsidRDefault="00C06117"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hint="cs"/>
                <w:sz w:val="24"/>
                <w:szCs w:val="24"/>
                <w:rtl/>
                <w:lang w:val="en-GB"/>
              </w:rPr>
              <w:t>ال</w:t>
            </w:r>
            <w:r w:rsidR="00115376" w:rsidRPr="00604494">
              <w:rPr>
                <w:rFonts w:asciiTheme="majorBidi" w:hAnsiTheme="majorBidi"/>
                <w:sz w:val="24"/>
                <w:szCs w:val="24"/>
                <w:rtl/>
                <w:lang w:val="en-GB"/>
              </w:rPr>
              <w:t xml:space="preserve">دراسات </w:t>
            </w:r>
            <w:r w:rsidR="00D87129" w:rsidRPr="00604494">
              <w:rPr>
                <w:rFonts w:asciiTheme="majorBidi" w:hAnsiTheme="majorBidi" w:hint="cs"/>
                <w:sz w:val="24"/>
                <w:szCs w:val="24"/>
                <w:rtl/>
                <w:lang w:val="en-GB"/>
              </w:rPr>
              <w:t>ال</w:t>
            </w:r>
            <w:r w:rsidR="00115376" w:rsidRPr="00604494">
              <w:rPr>
                <w:rFonts w:asciiTheme="majorBidi" w:hAnsiTheme="majorBidi"/>
                <w:sz w:val="24"/>
                <w:szCs w:val="24"/>
                <w:rtl/>
                <w:lang w:val="en-GB"/>
              </w:rPr>
              <w:t>علمية و</w:t>
            </w:r>
            <w:r w:rsidRPr="00604494">
              <w:rPr>
                <w:rFonts w:asciiTheme="majorBidi" w:hAnsiTheme="majorBidi" w:hint="cs"/>
                <w:sz w:val="24"/>
                <w:szCs w:val="24"/>
                <w:rtl/>
                <w:lang w:val="en-GB"/>
              </w:rPr>
              <w:t>ال</w:t>
            </w:r>
            <w:r w:rsidR="00115376" w:rsidRPr="00604494">
              <w:rPr>
                <w:rFonts w:asciiTheme="majorBidi" w:hAnsiTheme="majorBidi"/>
                <w:sz w:val="24"/>
                <w:szCs w:val="24"/>
                <w:rtl/>
                <w:lang w:val="en-GB"/>
              </w:rPr>
              <w:t>تق</w:t>
            </w:r>
            <w:r w:rsidR="00115376" w:rsidRPr="00604494">
              <w:rPr>
                <w:rFonts w:asciiTheme="majorBidi" w:hAnsiTheme="majorBidi" w:hint="cs"/>
                <w:sz w:val="24"/>
                <w:szCs w:val="24"/>
                <w:rtl/>
                <w:lang w:val="en-GB"/>
              </w:rPr>
              <w:t>ن</w:t>
            </w:r>
            <w:r w:rsidR="00115376" w:rsidRPr="00604494">
              <w:rPr>
                <w:rFonts w:asciiTheme="majorBidi" w:hAnsiTheme="majorBidi"/>
                <w:sz w:val="24"/>
                <w:szCs w:val="24"/>
                <w:rtl/>
                <w:lang w:val="en-GB"/>
              </w:rPr>
              <w:t>ية و</w:t>
            </w:r>
            <w:r w:rsidRPr="00604494">
              <w:rPr>
                <w:rFonts w:asciiTheme="majorBidi" w:hAnsiTheme="majorBidi" w:hint="cs"/>
                <w:sz w:val="24"/>
                <w:szCs w:val="24"/>
                <w:rtl/>
                <w:lang w:val="en-GB"/>
              </w:rPr>
              <w:t>ال</w:t>
            </w:r>
            <w:r w:rsidR="00BE738D" w:rsidRPr="00604494">
              <w:rPr>
                <w:rFonts w:asciiTheme="majorBidi" w:hAnsiTheme="majorBidi"/>
                <w:sz w:val="24"/>
                <w:szCs w:val="24"/>
                <w:rtl/>
                <w:lang w:val="en-GB"/>
              </w:rPr>
              <w:t>فنية</w:t>
            </w:r>
          </w:p>
          <w:p w14:paraId="1B8A4559" w14:textId="3DB0EE4D" w:rsidR="00BE738D" w:rsidRPr="00604494" w:rsidRDefault="00C06117"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hint="cs"/>
                <w:sz w:val="24"/>
                <w:szCs w:val="24"/>
                <w:rtl/>
                <w:lang w:val="en-GB"/>
              </w:rPr>
              <w:t>ال</w:t>
            </w:r>
            <w:r w:rsidR="00115376" w:rsidRPr="00604494">
              <w:rPr>
                <w:rFonts w:asciiTheme="majorBidi" w:hAnsiTheme="majorBidi"/>
                <w:sz w:val="24"/>
                <w:szCs w:val="24"/>
                <w:rtl/>
                <w:lang w:val="en-GB"/>
              </w:rPr>
              <w:t xml:space="preserve">منظمات غير </w:t>
            </w:r>
            <w:r w:rsidRPr="00604494">
              <w:rPr>
                <w:rFonts w:asciiTheme="majorBidi" w:hAnsiTheme="majorBidi" w:hint="cs"/>
                <w:sz w:val="24"/>
                <w:szCs w:val="24"/>
                <w:rtl/>
                <w:lang w:val="en-GB"/>
              </w:rPr>
              <w:t>ال</w:t>
            </w:r>
            <w:r w:rsidR="00BE738D" w:rsidRPr="00604494">
              <w:rPr>
                <w:rFonts w:asciiTheme="majorBidi" w:hAnsiTheme="majorBidi"/>
                <w:sz w:val="24"/>
                <w:szCs w:val="24"/>
                <w:rtl/>
                <w:lang w:val="en-GB"/>
              </w:rPr>
              <w:t>حكومية</w:t>
            </w:r>
          </w:p>
          <w:p w14:paraId="229333E9" w14:textId="290CF603" w:rsidR="00BE738D" w:rsidRPr="00604494" w:rsidRDefault="00115376" w:rsidP="009B48AA">
            <w:pPr>
              <w:pStyle w:val="ListParagraph"/>
              <w:numPr>
                <w:ilvl w:val="0"/>
                <w:numId w:val="71"/>
              </w:numPr>
              <w:bidi/>
              <w:spacing w:before="120"/>
              <w:jc w:val="both"/>
              <w:rPr>
                <w:rFonts w:asciiTheme="majorBidi" w:hAnsiTheme="majorBidi" w:cstheme="majorBidi"/>
                <w:sz w:val="24"/>
                <w:szCs w:val="24"/>
                <w:lang w:val="en-GB"/>
              </w:rPr>
            </w:pPr>
            <w:r w:rsidRPr="00604494">
              <w:rPr>
                <w:rFonts w:asciiTheme="majorBidi" w:hAnsiTheme="majorBidi"/>
                <w:sz w:val="24"/>
                <w:szCs w:val="24"/>
                <w:rtl/>
                <w:lang w:val="en-GB"/>
              </w:rPr>
              <w:t xml:space="preserve">مؤسسات </w:t>
            </w:r>
            <w:r w:rsidR="00C06117" w:rsidRPr="00604494">
              <w:rPr>
                <w:rFonts w:asciiTheme="majorBidi" w:hAnsiTheme="majorBidi" w:hint="cs"/>
                <w:sz w:val="24"/>
                <w:szCs w:val="24"/>
                <w:rtl/>
                <w:lang w:val="en-GB"/>
              </w:rPr>
              <w:t>ال</w:t>
            </w:r>
            <w:r w:rsidR="00992AF7" w:rsidRPr="00604494">
              <w:rPr>
                <w:rFonts w:asciiTheme="majorBidi" w:hAnsiTheme="majorBidi" w:hint="cs"/>
                <w:sz w:val="24"/>
                <w:szCs w:val="24"/>
                <w:rtl/>
                <w:lang w:val="en-GB"/>
              </w:rPr>
              <w:t>بحوث</w:t>
            </w:r>
          </w:p>
          <w:p w14:paraId="2D4C4A81" w14:textId="14CE8967" w:rsidR="00612088" w:rsidRPr="00604494" w:rsidRDefault="00115376" w:rsidP="009B48AA">
            <w:pPr>
              <w:pStyle w:val="ListParagraph"/>
              <w:numPr>
                <w:ilvl w:val="0"/>
                <w:numId w:val="71"/>
              </w:numPr>
              <w:bidi/>
              <w:spacing w:before="120" w:after="120"/>
              <w:jc w:val="both"/>
              <w:rPr>
                <w:rFonts w:asciiTheme="majorBidi" w:hAnsiTheme="majorBidi" w:cstheme="majorBidi"/>
                <w:sz w:val="24"/>
                <w:szCs w:val="24"/>
                <w:lang w:val="en-GB"/>
              </w:rPr>
            </w:pPr>
            <w:r w:rsidRPr="00604494">
              <w:rPr>
                <w:rFonts w:asciiTheme="majorBidi" w:hAnsiTheme="majorBidi"/>
                <w:sz w:val="24"/>
                <w:szCs w:val="24"/>
                <w:rtl/>
                <w:lang w:val="en-GB"/>
              </w:rPr>
              <w:t xml:space="preserve">مراكز </w:t>
            </w:r>
            <w:r w:rsidR="00C06117" w:rsidRPr="00604494">
              <w:rPr>
                <w:rFonts w:asciiTheme="majorBidi" w:hAnsiTheme="majorBidi" w:hint="cs"/>
                <w:sz w:val="24"/>
                <w:szCs w:val="24"/>
                <w:rtl/>
                <w:lang w:val="en-GB"/>
              </w:rPr>
              <w:t>ال</w:t>
            </w:r>
            <w:r w:rsidR="00BE738D" w:rsidRPr="00604494">
              <w:rPr>
                <w:rFonts w:asciiTheme="majorBidi" w:hAnsiTheme="majorBidi"/>
                <w:sz w:val="24"/>
                <w:szCs w:val="24"/>
                <w:rtl/>
                <w:lang w:val="en-GB"/>
              </w:rPr>
              <w:t>خبرات</w:t>
            </w:r>
          </w:p>
        </w:tc>
      </w:tr>
    </w:tbl>
    <w:p w14:paraId="524C4811" w14:textId="77777777" w:rsidR="0054175C" w:rsidRPr="007F2D62" w:rsidRDefault="0054175C" w:rsidP="009B48AA">
      <w:pPr>
        <w:bidi/>
        <w:jc w:val="center"/>
        <w:rPr>
          <w:rFonts w:asciiTheme="majorBidi" w:hAnsiTheme="majorBidi" w:cstheme="majorBidi"/>
          <w:b/>
          <w:sz w:val="24"/>
        </w:rPr>
        <w:sectPr w:rsidR="0054175C" w:rsidRPr="007F2D62" w:rsidSect="000F25BA">
          <w:footerReference w:type="default" r:id="rId8"/>
          <w:pgSz w:w="11906" w:h="16838" w:code="9"/>
          <w:pgMar w:top="1418" w:right="1134" w:bottom="1134" w:left="1134" w:header="397" w:footer="284" w:gutter="0"/>
          <w:cols w:space="708"/>
          <w:docGrid w:linePitch="360"/>
        </w:sectPr>
      </w:pPr>
    </w:p>
    <w:p w14:paraId="355E3E7B" w14:textId="0CBBEED4" w:rsidR="00411977" w:rsidRPr="00992AF7" w:rsidRDefault="00411977" w:rsidP="009B48AA">
      <w:pPr>
        <w:keepNext/>
        <w:bidi/>
        <w:jc w:val="center"/>
        <w:rPr>
          <w:rFonts w:asciiTheme="majorBidi" w:hAnsiTheme="majorBidi" w:cstheme="majorBidi"/>
          <w:b/>
          <w:bCs/>
          <w:sz w:val="28"/>
          <w:szCs w:val="28"/>
        </w:rPr>
      </w:pPr>
      <w:r w:rsidRPr="00992AF7">
        <w:rPr>
          <w:rFonts w:asciiTheme="majorBidi" w:hAnsiTheme="majorBidi" w:hint="cs"/>
          <w:b/>
          <w:bCs/>
          <w:sz w:val="28"/>
          <w:szCs w:val="28"/>
          <w:rtl/>
        </w:rPr>
        <w:t xml:space="preserve">التوجيهات المحددة بشأن الرصد </w:t>
      </w:r>
      <w:r w:rsidR="00992AF7" w:rsidRPr="00992AF7">
        <w:rPr>
          <w:rFonts w:asciiTheme="majorBidi" w:hAnsiTheme="majorBidi" w:hint="cs"/>
          <w:b/>
          <w:bCs/>
          <w:sz w:val="28"/>
          <w:szCs w:val="28"/>
          <w:rtl/>
        </w:rPr>
        <w:t>وال</w:t>
      </w:r>
      <w:r w:rsidR="00EB69A2">
        <w:rPr>
          <w:rFonts w:asciiTheme="majorBidi" w:hAnsiTheme="majorBidi" w:hint="cs"/>
          <w:b/>
          <w:bCs/>
          <w:sz w:val="28"/>
          <w:szCs w:val="28"/>
          <w:rtl/>
        </w:rPr>
        <w:t>تقرير</w:t>
      </w:r>
      <w:r w:rsidRPr="00992AF7">
        <w:rPr>
          <w:rFonts w:asciiTheme="majorBidi" w:hAnsiTheme="majorBidi" w:hint="cs"/>
          <w:b/>
          <w:bCs/>
          <w:sz w:val="28"/>
          <w:szCs w:val="28"/>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B11C38" w14:paraId="7E5BA833" w14:textId="77777777" w:rsidTr="007F2D62">
        <w:tc>
          <w:tcPr>
            <w:tcW w:w="730" w:type="pct"/>
            <w:shd w:val="clear" w:color="auto" w:fill="auto"/>
          </w:tcPr>
          <w:p w14:paraId="61F8288D" w14:textId="29D93BFB" w:rsidR="002C28BA" w:rsidRPr="00B11C38" w:rsidRDefault="00411977" w:rsidP="009B48AA">
            <w:pPr>
              <w:bidi/>
              <w:spacing w:before="120"/>
              <w:rPr>
                <w:rFonts w:asciiTheme="majorBidi" w:hAnsiTheme="majorBidi" w:cstheme="majorBidi"/>
                <w:b/>
                <w:sz w:val="24"/>
              </w:rPr>
            </w:pPr>
            <w:r w:rsidRPr="00B11C38">
              <w:rPr>
                <w:rFonts w:asciiTheme="majorBidi" w:hAnsiTheme="majorBidi"/>
                <w:b/>
                <w:bCs/>
                <w:sz w:val="24"/>
                <w:rtl/>
              </w:rPr>
              <w:t>فوائد الرصد</w:t>
            </w:r>
          </w:p>
        </w:tc>
        <w:tc>
          <w:tcPr>
            <w:tcW w:w="4270" w:type="pct"/>
            <w:shd w:val="clear" w:color="auto" w:fill="auto"/>
          </w:tcPr>
          <w:p w14:paraId="0838993F" w14:textId="2002EA04" w:rsidR="002C28BA" w:rsidRPr="00B11C38" w:rsidRDefault="0095324A" w:rsidP="009B48AA">
            <w:pPr>
              <w:keepLines/>
              <w:bidi/>
              <w:spacing w:before="120"/>
              <w:jc w:val="both"/>
              <w:rPr>
                <w:rFonts w:asciiTheme="majorBidi" w:hAnsiTheme="majorBidi" w:cstheme="majorBidi"/>
                <w:b/>
                <w:sz w:val="24"/>
              </w:rPr>
            </w:pPr>
            <w:r w:rsidRPr="00B11C38">
              <w:rPr>
                <w:rFonts w:asciiTheme="majorBidi" w:hAnsiTheme="majorBidi"/>
                <w:b/>
                <w:sz w:val="24"/>
                <w:rtl/>
              </w:rPr>
              <w:t xml:space="preserve">يسلط رصد هذا المؤشر الضوء على عملية الرصد نفسها، ويمكن أن يساعد الدولة على تحديد ما إذا كانت هذه العملية تستفيد من مشاركة مجموعة واسعة من الجهات الفاعلة للمجتمع المدني </w:t>
            </w:r>
            <w:r w:rsidR="00115376" w:rsidRPr="00B11C38">
              <w:rPr>
                <w:rFonts w:asciiTheme="majorBidi" w:hAnsiTheme="majorBidi" w:hint="cs"/>
                <w:b/>
                <w:sz w:val="24"/>
                <w:rtl/>
              </w:rPr>
              <w:t>المشاركة</w:t>
            </w:r>
            <w:r w:rsidRPr="00B11C38">
              <w:rPr>
                <w:rFonts w:asciiTheme="majorBidi" w:hAnsiTheme="majorBidi"/>
                <w:b/>
                <w:sz w:val="24"/>
                <w:rtl/>
              </w:rPr>
              <w:t xml:space="preserve"> في التراث الثقافي غير المادي، وكذلك ما إذا كانت العملية مستنيرة بدراسات صون التراث الثقافي غير المادي التي أُجريت من زوايا مختلفة. ويمكن أن يحدد رصد هذا المؤشر الفرص الأخرى ل</w:t>
            </w:r>
            <w:r w:rsidR="005C5F33">
              <w:rPr>
                <w:rFonts w:asciiTheme="majorBidi" w:hAnsiTheme="majorBidi" w:hint="cs"/>
                <w:b/>
                <w:sz w:val="24"/>
                <w:rtl/>
              </w:rPr>
              <w:t>ل</w:t>
            </w:r>
            <w:r w:rsidRPr="00B11C38">
              <w:rPr>
                <w:rFonts w:asciiTheme="majorBidi" w:hAnsiTheme="majorBidi"/>
                <w:b/>
                <w:sz w:val="24"/>
                <w:rtl/>
              </w:rPr>
              <w:t xml:space="preserve">مشاركة </w:t>
            </w:r>
            <w:r w:rsidR="005C5F33" w:rsidRPr="00B11C38">
              <w:rPr>
                <w:rFonts w:asciiTheme="majorBidi" w:hAnsiTheme="majorBidi"/>
                <w:b/>
                <w:sz w:val="24"/>
                <w:rtl/>
              </w:rPr>
              <w:t>الكاملة</w:t>
            </w:r>
            <w:r w:rsidR="005C5F33">
              <w:rPr>
                <w:rFonts w:asciiTheme="majorBidi" w:hAnsiTheme="majorBidi" w:hint="cs"/>
                <w:b/>
                <w:sz w:val="24"/>
                <w:rtl/>
              </w:rPr>
              <w:t xml:space="preserve"> من جانب </w:t>
            </w:r>
            <w:r w:rsidRPr="00B11C38">
              <w:rPr>
                <w:rFonts w:asciiTheme="majorBidi" w:hAnsiTheme="majorBidi"/>
                <w:b/>
                <w:sz w:val="24"/>
                <w:rtl/>
              </w:rPr>
              <w:t>تلك الجهات الفاعلة في الرصد والدراسات الجارية والمستقبلية. ويمكن أن يقدم رصد هذا المؤشر، على الصعيد العالمي، أمثلة على الآليات الفعالة لإشراك المجتمع المدني في عملية الرصد والدراسات ذات الصلة، كما يمكن أن يحدد ما إذا كانت الدول تستغل معرفة ووجهات نظر الجهات الفاعلة في المجتمع المدني.</w:t>
            </w:r>
          </w:p>
        </w:tc>
      </w:tr>
      <w:tr w:rsidR="0054175C" w:rsidRPr="00B11C38" w14:paraId="4027D324" w14:textId="77777777" w:rsidTr="007F2D62">
        <w:tc>
          <w:tcPr>
            <w:tcW w:w="730" w:type="pct"/>
            <w:shd w:val="clear" w:color="auto" w:fill="auto"/>
          </w:tcPr>
          <w:p w14:paraId="1D50B413" w14:textId="08B9E8DD" w:rsidR="0054175C" w:rsidRPr="00B11C38" w:rsidRDefault="00411977" w:rsidP="009B48AA">
            <w:pPr>
              <w:bidi/>
              <w:spacing w:before="120"/>
              <w:rPr>
                <w:rFonts w:asciiTheme="majorBidi" w:hAnsiTheme="majorBidi" w:cstheme="majorBidi"/>
                <w:b/>
                <w:sz w:val="24"/>
              </w:rPr>
            </w:pPr>
            <w:r w:rsidRPr="00B11C38">
              <w:rPr>
                <w:rFonts w:asciiTheme="majorBidi" w:hAnsiTheme="majorBidi"/>
                <w:b/>
                <w:bCs/>
                <w:sz w:val="24"/>
                <w:rtl/>
              </w:rPr>
              <w:t>مصادر البيانات وجمعها</w:t>
            </w:r>
          </w:p>
        </w:tc>
        <w:tc>
          <w:tcPr>
            <w:tcW w:w="4270" w:type="pct"/>
            <w:shd w:val="clear" w:color="auto" w:fill="auto"/>
          </w:tcPr>
          <w:p w14:paraId="38956FE3" w14:textId="1EC52A9E" w:rsidR="005D0EFA" w:rsidRPr="00B11C38" w:rsidRDefault="005D0EFA" w:rsidP="009B48AA">
            <w:pPr>
              <w:keepNext/>
              <w:keepLines/>
              <w:bidi/>
              <w:spacing w:before="120" w:after="60"/>
              <w:jc w:val="both"/>
              <w:rPr>
                <w:rFonts w:asciiTheme="majorBidi" w:hAnsiTheme="majorBidi"/>
                <w:sz w:val="24"/>
                <w:rtl/>
              </w:rPr>
            </w:pPr>
            <w:r w:rsidRPr="00B11C38">
              <w:rPr>
                <w:rFonts w:asciiTheme="majorBidi" w:hAnsiTheme="majorBidi"/>
                <w:sz w:val="24"/>
                <w:rtl/>
              </w:rPr>
              <w:t>نظرًا لأن هذا المؤشر يركز على عملية الرصد نفسها، فقد يحتاج المسؤولون عن الرصد و</w:t>
            </w:r>
            <w:r w:rsidR="005C5F33">
              <w:rPr>
                <w:rFonts w:asciiTheme="majorBidi" w:hAnsiTheme="majorBidi" w:hint="cs"/>
                <w:sz w:val="24"/>
                <w:rtl/>
              </w:rPr>
              <w:t xml:space="preserve">الإبلاغ </w:t>
            </w:r>
            <w:r w:rsidRPr="00B11C38">
              <w:rPr>
                <w:rFonts w:asciiTheme="majorBidi" w:hAnsiTheme="majorBidi"/>
                <w:sz w:val="24"/>
                <w:rtl/>
              </w:rPr>
              <w:t>نيابة عن الدولة إلى التشاور مع الجماعات، والمنظمات غير الحكومية، والأطراف المعنية الآخرين الممكن أن يساهموا في عملية الرصد على أصعدة مختلفة. ستوفر هيئة استشارية أو آلية تنسيق، إن وجدت، منتدى مهم للجمع بين مختلف الجهات الفاعلة لتخطيط أنشطة الرصد، والإشراف عليها، وتنفيذها، وتقييمها.</w:t>
            </w:r>
          </w:p>
          <w:p w14:paraId="272EA3DB" w14:textId="016FC998" w:rsidR="0054175C" w:rsidRPr="00B11C38" w:rsidRDefault="00411977" w:rsidP="009B48AA">
            <w:pPr>
              <w:keepNext/>
              <w:keepLines/>
              <w:bidi/>
              <w:spacing w:before="120" w:after="60"/>
              <w:jc w:val="both"/>
              <w:rPr>
                <w:rFonts w:asciiTheme="majorBidi" w:hAnsiTheme="majorBidi" w:cstheme="majorBidi"/>
                <w:b/>
                <w:sz w:val="24"/>
              </w:rPr>
            </w:pPr>
            <w:r w:rsidRPr="00B11C38">
              <w:rPr>
                <w:rFonts w:asciiTheme="majorBidi" w:hAnsiTheme="majorBidi" w:cstheme="majorBidi" w:hint="cs"/>
                <w:b/>
                <w:bCs/>
                <w:sz w:val="24"/>
                <w:rtl/>
              </w:rPr>
              <w:t>مصادر البيانات المحتملة</w:t>
            </w:r>
          </w:p>
          <w:p w14:paraId="3B6E9B75" w14:textId="627DFEE9" w:rsidR="005D0EFA" w:rsidRPr="00B11C38" w:rsidRDefault="002362D2" w:rsidP="009B48AA">
            <w:pPr>
              <w:pStyle w:val="ListParagraph"/>
              <w:numPr>
                <w:ilvl w:val="0"/>
                <w:numId w:val="73"/>
              </w:numPr>
              <w:bidi/>
              <w:spacing w:before="120"/>
              <w:jc w:val="both"/>
              <w:rPr>
                <w:rFonts w:asciiTheme="majorBidi" w:hAnsiTheme="majorBidi" w:cstheme="majorBidi"/>
                <w:sz w:val="24"/>
                <w:szCs w:val="24"/>
                <w:lang w:val="en-GB"/>
              </w:rPr>
            </w:pPr>
            <w:r w:rsidRPr="00B11C38">
              <w:rPr>
                <w:rFonts w:asciiTheme="majorBidi" w:hAnsiTheme="majorBidi"/>
                <w:sz w:val="24"/>
                <w:szCs w:val="24"/>
                <w:rtl/>
                <w:lang w:val="en-GB"/>
              </w:rPr>
              <w:t xml:space="preserve">خطط عمل </w:t>
            </w:r>
            <w:r w:rsidRPr="00B11C38">
              <w:rPr>
                <w:rFonts w:asciiTheme="majorBidi" w:hAnsiTheme="majorBidi" w:hint="cs"/>
                <w:sz w:val="24"/>
                <w:szCs w:val="24"/>
                <w:rtl/>
                <w:lang w:val="en-GB"/>
              </w:rPr>
              <w:t>ال</w:t>
            </w:r>
            <w:r w:rsidRPr="00B11C38">
              <w:rPr>
                <w:rFonts w:asciiTheme="majorBidi" w:hAnsiTheme="majorBidi"/>
                <w:sz w:val="24"/>
                <w:szCs w:val="24"/>
                <w:rtl/>
                <w:lang w:val="en-GB"/>
              </w:rPr>
              <w:t xml:space="preserve">هيئة </w:t>
            </w:r>
            <w:r w:rsidRPr="00B11C38">
              <w:rPr>
                <w:rFonts w:asciiTheme="majorBidi" w:hAnsiTheme="majorBidi" w:hint="cs"/>
                <w:sz w:val="24"/>
                <w:szCs w:val="24"/>
                <w:rtl/>
                <w:lang w:val="en-GB"/>
              </w:rPr>
              <w:t>ال</w:t>
            </w:r>
            <w:r w:rsidR="005D0EFA" w:rsidRPr="00B11C38">
              <w:rPr>
                <w:rFonts w:asciiTheme="majorBidi" w:hAnsiTheme="majorBidi"/>
                <w:sz w:val="24"/>
                <w:szCs w:val="24"/>
                <w:rtl/>
                <w:lang w:val="en-GB"/>
              </w:rPr>
              <w:t>مسؤولة عن الرصد و</w:t>
            </w:r>
            <w:r w:rsidR="005C5F33">
              <w:rPr>
                <w:rFonts w:asciiTheme="majorBidi" w:hAnsiTheme="majorBidi" w:hint="cs"/>
                <w:sz w:val="24"/>
                <w:szCs w:val="24"/>
                <w:rtl/>
                <w:lang w:val="en-GB"/>
              </w:rPr>
              <w:t>ال</w:t>
            </w:r>
            <w:r w:rsidR="00EB69A2">
              <w:rPr>
                <w:rFonts w:asciiTheme="majorBidi" w:hAnsiTheme="majorBidi" w:hint="cs"/>
                <w:sz w:val="24"/>
                <w:szCs w:val="24"/>
                <w:rtl/>
                <w:lang w:val="en-GB"/>
              </w:rPr>
              <w:t xml:space="preserve">تقرير </w:t>
            </w:r>
          </w:p>
          <w:p w14:paraId="1D4EBB16" w14:textId="77777777" w:rsidR="005D0EFA" w:rsidRPr="00B11C38" w:rsidRDefault="005D0EFA" w:rsidP="009B48AA">
            <w:pPr>
              <w:pStyle w:val="ListParagraph"/>
              <w:numPr>
                <w:ilvl w:val="0"/>
                <w:numId w:val="73"/>
              </w:numPr>
              <w:bidi/>
              <w:spacing w:before="120"/>
              <w:jc w:val="both"/>
              <w:rPr>
                <w:rFonts w:asciiTheme="majorBidi" w:hAnsiTheme="majorBidi" w:cstheme="majorBidi"/>
                <w:sz w:val="24"/>
                <w:szCs w:val="24"/>
                <w:lang w:val="en-GB"/>
              </w:rPr>
            </w:pPr>
            <w:r w:rsidRPr="00B11C38">
              <w:rPr>
                <w:rFonts w:asciiTheme="majorBidi" w:hAnsiTheme="majorBidi"/>
                <w:sz w:val="24"/>
                <w:szCs w:val="24"/>
                <w:rtl/>
                <w:lang w:val="en-GB"/>
              </w:rPr>
              <w:t>خطط عمل، وجداول أعمال، ومحاضر هيئة استشارية أو آلية تنسيق</w:t>
            </w:r>
          </w:p>
          <w:p w14:paraId="706BFDD3" w14:textId="4987C2DB" w:rsidR="005D0EFA" w:rsidRPr="00B11C38" w:rsidRDefault="005D0EFA" w:rsidP="009B48AA">
            <w:pPr>
              <w:pStyle w:val="ListParagraph"/>
              <w:numPr>
                <w:ilvl w:val="0"/>
                <w:numId w:val="73"/>
              </w:numPr>
              <w:bidi/>
              <w:spacing w:before="120"/>
              <w:jc w:val="both"/>
              <w:rPr>
                <w:rFonts w:asciiTheme="majorBidi" w:hAnsiTheme="majorBidi" w:cstheme="majorBidi"/>
                <w:sz w:val="24"/>
                <w:szCs w:val="24"/>
                <w:lang w:val="en-GB"/>
              </w:rPr>
            </w:pPr>
            <w:r w:rsidRPr="00B11C38">
              <w:rPr>
                <w:rFonts w:asciiTheme="majorBidi" w:hAnsiTheme="majorBidi" w:hint="cs"/>
                <w:sz w:val="24"/>
                <w:szCs w:val="24"/>
                <w:rtl/>
                <w:lang w:val="en-GB"/>
              </w:rPr>
              <w:t>ببليوجرافيات</w:t>
            </w:r>
            <w:r w:rsidRPr="00B11C38">
              <w:rPr>
                <w:rFonts w:asciiTheme="majorBidi" w:hAnsiTheme="majorBidi"/>
                <w:sz w:val="24"/>
                <w:szCs w:val="24"/>
                <w:rtl/>
                <w:lang w:val="en-GB"/>
              </w:rPr>
              <w:t xml:space="preserve"> أو كتالوجات ناشرين أو استعراضات أعمال </w:t>
            </w:r>
            <w:r w:rsidR="002362D2" w:rsidRPr="00B11C38">
              <w:rPr>
                <w:rFonts w:asciiTheme="majorBidi" w:hAnsiTheme="majorBidi" w:hint="cs"/>
                <w:sz w:val="24"/>
                <w:szCs w:val="24"/>
                <w:rtl/>
                <w:lang w:val="en-GB"/>
              </w:rPr>
              <w:t>مطبوعة</w:t>
            </w:r>
          </w:p>
          <w:p w14:paraId="79F588C0" w14:textId="055FFDAD" w:rsidR="005D0EFA" w:rsidRPr="00B11C38" w:rsidRDefault="002362D2" w:rsidP="009B48AA">
            <w:pPr>
              <w:pStyle w:val="ListParagraph"/>
              <w:numPr>
                <w:ilvl w:val="0"/>
                <w:numId w:val="73"/>
              </w:numPr>
              <w:bidi/>
              <w:spacing w:before="120"/>
              <w:jc w:val="both"/>
              <w:rPr>
                <w:rFonts w:asciiTheme="majorBidi" w:hAnsiTheme="majorBidi" w:cstheme="majorBidi"/>
                <w:sz w:val="24"/>
                <w:szCs w:val="24"/>
                <w:lang w:val="en-GB"/>
              </w:rPr>
            </w:pPr>
            <w:r w:rsidRPr="00B11C38">
              <w:rPr>
                <w:rFonts w:asciiTheme="majorBidi" w:hAnsiTheme="majorBidi"/>
                <w:sz w:val="24"/>
                <w:szCs w:val="24"/>
                <w:rtl/>
                <w:lang w:val="en-GB"/>
              </w:rPr>
              <w:t xml:space="preserve">جداول أعمال </w:t>
            </w:r>
            <w:r w:rsidR="005D0EFA" w:rsidRPr="00B11C38">
              <w:rPr>
                <w:rFonts w:asciiTheme="majorBidi" w:hAnsiTheme="majorBidi"/>
                <w:sz w:val="24"/>
                <w:szCs w:val="24"/>
                <w:rtl/>
                <w:lang w:val="en-GB"/>
              </w:rPr>
              <w:t>مؤتمر أو إجرا</w:t>
            </w:r>
            <w:r w:rsidRPr="00B11C38">
              <w:rPr>
                <w:rFonts w:asciiTheme="majorBidi" w:hAnsiTheme="majorBidi"/>
                <w:sz w:val="24"/>
                <w:szCs w:val="24"/>
                <w:rtl/>
                <w:lang w:val="en-GB"/>
              </w:rPr>
              <w:t xml:space="preserve">ءاته، بالإضافة إلى وثائق تصف عروض عامة </w:t>
            </w:r>
            <w:r w:rsidR="005D0EFA" w:rsidRPr="00B11C38">
              <w:rPr>
                <w:rFonts w:asciiTheme="majorBidi" w:hAnsiTheme="majorBidi"/>
                <w:sz w:val="24"/>
                <w:szCs w:val="24"/>
                <w:rtl/>
                <w:lang w:val="en-GB"/>
              </w:rPr>
              <w:t>أخرى وفعاليات منظمات غير حكومية أو جهات فاعلة أخرى في المجتمع المدني</w:t>
            </w:r>
          </w:p>
          <w:p w14:paraId="2E71005E" w14:textId="23154FD8" w:rsidR="007967CF" w:rsidRPr="00B11C38" w:rsidRDefault="002362D2" w:rsidP="009B48AA">
            <w:pPr>
              <w:pStyle w:val="ListParagraph"/>
              <w:numPr>
                <w:ilvl w:val="0"/>
                <w:numId w:val="73"/>
              </w:numPr>
              <w:bidi/>
              <w:spacing w:before="120"/>
              <w:jc w:val="both"/>
              <w:rPr>
                <w:rFonts w:asciiTheme="majorBidi" w:hAnsiTheme="majorBidi" w:cstheme="majorBidi"/>
                <w:sz w:val="24"/>
                <w:szCs w:val="24"/>
                <w:lang w:val="en-GB"/>
              </w:rPr>
            </w:pPr>
            <w:r w:rsidRPr="00B11C38">
              <w:rPr>
                <w:rFonts w:asciiTheme="majorBidi" w:hAnsiTheme="majorBidi"/>
                <w:sz w:val="24"/>
                <w:szCs w:val="24"/>
                <w:rtl/>
                <w:lang w:val="en-GB"/>
              </w:rPr>
              <w:t xml:space="preserve">تقارير دراسات </w:t>
            </w:r>
            <w:r w:rsidR="005D0EFA" w:rsidRPr="00B11C38">
              <w:rPr>
                <w:rFonts w:asciiTheme="majorBidi" w:hAnsiTheme="majorBidi"/>
                <w:sz w:val="24"/>
                <w:szCs w:val="24"/>
                <w:rtl/>
                <w:lang w:val="en-GB"/>
              </w:rPr>
              <w:t>أجرتها منظمات غير حكومية أو جهات فاعلة أخرى في المجتمع المدني</w:t>
            </w:r>
          </w:p>
        </w:tc>
      </w:tr>
    </w:tbl>
    <w:p w14:paraId="50BA222F" w14:textId="77777777" w:rsidR="00320242" w:rsidRPr="007F2D62" w:rsidRDefault="00320242" w:rsidP="009B48AA">
      <w:pPr>
        <w:bidi/>
        <w:rPr>
          <w:rFonts w:asciiTheme="majorBidi" w:hAnsiTheme="majorBidi" w:cstheme="majorBidi"/>
        </w:rPr>
      </w:pPr>
    </w:p>
    <w:sectPr w:rsidR="00320242" w:rsidRPr="007F2D62"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2362" w14:textId="77777777" w:rsidR="00DF6BDE" w:rsidRDefault="00DF6BDE" w:rsidP="002938F2">
      <w:r>
        <w:separator/>
      </w:r>
    </w:p>
    <w:p w14:paraId="74DB4D1A" w14:textId="77777777" w:rsidR="00DF6BDE" w:rsidRDefault="00DF6BDE"/>
  </w:endnote>
  <w:endnote w:type="continuationSeparator" w:id="0">
    <w:p w14:paraId="0A587A32" w14:textId="77777777" w:rsidR="00DF6BDE" w:rsidRDefault="00DF6BDE" w:rsidP="002938F2">
      <w:r>
        <w:continuationSeparator/>
      </w:r>
    </w:p>
    <w:p w14:paraId="7F5497F1" w14:textId="77777777" w:rsidR="00DF6BDE" w:rsidRDefault="00DF6BDE"/>
  </w:endnote>
  <w:endnote w:type="continuationNotice" w:id="1">
    <w:p w14:paraId="5C461515" w14:textId="77777777" w:rsidR="00DF6BDE" w:rsidRDefault="00DF6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333" w14:textId="4DE1E866" w:rsidR="00C04344" w:rsidRPr="000A0709" w:rsidRDefault="00A7634C" w:rsidP="00115376">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FA646B">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2970" w14:textId="77777777" w:rsidR="00DF6BDE" w:rsidRDefault="00DF6BDE" w:rsidP="002938F2">
      <w:r>
        <w:separator/>
      </w:r>
    </w:p>
  </w:footnote>
  <w:footnote w:type="continuationSeparator" w:id="0">
    <w:p w14:paraId="3C35F066" w14:textId="77777777" w:rsidR="00DF6BDE" w:rsidRDefault="00DF6BDE" w:rsidP="002938F2">
      <w:r>
        <w:continuationSeparator/>
      </w:r>
    </w:p>
    <w:p w14:paraId="7C545FA1" w14:textId="77777777" w:rsidR="00DF6BDE" w:rsidRDefault="00DF6BDE"/>
  </w:footnote>
  <w:footnote w:type="continuationNotice" w:id="1">
    <w:p w14:paraId="41DA0516" w14:textId="77777777" w:rsidR="00DF6BDE" w:rsidRDefault="00DF6B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2F00B4"/>
    <w:multiLevelType w:val="hybridMultilevel"/>
    <w:tmpl w:val="3E34D498"/>
    <w:lvl w:ilvl="0" w:tplc="C6983B52">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F50245"/>
    <w:multiLevelType w:val="hybridMultilevel"/>
    <w:tmpl w:val="0AC43B84"/>
    <w:lvl w:ilvl="0" w:tplc="564CFCE2">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3A12BC"/>
    <w:multiLevelType w:val="multilevel"/>
    <w:tmpl w:val="7B44865C"/>
    <w:lvl w:ilvl="0">
      <w:start w:val="2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7"/>
  </w:num>
  <w:num w:numId="3">
    <w:abstractNumId w:val="13"/>
  </w:num>
  <w:num w:numId="4">
    <w:abstractNumId w:val="57"/>
  </w:num>
  <w:num w:numId="5">
    <w:abstractNumId w:val="47"/>
  </w:num>
  <w:num w:numId="6">
    <w:abstractNumId w:val="4"/>
  </w:num>
  <w:num w:numId="7">
    <w:abstractNumId w:val="17"/>
  </w:num>
  <w:num w:numId="8">
    <w:abstractNumId w:val="26"/>
  </w:num>
  <w:num w:numId="9">
    <w:abstractNumId w:val="51"/>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40"/>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5"/>
  </w:num>
  <w:num w:numId="27">
    <w:abstractNumId w:val="26"/>
  </w:num>
  <w:num w:numId="28">
    <w:abstractNumId w:val="26"/>
  </w:num>
  <w:num w:numId="29">
    <w:abstractNumId w:val="26"/>
  </w:num>
  <w:num w:numId="30">
    <w:abstractNumId w:val="26"/>
  </w:num>
  <w:num w:numId="31">
    <w:abstractNumId w:val="11"/>
  </w:num>
  <w:num w:numId="32">
    <w:abstractNumId w:val="9"/>
  </w:num>
  <w:num w:numId="33">
    <w:abstractNumId w:val="18"/>
  </w:num>
  <w:num w:numId="34">
    <w:abstractNumId w:val="48"/>
  </w:num>
  <w:num w:numId="35">
    <w:abstractNumId w:val="22"/>
  </w:num>
  <w:num w:numId="36">
    <w:abstractNumId w:val="42"/>
  </w:num>
  <w:num w:numId="37">
    <w:abstractNumId w:val="19"/>
  </w:num>
  <w:num w:numId="38">
    <w:abstractNumId w:val="10"/>
  </w:num>
  <w:num w:numId="39">
    <w:abstractNumId w:val="7"/>
  </w:num>
  <w:num w:numId="40">
    <w:abstractNumId w:val="21"/>
  </w:num>
  <w:num w:numId="41">
    <w:abstractNumId w:val="56"/>
  </w:num>
  <w:num w:numId="42">
    <w:abstractNumId w:val="53"/>
  </w:num>
  <w:num w:numId="43">
    <w:abstractNumId w:val="30"/>
  </w:num>
  <w:num w:numId="44">
    <w:abstractNumId w:val="14"/>
  </w:num>
  <w:num w:numId="45">
    <w:abstractNumId w:val="54"/>
  </w:num>
  <w:num w:numId="46">
    <w:abstractNumId w:val="6"/>
  </w:num>
  <w:num w:numId="47">
    <w:abstractNumId w:val="37"/>
  </w:num>
  <w:num w:numId="48">
    <w:abstractNumId w:val="58"/>
  </w:num>
  <w:num w:numId="49">
    <w:abstractNumId w:val="33"/>
  </w:num>
  <w:num w:numId="50">
    <w:abstractNumId w:val="31"/>
  </w:num>
  <w:num w:numId="51">
    <w:abstractNumId w:val="28"/>
  </w:num>
  <w:num w:numId="52">
    <w:abstractNumId w:val="39"/>
  </w:num>
  <w:num w:numId="53">
    <w:abstractNumId w:val="16"/>
  </w:num>
  <w:num w:numId="54">
    <w:abstractNumId w:val="1"/>
  </w:num>
  <w:num w:numId="55">
    <w:abstractNumId w:val="35"/>
  </w:num>
  <w:num w:numId="56">
    <w:abstractNumId w:val="41"/>
  </w:num>
  <w:num w:numId="57">
    <w:abstractNumId w:val="0"/>
  </w:num>
  <w:num w:numId="58">
    <w:abstractNumId w:val="3"/>
  </w:num>
  <w:num w:numId="59">
    <w:abstractNumId w:val="45"/>
  </w:num>
  <w:num w:numId="60">
    <w:abstractNumId w:val="2"/>
  </w:num>
  <w:num w:numId="61">
    <w:abstractNumId w:val="32"/>
  </w:num>
  <w:num w:numId="62">
    <w:abstractNumId w:val="23"/>
  </w:num>
  <w:num w:numId="63">
    <w:abstractNumId w:val="50"/>
  </w:num>
  <w:num w:numId="64">
    <w:abstractNumId w:val="20"/>
  </w:num>
  <w:num w:numId="65">
    <w:abstractNumId w:val="25"/>
  </w:num>
  <w:num w:numId="66">
    <w:abstractNumId w:val="46"/>
  </w:num>
  <w:num w:numId="67">
    <w:abstractNumId w:val="38"/>
  </w:num>
  <w:num w:numId="68">
    <w:abstractNumId w:val="15"/>
  </w:num>
  <w:num w:numId="69">
    <w:abstractNumId w:val="43"/>
  </w:num>
  <w:num w:numId="70">
    <w:abstractNumId w:val="34"/>
  </w:num>
  <w:num w:numId="71">
    <w:abstractNumId w:val="29"/>
  </w:num>
  <w:num w:numId="72">
    <w:abstractNumId w:val="52"/>
  </w:num>
  <w:num w:numId="73">
    <w:abstractNumId w:val="8"/>
  </w:num>
  <w:num w:numId="74">
    <w:abstractNumId w:val="36"/>
  </w:num>
  <w:num w:numId="75">
    <w:abstractNumId w:val="49"/>
  </w:num>
  <w:num w:numId="76">
    <w:abstractNumId w:val="12"/>
  </w:num>
  <w:num w:numId="7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88"/>
    <w:rsid w:val="000016A4"/>
    <w:rsid w:val="000019DB"/>
    <w:rsid w:val="00002355"/>
    <w:rsid w:val="000047CC"/>
    <w:rsid w:val="00005BA5"/>
    <w:rsid w:val="00005BFA"/>
    <w:rsid w:val="00006F66"/>
    <w:rsid w:val="00010E2D"/>
    <w:rsid w:val="000120FD"/>
    <w:rsid w:val="00013A65"/>
    <w:rsid w:val="0001506E"/>
    <w:rsid w:val="000152A0"/>
    <w:rsid w:val="00015B9D"/>
    <w:rsid w:val="0001601A"/>
    <w:rsid w:val="00021831"/>
    <w:rsid w:val="00022C19"/>
    <w:rsid w:val="00031A37"/>
    <w:rsid w:val="00036843"/>
    <w:rsid w:val="00043669"/>
    <w:rsid w:val="00045092"/>
    <w:rsid w:val="00047E58"/>
    <w:rsid w:val="00054FDC"/>
    <w:rsid w:val="000632E2"/>
    <w:rsid w:val="0007203D"/>
    <w:rsid w:val="000729D2"/>
    <w:rsid w:val="00073313"/>
    <w:rsid w:val="00073D20"/>
    <w:rsid w:val="000748C8"/>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241B"/>
    <w:rsid w:val="00104703"/>
    <w:rsid w:val="00106B72"/>
    <w:rsid w:val="00106D19"/>
    <w:rsid w:val="0011334A"/>
    <w:rsid w:val="00115376"/>
    <w:rsid w:val="00115830"/>
    <w:rsid w:val="00116489"/>
    <w:rsid w:val="0011750D"/>
    <w:rsid w:val="00121B41"/>
    <w:rsid w:val="001301DF"/>
    <w:rsid w:val="0013287E"/>
    <w:rsid w:val="001412DE"/>
    <w:rsid w:val="00142D78"/>
    <w:rsid w:val="00144A4D"/>
    <w:rsid w:val="00151351"/>
    <w:rsid w:val="00156788"/>
    <w:rsid w:val="001609A1"/>
    <w:rsid w:val="00162554"/>
    <w:rsid w:val="00163F68"/>
    <w:rsid w:val="00166FDF"/>
    <w:rsid w:val="00173B50"/>
    <w:rsid w:val="00173E0E"/>
    <w:rsid w:val="00174B39"/>
    <w:rsid w:val="00183F6C"/>
    <w:rsid w:val="00194802"/>
    <w:rsid w:val="00194AEB"/>
    <w:rsid w:val="001A431C"/>
    <w:rsid w:val="001A5519"/>
    <w:rsid w:val="001A7C3A"/>
    <w:rsid w:val="001B2B79"/>
    <w:rsid w:val="001B4C04"/>
    <w:rsid w:val="001B5C26"/>
    <w:rsid w:val="001C08BC"/>
    <w:rsid w:val="001C56BA"/>
    <w:rsid w:val="001C6C26"/>
    <w:rsid w:val="001C6D7D"/>
    <w:rsid w:val="001D00B5"/>
    <w:rsid w:val="001D3B29"/>
    <w:rsid w:val="001D59C8"/>
    <w:rsid w:val="001E4EEB"/>
    <w:rsid w:val="001E6026"/>
    <w:rsid w:val="001F3696"/>
    <w:rsid w:val="001F37CA"/>
    <w:rsid w:val="0020163D"/>
    <w:rsid w:val="00203AD7"/>
    <w:rsid w:val="002042CC"/>
    <w:rsid w:val="00204B37"/>
    <w:rsid w:val="00206B19"/>
    <w:rsid w:val="002074D6"/>
    <w:rsid w:val="00210CBC"/>
    <w:rsid w:val="002119C5"/>
    <w:rsid w:val="00220E72"/>
    <w:rsid w:val="00222AF2"/>
    <w:rsid w:val="00223C3B"/>
    <w:rsid w:val="00224346"/>
    <w:rsid w:val="0022597C"/>
    <w:rsid w:val="00226582"/>
    <w:rsid w:val="00230F77"/>
    <w:rsid w:val="00232E4E"/>
    <w:rsid w:val="00234AE4"/>
    <w:rsid w:val="002362D2"/>
    <w:rsid w:val="00237935"/>
    <w:rsid w:val="00237E43"/>
    <w:rsid w:val="00245E26"/>
    <w:rsid w:val="00250C03"/>
    <w:rsid w:val="002539EA"/>
    <w:rsid w:val="002542FD"/>
    <w:rsid w:val="0025458B"/>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0209"/>
    <w:rsid w:val="002B43D6"/>
    <w:rsid w:val="002B6B98"/>
    <w:rsid w:val="002C28BA"/>
    <w:rsid w:val="002C3B8F"/>
    <w:rsid w:val="002C444C"/>
    <w:rsid w:val="002C5021"/>
    <w:rsid w:val="002C5280"/>
    <w:rsid w:val="002C5C29"/>
    <w:rsid w:val="002D396D"/>
    <w:rsid w:val="002D71D4"/>
    <w:rsid w:val="002E113D"/>
    <w:rsid w:val="002E336A"/>
    <w:rsid w:val="002F17E1"/>
    <w:rsid w:val="003043A9"/>
    <w:rsid w:val="0030454E"/>
    <w:rsid w:val="00320242"/>
    <w:rsid w:val="00322A3A"/>
    <w:rsid w:val="00324A32"/>
    <w:rsid w:val="00325D6E"/>
    <w:rsid w:val="00334977"/>
    <w:rsid w:val="00337194"/>
    <w:rsid w:val="00342EE8"/>
    <w:rsid w:val="00344D78"/>
    <w:rsid w:val="00346517"/>
    <w:rsid w:val="00350447"/>
    <w:rsid w:val="00351CCB"/>
    <w:rsid w:val="0035648A"/>
    <w:rsid w:val="00362B41"/>
    <w:rsid w:val="00363995"/>
    <w:rsid w:val="00364E5E"/>
    <w:rsid w:val="00370E9B"/>
    <w:rsid w:val="00377E4B"/>
    <w:rsid w:val="00380BDA"/>
    <w:rsid w:val="00383BA9"/>
    <w:rsid w:val="003845B0"/>
    <w:rsid w:val="00385B34"/>
    <w:rsid w:val="00386C08"/>
    <w:rsid w:val="00387D88"/>
    <w:rsid w:val="0039446E"/>
    <w:rsid w:val="003A260A"/>
    <w:rsid w:val="003A2BC4"/>
    <w:rsid w:val="003B24B6"/>
    <w:rsid w:val="003B31BE"/>
    <w:rsid w:val="003B504D"/>
    <w:rsid w:val="003C211D"/>
    <w:rsid w:val="003C7065"/>
    <w:rsid w:val="003D2E0D"/>
    <w:rsid w:val="003D5113"/>
    <w:rsid w:val="003D5173"/>
    <w:rsid w:val="003D5BFC"/>
    <w:rsid w:val="003D6E10"/>
    <w:rsid w:val="003E0C0F"/>
    <w:rsid w:val="003E0E28"/>
    <w:rsid w:val="003E19D5"/>
    <w:rsid w:val="003E76A8"/>
    <w:rsid w:val="003F5B90"/>
    <w:rsid w:val="004021E1"/>
    <w:rsid w:val="00404856"/>
    <w:rsid w:val="00406ED7"/>
    <w:rsid w:val="004108B6"/>
    <w:rsid w:val="0041110F"/>
    <w:rsid w:val="00411977"/>
    <w:rsid w:val="0041300C"/>
    <w:rsid w:val="00414B68"/>
    <w:rsid w:val="00430ED2"/>
    <w:rsid w:val="004317A9"/>
    <w:rsid w:val="00434773"/>
    <w:rsid w:val="004367F5"/>
    <w:rsid w:val="00440BB5"/>
    <w:rsid w:val="004458C9"/>
    <w:rsid w:val="00447C66"/>
    <w:rsid w:val="004550BB"/>
    <w:rsid w:val="00462F38"/>
    <w:rsid w:val="00471B34"/>
    <w:rsid w:val="0047430E"/>
    <w:rsid w:val="00474AFE"/>
    <w:rsid w:val="00475E02"/>
    <w:rsid w:val="004774BB"/>
    <w:rsid w:val="00477E66"/>
    <w:rsid w:val="00480809"/>
    <w:rsid w:val="004831C7"/>
    <w:rsid w:val="00486A5E"/>
    <w:rsid w:val="00493F92"/>
    <w:rsid w:val="004A0C2B"/>
    <w:rsid w:val="004A610E"/>
    <w:rsid w:val="004C20E2"/>
    <w:rsid w:val="004D6B98"/>
    <w:rsid w:val="004E056C"/>
    <w:rsid w:val="004E0933"/>
    <w:rsid w:val="004E2817"/>
    <w:rsid w:val="004E2AE8"/>
    <w:rsid w:val="004E418A"/>
    <w:rsid w:val="004E6EA6"/>
    <w:rsid w:val="005016FB"/>
    <w:rsid w:val="00504256"/>
    <w:rsid w:val="00511D17"/>
    <w:rsid w:val="005157E2"/>
    <w:rsid w:val="0051699F"/>
    <w:rsid w:val="00516DE3"/>
    <w:rsid w:val="005300BF"/>
    <w:rsid w:val="00532631"/>
    <w:rsid w:val="005414A1"/>
    <w:rsid w:val="0054175C"/>
    <w:rsid w:val="005473CF"/>
    <w:rsid w:val="00550386"/>
    <w:rsid w:val="00570355"/>
    <w:rsid w:val="00574530"/>
    <w:rsid w:val="00581423"/>
    <w:rsid w:val="00582F4C"/>
    <w:rsid w:val="0058407A"/>
    <w:rsid w:val="005924B7"/>
    <w:rsid w:val="00594539"/>
    <w:rsid w:val="005A1BCE"/>
    <w:rsid w:val="005A65BD"/>
    <w:rsid w:val="005A668E"/>
    <w:rsid w:val="005A7D00"/>
    <w:rsid w:val="005B0FE5"/>
    <w:rsid w:val="005B357C"/>
    <w:rsid w:val="005B4A0B"/>
    <w:rsid w:val="005B53C6"/>
    <w:rsid w:val="005C0015"/>
    <w:rsid w:val="005C0052"/>
    <w:rsid w:val="005C05F4"/>
    <w:rsid w:val="005C0660"/>
    <w:rsid w:val="005C44A6"/>
    <w:rsid w:val="005C5F33"/>
    <w:rsid w:val="005C7D6A"/>
    <w:rsid w:val="005D0EFA"/>
    <w:rsid w:val="005D2DDA"/>
    <w:rsid w:val="005E37C8"/>
    <w:rsid w:val="005E3A3E"/>
    <w:rsid w:val="005E3D3F"/>
    <w:rsid w:val="005E6A2B"/>
    <w:rsid w:val="005E7C7C"/>
    <w:rsid w:val="00601DD6"/>
    <w:rsid w:val="006032AE"/>
    <w:rsid w:val="00603F71"/>
    <w:rsid w:val="00604494"/>
    <w:rsid w:val="00605202"/>
    <w:rsid w:val="00612088"/>
    <w:rsid w:val="006131D5"/>
    <w:rsid w:val="00621092"/>
    <w:rsid w:val="00621208"/>
    <w:rsid w:val="00632B30"/>
    <w:rsid w:val="006338F0"/>
    <w:rsid w:val="006340A1"/>
    <w:rsid w:val="00636760"/>
    <w:rsid w:val="00644B92"/>
    <w:rsid w:val="00645B77"/>
    <w:rsid w:val="0065099D"/>
    <w:rsid w:val="006515C9"/>
    <w:rsid w:val="00651944"/>
    <w:rsid w:val="00652318"/>
    <w:rsid w:val="00652484"/>
    <w:rsid w:val="00653314"/>
    <w:rsid w:val="0067005F"/>
    <w:rsid w:val="0067015A"/>
    <w:rsid w:val="006736EC"/>
    <w:rsid w:val="00673D8A"/>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2813"/>
    <w:rsid w:val="00704766"/>
    <w:rsid w:val="007052DD"/>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3D3D"/>
    <w:rsid w:val="00774D9C"/>
    <w:rsid w:val="00776A63"/>
    <w:rsid w:val="00790C65"/>
    <w:rsid w:val="0079316B"/>
    <w:rsid w:val="007967CF"/>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E7469"/>
    <w:rsid w:val="007F2D62"/>
    <w:rsid w:val="007F4B07"/>
    <w:rsid w:val="008029A6"/>
    <w:rsid w:val="008147BA"/>
    <w:rsid w:val="008269B0"/>
    <w:rsid w:val="0083067E"/>
    <w:rsid w:val="00832357"/>
    <w:rsid w:val="0083488D"/>
    <w:rsid w:val="00835150"/>
    <w:rsid w:val="008466C3"/>
    <w:rsid w:val="00846809"/>
    <w:rsid w:val="00851458"/>
    <w:rsid w:val="00861A47"/>
    <w:rsid w:val="008707FF"/>
    <w:rsid w:val="008724E5"/>
    <w:rsid w:val="00877AC5"/>
    <w:rsid w:val="00877F27"/>
    <w:rsid w:val="00880200"/>
    <w:rsid w:val="0088173A"/>
    <w:rsid w:val="00881EB9"/>
    <w:rsid w:val="008848E9"/>
    <w:rsid w:val="00884C09"/>
    <w:rsid w:val="00885596"/>
    <w:rsid w:val="00885B33"/>
    <w:rsid w:val="00886B71"/>
    <w:rsid w:val="0089034F"/>
    <w:rsid w:val="00893E41"/>
    <w:rsid w:val="0089499E"/>
    <w:rsid w:val="00896177"/>
    <w:rsid w:val="008A0BE3"/>
    <w:rsid w:val="008A2566"/>
    <w:rsid w:val="008A6663"/>
    <w:rsid w:val="008B6B4C"/>
    <w:rsid w:val="008B7346"/>
    <w:rsid w:val="008C24A8"/>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324A"/>
    <w:rsid w:val="009577E1"/>
    <w:rsid w:val="00971CA1"/>
    <w:rsid w:val="0097349C"/>
    <w:rsid w:val="009814C2"/>
    <w:rsid w:val="00982FFD"/>
    <w:rsid w:val="009834BB"/>
    <w:rsid w:val="00985265"/>
    <w:rsid w:val="00985856"/>
    <w:rsid w:val="00992AF7"/>
    <w:rsid w:val="009A4969"/>
    <w:rsid w:val="009B1466"/>
    <w:rsid w:val="009B48AA"/>
    <w:rsid w:val="009B6973"/>
    <w:rsid w:val="009B6BC7"/>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03A4"/>
    <w:rsid w:val="00A150C7"/>
    <w:rsid w:val="00A2307A"/>
    <w:rsid w:val="00A23820"/>
    <w:rsid w:val="00A36D9C"/>
    <w:rsid w:val="00A462C6"/>
    <w:rsid w:val="00A519A2"/>
    <w:rsid w:val="00A51BDC"/>
    <w:rsid w:val="00A535B7"/>
    <w:rsid w:val="00A5709F"/>
    <w:rsid w:val="00A616C4"/>
    <w:rsid w:val="00A61F20"/>
    <w:rsid w:val="00A64796"/>
    <w:rsid w:val="00A66CD4"/>
    <w:rsid w:val="00A70883"/>
    <w:rsid w:val="00A7634C"/>
    <w:rsid w:val="00A77AEB"/>
    <w:rsid w:val="00A81F0A"/>
    <w:rsid w:val="00A85C7A"/>
    <w:rsid w:val="00A86042"/>
    <w:rsid w:val="00AA28E4"/>
    <w:rsid w:val="00AA36F9"/>
    <w:rsid w:val="00AA444A"/>
    <w:rsid w:val="00AB1528"/>
    <w:rsid w:val="00AB3F25"/>
    <w:rsid w:val="00AC1B79"/>
    <w:rsid w:val="00AC2951"/>
    <w:rsid w:val="00AC7CF7"/>
    <w:rsid w:val="00AD6BD4"/>
    <w:rsid w:val="00AE1B18"/>
    <w:rsid w:val="00AE1D83"/>
    <w:rsid w:val="00AE2723"/>
    <w:rsid w:val="00AE2DFB"/>
    <w:rsid w:val="00AE3061"/>
    <w:rsid w:val="00AF15BA"/>
    <w:rsid w:val="00AF1C32"/>
    <w:rsid w:val="00AF65C6"/>
    <w:rsid w:val="00B11AE3"/>
    <w:rsid w:val="00B11C38"/>
    <w:rsid w:val="00B121A6"/>
    <w:rsid w:val="00B245D7"/>
    <w:rsid w:val="00B300B8"/>
    <w:rsid w:val="00B32A28"/>
    <w:rsid w:val="00B33904"/>
    <w:rsid w:val="00B3751E"/>
    <w:rsid w:val="00B427FE"/>
    <w:rsid w:val="00B44067"/>
    <w:rsid w:val="00B51737"/>
    <w:rsid w:val="00B5473A"/>
    <w:rsid w:val="00B6102A"/>
    <w:rsid w:val="00B6167A"/>
    <w:rsid w:val="00B62ED0"/>
    <w:rsid w:val="00B64196"/>
    <w:rsid w:val="00B66A7A"/>
    <w:rsid w:val="00B70266"/>
    <w:rsid w:val="00B74304"/>
    <w:rsid w:val="00B82F05"/>
    <w:rsid w:val="00B85981"/>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E738D"/>
    <w:rsid w:val="00BF351F"/>
    <w:rsid w:val="00BF3F50"/>
    <w:rsid w:val="00BF6F37"/>
    <w:rsid w:val="00C02924"/>
    <w:rsid w:val="00C04344"/>
    <w:rsid w:val="00C06117"/>
    <w:rsid w:val="00C17FE4"/>
    <w:rsid w:val="00C21897"/>
    <w:rsid w:val="00C276EE"/>
    <w:rsid w:val="00C276F0"/>
    <w:rsid w:val="00C43146"/>
    <w:rsid w:val="00C43757"/>
    <w:rsid w:val="00C43BCE"/>
    <w:rsid w:val="00C44A84"/>
    <w:rsid w:val="00C47CF1"/>
    <w:rsid w:val="00C52006"/>
    <w:rsid w:val="00C53AB4"/>
    <w:rsid w:val="00C542F1"/>
    <w:rsid w:val="00C572B3"/>
    <w:rsid w:val="00C57CA1"/>
    <w:rsid w:val="00C61C6C"/>
    <w:rsid w:val="00C6300B"/>
    <w:rsid w:val="00C63CF2"/>
    <w:rsid w:val="00C6426B"/>
    <w:rsid w:val="00C6478B"/>
    <w:rsid w:val="00C87194"/>
    <w:rsid w:val="00C90629"/>
    <w:rsid w:val="00C90C51"/>
    <w:rsid w:val="00CA2B4D"/>
    <w:rsid w:val="00CA3ED6"/>
    <w:rsid w:val="00CA7CF4"/>
    <w:rsid w:val="00CB0F37"/>
    <w:rsid w:val="00CB1135"/>
    <w:rsid w:val="00CB590B"/>
    <w:rsid w:val="00CC02C5"/>
    <w:rsid w:val="00CC257D"/>
    <w:rsid w:val="00CC2B17"/>
    <w:rsid w:val="00CC2BC6"/>
    <w:rsid w:val="00CC3AAB"/>
    <w:rsid w:val="00CD324E"/>
    <w:rsid w:val="00CD4A28"/>
    <w:rsid w:val="00CD54BD"/>
    <w:rsid w:val="00CD6015"/>
    <w:rsid w:val="00CD6C36"/>
    <w:rsid w:val="00CE2586"/>
    <w:rsid w:val="00CF05D7"/>
    <w:rsid w:val="00CF34A6"/>
    <w:rsid w:val="00CF3F93"/>
    <w:rsid w:val="00D020F3"/>
    <w:rsid w:val="00D04515"/>
    <w:rsid w:val="00D065AD"/>
    <w:rsid w:val="00D22831"/>
    <w:rsid w:val="00D26A6A"/>
    <w:rsid w:val="00D404B7"/>
    <w:rsid w:val="00D44509"/>
    <w:rsid w:val="00D448CB"/>
    <w:rsid w:val="00D47226"/>
    <w:rsid w:val="00D47ED5"/>
    <w:rsid w:val="00D61779"/>
    <w:rsid w:val="00D73DB6"/>
    <w:rsid w:val="00D809E5"/>
    <w:rsid w:val="00D81948"/>
    <w:rsid w:val="00D87129"/>
    <w:rsid w:val="00D90819"/>
    <w:rsid w:val="00D93291"/>
    <w:rsid w:val="00D9501F"/>
    <w:rsid w:val="00DA2A4B"/>
    <w:rsid w:val="00DB50D5"/>
    <w:rsid w:val="00DC5537"/>
    <w:rsid w:val="00DD11EE"/>
    <w:rsid w:val="00DD52A0"/>
    <w:rsid w:val="00DE5590"/>
    <w:rsid w:val="00DE6364"/>
    <w:rsid w:val="00DF1D9E"/>
    <w:rsid w:val="00DF3DA3"/>
    <w:rsid w:val="00DF5DA4"/>
    <w:rsid w:val="00DF6BDE"/>
    <w:rsid w:val="00E06492"/>
    <w:rsid w:val="00E065CE"/>
    <w:rsid w:val="00E06A00"/>
    <w:rsid w:val="00E13E03"/>
    <w:rsid w:val="00E22B99"/>
    <w:rsid w:val="00E24A9D"/>
    <w:rsid w:val="00E258D9"/>
    <w:rsid w:val="00E25A2A"/>
    <w:rsid w:val="00E35B8C"/>
    <w:rsid w:val="00E439CA"/>
    <w:rsid w:val="00E46DDB"/>
    <w:rsid w:val="00E473F3"/>
    <w:rsid w:val="00E5219B"/>
    <w:rsid w:val="00E530CC"/>
    <w:rsid w:val="00E56905"/>
    <w:rsid w:val="00E64BE4"/>
    <w:rsid w:val="00E85565"/>
    <w:rsid w:val="00E87F91"/>
    <w:rsid w:val="00E92CA8"/>
    <w:rsid w:val="00E94187"/>
    <w:rsid w:val="00E94BC6"/>
    <w:rsid w:val="00EA0563"/>
    <w:rsid w:val="00EA198F"/>
    <w:rsid w:val="00EA2EA1"/>
    <w:rsid w:val="00EA3CB9"/>
    <w:rsid w:val="00EA59EB"/>
    <w:rsid w:val="00EA67F3"/>
    <w:rsid w:val="00EB0657"/>
    <w:rsid w:val="00EB23EA"/>
    <w:rsid w:val="00EB48F8"/>
    <w:rsid w:val="00EB69A2"/>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53629"/>
    <w:rsid w:val="00F60DBA"/>
    <w:rsid w:val="00F63DDA"/>
    <w:rsid w:val="00F67029"/>
    <w:rsid w:val="00F70858"/>
    <w:rsid w:val="00F71BBC"/>
    <w:rsid w:val="00F7397F"/>
    <w:rsid w:val="00F75949"/>
    <w:rsid w:val="00F75CF4"/>
    <w:rsid w:val="00F866CD"/>
    <w:rsid w:val="00F941F0"/>
    <w:rsid w:val="00F97FF5"/>
    <w:rsid w:val="00FA646B"/>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3BAE6"/>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1B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14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BFA64-BBB6-4C81-96A7-94F32DAB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2022-04-06T09:56:00Z</dcterms:created>
  <dcterms:modified xsi:type="dcterms:W3CDTF">2022-04-06T09:56:00Z</dcterms:modified>
</cp:coreProperties>
</file>