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DD2A2"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es"/>
        </w:rPr>
        <w:t>Descripción general y justificación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6730"/>
        <w:gridCol w:w="1563"/>
      </w:tblGrid>
      <w:tr w:rsidR="005473CF" w:rsidRPr="003C1B59" w14:paraId="6733A301" w14:textId="77777777" w:rsidTr="006338F0">
        <w:trPr>
          <w:cantSplit/>
        </w:trPr>
        <w:tc>
          <w:tcPr>
            <w:tcW w:w="786" w:type="pct"/>
            <w:shd w:val="clear" w:color="auto" w:fill="auto"/>
          </w:tcPr>
          <w:p w14:paraId="2286508B" w14:textId="77777777" w:rsidR="005473CF" w:rsidRPr="00612088" w:rsidRDefault="005B0FE5" w:rsidP="00DA2ECC">
            <w:pPr>
              <w:spacing w:before="120"/>
              <w:rPr>
                <w:rFonts w:ascii="Arial" w:hAnsi="Arial" w:cs="Arial"/>
                <w:b/>
                <w:szCs w:val="22"/>
              </w:rPr>
            </w:pPr>
            <w:r>
              <w:rPr>
                <w:rFonts w:ascii="Arial" w:hAnsi="Arial" w:cs="Arial"/>
                <w:b/>
                <w:bCs/>
                <w:szCs w:val="22"/>
                <w:lang w:val="es"/>
              </w:rPr>
              <w:t>Indicador</w:t>
            </w:r>
          </w:p>
        </w:tc>
        <w:tc>
          <w:tcPr>
            <w:tcW w:w="4214" w:type="pct"/>
            <w:gridSpan w:val="2"/>
            <w:shd w:val="clear" w:color="auto" w:fill="auto"/>
          </w:tcPr>
          <w:p w14:paraId="15CCA71C" w14:textId="77777777" w:rsidR="005473CF" w:rsidRPr="003C1B59" w:rsidRDefault="00612088" w:rsidP="00612088">
            <w:pPr>
              <w:keepLines/>
              <w:spacing w:before="120"/>
              <w:ind w:left="567" w:hanging="567"/>
              <w:rPr>
                <w:rFonts w:ascii="Arial" w:hAnsi="Arial" w:cs="Arial"/>
                <w:b/>
                <w:szCs w:val="22"/>
                <w:lang w:val="fr-FR"/>
              </w:rPr>
            </w:pPr>
            <w:r>
              <w:rPr>
                <w:rFonts w:ascii="Arial" w:eastAsia="Calibri" w:hAnsi="Arial" w:cs="Arial"/>
                <w:b/>
                <w:bCs/>
                <w:szCs w:val="22"/>
                <w:lang w:val="es"/>
              </w:rPr>
              <w:t>22.</w:t>
            </w:r>
            <w:r>
              <w:rPr>
                <w:rFonts w:ascii="Arial" w:eastAsia="Calibri" w:hAnsi="Arial" w:cs="Arial"/>
                <w:b/>
                <w:bCs/>
                <w:szCs w:val="22"/>
                <w:lang w:val="es"/>
              </w:rPr>
              <w:tab/>
              <w:t>Grado en el que la sociedad civil contribuye al monitoreo de la salvaguardia del PCI</w:t>
            </w:r>
          </w:p>
        </w:tc>
      </w:tr>
      <w:tr w:rsidR="005B0FE5" w:rsidRPr="003C1B59" w14:paraId="4C0B8085" w14:textId="77777777" w:rsidTr="006338F0">
        <w:trPr>
          <w:cantSplit/>
        </w:trPr>
        <w:tc>
          <w:tcPr>
            <w:tcW w:w="786" w:type="pct"/>
            <w:vMerge w:val="restart"/>
            <w:shd w:val="clear" w:color="auto" w:fill="auto"/>
          </w:tcPr>
          <w:p w14:paraId="4301424B" w14:textId="77777777" w:rsidR="005B0FE5" w:rsidRPr="00F866CD" w:rsidRDefault="005B0FE5" w:rsidP="00DA2ECC">
            <w:pPr>
              <w:spacing w:before="120"/>
              <w:rPr>
                <w:rFonts w:ascii="Arial" w:hAnsi="Arial" w:cs="Arial"/>
                <w:b/>
                <w:szCs w:val="22"/>
              </w:rPr>
            </w:pPr>
            <w:r>
              <w:rPr>
                <w:rFonts w:ascii="Arial" w:hAnsi="Arial" w:cs="Arial"/>
                <w:b/>
                <w:bCs/>
                <w:szCs w:val="22"/>
                <w:lang w:val="es"/>
              </w:rPr>
              <w:t>Factores de evaluación</w:t>
            </w:r>
          </w:p>
        </w:tc>
        <w:tc>
          <w:tcPr>
            <w:tcW w:w="4214" w:type="pct"/>
            <w:gridSpan w:val="2"/>
            <w:shd w:val="clear" w:color="auto" w:fill="auto"/>
          </w:tcPr>
          <w:p w14:paraId="2259046D" w14:textId="77777777" w:rsidR="005B0FE5" w:rsidRPr="003C1B59" w:rsidRDefault="005B0FE5" w:rsidP="00946D71">
            <w:pPr>
              <w:keepLines/>
              <w:spacing w:before="120"/>
              <w:jc w:val="both"/>
              <w:rPr>
                <w:rFonts w:ascii="Arial" w:hAnsi="Arial" w:cs="Arial"/>
                <w:b/>
                <w:szCs w:val="22"/>
                <w:lang w:val="fr-FR"/>
              </w:rPr>
            </w:pPr>
            <w:r>
              <w:rPr>
                <w:rFonts w:ascii="Arial" w:hAnsi="Arial" w:cs="Arial"/>
                <w:szCs w:val="22"/>
                <w:lang w:val="es"/>
              </w:rPr>
              <w:t>Este indicador se evalúa sobre la base de tres factores de ámbito nacional que cada Estado Parte supervisa y notifica:</w:t>
            </w:r>
          </w:p>
        </w:tc>
      </w:tr>
      <w:tr w:rsidR="00612088" w:rsidRPr="00F866CD" w14:paraId="1B91D014" w14:textId="77777777" w:rsidTr="006338F0">
        <w:trPr>
          <w:cantSplit/>
        </w:trPr>
        <w:tc>
          <w:tcPr>
            <w:tcW w:w="786" w:type="pct"/>
            <w:vMerge/>
            <w:shd w:val="clear" w:color="auto" w:fill="auto"/>
          </w:tcPr>
          <w:p w14:paraId="704E4D9F" w14:textId="77777777" w:rsidR="00612088" w:rsidRPr="003C1B59" w:rsidRDefault="00612088" w:rsidP="00612088">
            <w:pPr>
              <w:spacing w:before="120"/>
              <w:rPr>
                <w:rFonts w:ascii="Arial" w:hAnsi="Arial" w:cs="Arial"/>
                <w:b/>
                <w:szCs w:val="22"/>
                <w:lang w:val="fr-FR"/>
              </w:rPr>
            </w:pPr>
          </w:p>
        </w:tc>
        <w:tc>
          <w:tcPr>
            <w:tcW w:w="3418" w:type="pct"/>
            <w:shd w:val="clear" w:color="auto" w:fill="auto"/>
            <w:vAlign w:val="center"/>
          </w:tcPr>
          <w:p w14:paraId="66860B31" w14:textId="76B718AF" w:rsidR="00612088" w:rsidRPr="003C1B59" w:rsidRDefault="00A7634C" w:rsidP="00EB23EA">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Entorno propicio para las comunidades, los grupos y los individuos interesados para monitorear y llevar a cabo estudios científicos, técnicos y artísticos sobre programas y medidas de salvaguardia del PCI.</w:t>
            </w:r>
          </w:p>
        </w:tc>
        <w:tc>
          <w:tcPr>
            <w:tcW w:w="796" w:type="pct"/>
            <w:shd w:val="clear" w:color="auto" w:fill="auto"/>
            <w:vAlign w:val="center"/>
          </w:tcPr>
          <w:p w14:paraId="3F6833A3" w14:textId="77777777" w:rsidR="00612088" w:rsidRPr="0074360F" w:rsidRDefault="00AE2723" w:rsidP="00612088">
            <w:pPr>
              <w:keepLines/>
              <w:spacing w:before="120"/>
              <w:rPr>
                <w:rFonts w:ascii="Arial" w:hAnsi="Arial" w:cs="Arial"/>
                <w:sz w:val="20"/>
                <w:szCs w:val="20"/>
              </w:rPr>
            </w:pPr>
            <w:r>
              <w:rPr>
                <w:rFonts w:ascii="Arial" w:hAnsi="Arial" w:cs="Arial"/>
                <w:sz w:val="20"/>
                <w:szCs w:val="20"/>
                <w:lang w:val="es"/>
              </w:rPr>
              <w:t xml:space="preserve">DO 85, </w:t>
            </w:r>
            <w:r>
              <w:rPr>
                <w:rFonts w:ascii="Arial" w:hAnsi="Arial" w:cs="Arial"/>
                <w:sz w:val="20"/>
                <w:szCs w:val="20"/>
                <w:lang w:val="es"/>
              </w:rPr>
              <w:br/>
              <w:t xml:space="preserve">DO 151, </w:t>
            </w:r>
            <w:r>
              <w:rPr>
                <w:rFonts w:ascii="Arial" w:hAnsi="Arial" w:cs="Arial"/>
                <w:sz w:val="20"/>
                <w:szCs w:val="20"/>
                <w:lang w:val="es"/>
              </w:rPr>
              <w:br/>
              <w:t>DO 153 b) ii)</w:t>
            </w:r>
          </w:p>
        </w:tc>
      </w:tr>
      <w:tr w:rsidR="00612088" w:rsidRPr="00F866CD" w14:paraId="17FBE118" w14:textId="77777777" w:rsidTr="006338F0">
        <w:trPr>
          <w:cantSplit/>
        </w:trPr>
        <w:tc>
          <w:tcPr>
            <w:tcW w:w="786" w:type="pct"/>
            <w:vMerge/>
            <w:shd w:val="clear" w:color="auto" w:fill="auto"/>
          </w:tcPr>
          <w:p w14:paraId="43E85D44" w14:textId="77777777" w:rsidR="00612088" w:rsidRPr="00F866CD" w:rsidRDefault="00612088" w:rsidP="00612088">
            <w:pPr>
              <w:spacing w:before="120"/>
              <w:rPr>
                <w:rFonts w:ascii="Arial" w:hAnsi="Arial" w:cs="Arial"/>
                <w:b/>
                <w:szCs w:val="22"/>
              </w:rPr>
            </w:pPr>
          </w:p>
        </w:tc>
        <w:tc>
          <w:tcPr>
            <w:tcW w:w="3418" w:type="pct"/>
            <w:shd w:val="clear" w:color="auto" w:fill="auto"/>
            <w:vAlign w:val="center"/>
          </w:tcPr>
          <w:p w14:paraId="444ED6EA" w14:textId="77777777" w:rsidR="00612088" w:rsidRPr="00EB23EA" w:rsidRDefault="00A7634C" w:rsidP="00EB23EA">
            <w:pPr>
              <w:pStyle w:val="ListParagraph"/>
              <w:keepLines/>
              <w:numPr>
                <w:ilvl w:val="1"/>
                <w:numId w:val="75"/>
              </w:numPr>
              <w:spacing w:before="120" w:after="120" w:line="240" w:lineRule="auto"/>
              <w:ind w:left="583" w:hanging="567"/>
              <w:contextualSpacing w:val="0"/>
              <w:rPr>
                <w:rFonts w:ascii="Arial" w:hAnsi="Arial" w:cs="Arial"/>
                <w:sz w:val="20"/>
                <w:szCs w:val="20"/>
              </w:rPr>
            </w:pPr>
            <w:r>
              <w:rPr>
                <w:rFonts w:ascii="Arial" w:hAnsi="Arial" w:cs="Arial"/>
                <w:sz w:val="20"/>
                <w:szCs w:val="20"/>
                <w:lang w:val="es"/>
              </w:rPr>
              <w:t>Entorno propicio para ONG y otros órganos de la sociedad civil para monitorear y llevar a cabo estudios científicos, técnicos y artísticos sobre programas y medidas de salvaguardia del PCI.</w:t>
            </w:r>
          </w:p>
        </w:tc>
        <w:tc>
          <w:tcPr>
            <w:tcW w:w="796" w:type="pct"/>
            <w:shd w:val="clear" w:color="auto" w:fill="auto"/>
            <w:vAlign w:val="center"/>
          </w:tcPr>
          <w:p w14:paraId="1F97A75A" w14:textId="77777777" w:rsidR="00612088" w:rsidRPr="0074360F" w:rsidRDefault="00612088" w:rsidP="00612088">
            <w:pPr>
              <w:spacing w:before="60" w:after="60"/>
              <w:rPr>
                <w:rFonts w:ascii="Arial" w:hAnsi="Arial" w:cs="Arial"/>
                <w:sz w:val="20"/>
                <w:szCs w:val="20"/>
              </w:rPr>
            </w:pPr>
            <w:r>
              <w:rPr>
                <w:rFonts w:ascii="Arial" w:hAnsi="Arial" w:cs="Arial"/>
                <w:sz w:val="20"/>
                <w:szCs w:val="20"/>
                <w:lang w:val="es"/>
              </w:rPr>
              <w:t xml:space="preserve">DO 83, </w:t>
            </w:r>
            <w:r>
              <w:rPr>
                <w:rFonts w:ascii="Arial" w:hAnsi="Arial" w:cs="Arial"/>
                <w:sz w:val="20"/>
                <w:szCs w:val="20"/>
                <w:lang w:val="es"/>
              </w:rPr>
              <w:br/>
              <w:t xml:space="preserve">DO 151, </w:t>
            </w:r>
            <w:r>
              <w:rPr>
                <w:rFonts w:ascii="Arial" w:hAnsi="Arial" w:cs="Arial"/>
                <w:sz w:val="20"/>
                <w:szCs w:val="20"/>
                <w:lang w:val="es"/>
              </w:rPr>
              <w:br/>
              <w:t>DO 153 b) ii)</w:t>
            </w:r>
          </w:p>
        </w:tc>
      </w:tr>
      <w:tr w:rsidR="00612088" w:rsidRPr="00F866CD" w14:paraId="314367C6" w14:textId="77777777" w:rsidTr="006338F0">
        <w:trPr>
          <w:cantSplit/>
        </w:trPr>
        <w:tc>
          <w:tcPr>
            <w:tcW w:w="786" w:type="pct"/>
            <w:vMerge/>
            <w:shd w:val="clear" w:color="auto" w:fill="auto"/>
          </w:tcPr>
          <w:p w14:paraId="34F70E71" w14:textId="77777777" w:rsidR="00612088" w:rsidRPr="00F866CD" w:rsidRDefault="00612088" w:rsidP="00612088">
            <w:pPr>
              <w:spacing w:before="120"/>
              <w:rPr>
                <w:rFonts w:ascii="Arial" w:hAnsi="Arial" w:cs="Arial"/>
                <w:b/>
                <w:szCs w:val="22"/>
              </w:rPr>
            </w:pPr>
          </w:p>
        </w:tc>
        <w:tc>
          <w:tcPr>
            <w:tcW w:w="3418" w:type="pct"/>
            <w:shd w:val="clear" w:color="auto" w:fill="auto"/>
            <w:vAlign w:val="center"/>
          </w:tcPr>
          <w:p w14:paraId="04F1CBC9" w14:textId="77777777" w:rsidR="00612088" w:rsidRPr="003C1B59" w:rsidRDefault="00A7634C" w:rsidP="00EB23EA">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Entorno propicio para académicos, expertos, instituciones de investigación y centros de competencia para monitorear y llevar a cabo estudios científicos, técnicos y artísticos sobre programas y medidas de salvaguardia del PCI.</w:t>
            </w:r>
          </w:p>
        </w:tc>
        <w:tc>
          <w:tcPr>
            <w:tcW w:w="796" w:type="pct"/>
            <w:shd w:val="clear" w:color="auto" w:fill="auto"/>
            <w:vAlign w:val="center"/>
          </w:tcPr>
          <w:p w14:paraId="4B23A37A" w14:textId="77777777" w:rsidR="00612088" w:rsidRPr="0074360F" w:rsidRDefault="00AE2723" w:rsidP="00AE2723">
            <w:pPr>
              <w:keepLines/>
              <w:spacing w:before="120"/>
              <w:rPr>
                <w:rFonts w:ascii="Arial" w:hAnsi="Arial" w:cs="Arial"/>
                <w:sz w:val="20"/>
                <w:szCs w:val="20"/>
              </w:rPr>
            </w:pPr>
            <w:r>
              <w:rPr>
                <w:rFonts w:ascii="Arial" w:hAnsi="Arial" w:cs="Arial"/>
                <w:sz w:val="20"/>
                <w:szCs w:val="20"/>
                <w:lang w:val="es"/>
              </w:rPr>
              <w:t>DO 83, DO 84,</w:t>
            </w:r>
            <w:r>
              <w:rPr>
                <w:rFonts w:ascii="Arial" w:hAnsi="Arial" w:cs="Arial"/>
                <w:sz w:val="20"/>
                <w:szCs w:val="20"/>
                <w:lang w:val="es"/>
              </w:rPr>
              <w:br/>
              <w:t xml:space="preserve">DO 151, </w:t>
            </w:r>
            <w:r>
              <w:rPr>
                <w:rFonts w:ascii="Arial" w:hAnsi="Arial" w:cs="Arial"/>
                <w:sz w:val="20"/>
                <w:szCs w:val="20"/>
                <w:lang w:val="es"/>
              </w:rPr>
              <w:br/>
              <w:t>DO 153 b) ii)</w:t>
            </w:r>
          </w:p>
        </w:tc>
      </w:tr>
      <w:tr w:rsidR="005473CF" w:rsidRPr="003C1B59" w14:paraId="0F53BC22" w14:textId="77777777" w:rsidTr="006338F0">
        <w:trPr>
          <w:cantSplit/>
        </w:trPr>
        <w:tc>
          <w:tcPr>
            <w:tcW w:w="786" w:type="pct"/>
            <w:shd w:val="clear" w:color="auto" w:fill="auto"/>
          </w:tcPr>
          <w:p w14:paraId="01F0D25A" w14:textId="77777777" w:rsidR="005473CF" w:rsidRPr="003C1B59" w:rsidRDefault="005473CF" w:rsidP="005473CF">
            <w:pPr>
              <w:spacing w:before="120"/>
              <w:rPr>
                <w:rFonts w:ascii="Arial" w:hAnsi="Arial" w:cs="Arial"/>
                <w:b/>
                <w:szCs w:val="22"/>
                <w:lang w:val="fr-FR"/>
              </w:rPr>
            </w:pPr>
            <w:r>
              <w:rPr>
                <w:rFonts w:ascii="Arial" w:hAnsi="Arial" w:cs="Arial"/>
                <w:b/>
                <w:bCs/>
                <w:szCs w:val="22"/>
                <w:lang w:val="es"/>
              </w:rPr>
              <w:t>Relación con los ODS y otros indicadores</w:t>
            </w:r>
          </w:p>
        </w:tc>
        <w:tc>
          <w:tcPr>
            <w:tcW w:w="4214" w:type="pct"/>
            <w:gridSpan w:val="2"/>
            <w:shd w:val="clear" w:color="auto" w:fill="auto"/>
          </w:tcPr>
          <w:p w14:paraId="0EC27BBF" w14:textId="5447CE0C" w:rsidR="005473CF" w:rsidRPr="003C1B59" w:rsidRDefault="005473CF" w:rsidP="001B2B79">
            <w:pPr>
              <w:keepLines/>
              <w:spacing w:before="120"/>
              <w:jc w:val="both"/>
              <w:rPr>
                <w:rFonts w:ascii="Arial" w:hAnsi="Arial" w:cs="Arial"/>
                <w:szCs w:val="22"/>
                <w:lang w:val="fr-FR"/>
              </w:rPr>
            </w:pPr>
            <w:r>
              <w:rPr>
                <w:rFonts w:ascii="Arial" w:hAnsi="Arial" w:cs="Arial"/>
                <w:b/>
                <w:bCs/>
                <w:szCs w:val="22"/>
                <w:lang w:val="es"/>
              </w:rPr>
              <w:t xml:space="preserve">Objetivos de Desarrollo Sostenible: </w:t>
            </w:r>
            <w:r>
              <w:rPr>
                <w:rFonts w:ascii="Arial" w:hAnsi="Arial" w:cs="Arial"/>
                <w:szCs w:val="22"/>
                <w:lang w:val="es"/>
              </w:rPr>
              <w:t>Al igual que el indicador 21, el presente indicador apoya directamente la meta 16.7 de los ODS que persigue «garantizar la adopción en todos los niveles de decisiones inclusivas, participativas y representativas»; así como la meta 17.17 de los ODS, que tiene por objeto «fomentar y promover la constitución de alianzas eficaces en las esferas pública, público-privada y de la sociedad civil». Como todos los indicadores, también responde a la meta 11.4 de los ODS, «redoblar los esfuerzos para proteger y salvaguardar el patrimonio cultural y natural del mundo».</w:t>
            </w:r>
          </w:p>
          <w:p w14:paraId="561218F1" w14:textId="7592CB14" w:rsidR="005473CF" w:rsidRPr="003C1B59" w:rsidRDefault="005473CF" w:rsidP="00946D71">
            <w:pPr>
              <w:keepLines/>
              <w:spacing w:before="120"/>
              <w:jc w:val="both"/>
              <w:rPr>
                <w:rFonts w:ascii="Arial" w:hAnsi="Arial" w:cs="Arial"/>
                <w:bCs/>
                <w:szCs w:val="22"/>
                <w:lang w:val="fr-FR"/>
              </w:rPr>
            </w:pPr>
            <w:r>
              <w:rPr>
                <w:rFonts w:ascii="Arial" w:hAnsi="Arial" w:cs="Arial"/>
                <w:b/>
                <w:bCs/>
                <w:szCs w:val="22"/>
                <w:lang w:val="es"/>
              </w:rPr>
              <w:t>Relación con otros indicadores:</w:t>
            </w:r>
            <w:r>
              <w:rPr>
                <w:rFonts w:ascii="Arial" w:hAnsi="Arial" w:cs="Arial"/>
                <w:szCs w:val="22"/>
                <w:lang w:val="es"/>
              </w:rPr>
              <w:t xml:space="preserve"> Mientras que el indicador 21 se refiere a la participación más amplia posible de diversos actores en la salvaguardia del PCI, en este caso se presta atención a su participación en el monitoreo de la salvaguardia del PCI. Además, complementa el indicador 9, que también se refiere a los estudios científicos, técnicos y artísticos; sin embargo, el indicador 22 se centra en el propio PCI y en los estudios de los programas y medidas de salvaguardia del PCI.</w:t>
            </w:r>
          </w:p>
        </w:tc>
      </w:tr>
      <w:tr w:rsidR="00896177" w:rsidRPr="003C1B59" w14:paraId="73EF0B05" w14:textId="77777777" w:rsidTr="006338F0">
        <w:trPr>
          <w:cantSplit/>
        </w:trPr>
        <w:tc>
          <w:tcPr>
            <w:tcW w:w="786" w:type="pct"/>
            <w:shd w:val="clear" w:color="auto" w:fill="auto"/>
          </w:tcPr>
          <w:p w14:paraId="1A650B04" w14:textId="77777777" w:rsidR="00896177" w:rsidRPr="00F866CD" w:rsidRDefault="002C28BA" w:rsidP="00A7283F">
            <w:pPr>
              <w:spacing w:before="120"/>
              <w:rPr>
                <w:rFonts w:ascii="Arial" w:hAnsi="Arial" w:cs="Arial"/>
                <w:b/>
                <w:szCs w:val="22"/>
              </w:rPr>
            </w:pPr>
            <w:r>
              <w:rPr>
                <w:rFonts w:ascii="Arial" w:hAnsi="Arial" w:cs="Arial"/>
                <w:b/>
                <w:bCs/>
                <w:szCs w:val="22"/>
                <w:lang w:val="es"/>
              </w:rPr>
              <w:t>Justificación de las medidas</w:t>
            </w:r>
          </w:p>
        </w:tc>
        <w:tc>
          <w:tcPr>
            <w:tcW w:w="4214" w:type="pct"/>
            <w:gridSpan w:val="2"/>
            <w:shd w:val="clear" w:color="auto" w:fill="auto"/>
          </w:tcPr>
          <w:p w14:paraId="316467CE" w14:textId="49235456" w:rsidR="00704766" w:rsidRPr="003C1B59" w:rsidRDefault="008C24A8" w:rsidP="00EB0657">
            <w:pPr>
              <w:keepLines/>
              <w:spacing w:before="120"/>
              <w:jc w:val="both"/>
              <w:rPr>
                <w:rFonts w:asciiTheme="minorBidi" w:hAnsiTheme="minorBidi" w:cstheme="minorBidi"/>
                <w:szCs w:val="22"/>
                <w:lang w:val="fr-FR"/>
              </w:rPr>
            </w:pPr>
            <w:r>
              <w:rPr>
                <w:rFonts w:asciiTheme="minorBidi" w:hAnsiTheme="minorBidi" w:cstheme="minorBidi"/>
                <w:szCs w:val="22"/>
                <w:lang w:val="es"/>
              </w:rPr>
              <w:t>La eficacia de los programas y medidas de salvaguardia del PCI puede aumentarse y mejorarse mediante un seguimiento periódico de estos, y a través estudios científicos, técnicos y artísticos relacionados con ellos. El seguimiento y los estudios proporcionan información sobre los programas y las medidas que están teniendo efectos positivos. Las organizaciones no gubernamentales y otros órganos de la sociedad civil suelen reunir conocimientos especializados y experiencia que los convierten en valiosos actores para llevar a cabo el seguimiento y los estudios ya mencionados. Las instituciones de investigación y los centros de competencias pueden ser gubernamentales o no gubernamentales, según la situación de cada país, y los académicos y expertos pueden ser funcionarios públicos o particulares. Sin embargo, en cualquier caso, esos actores también tienen un papel vital que desempeñar en el seguimiento de la aplicación en curso de la Convención a nivel nacional.</w:t>
            </w:r>
          </w:p>
        </w:tc>
      </w:tr>
      <w:tr w:rsidR="00704766" w:rsidRPr="00F866CD" w14:paraId="62D2F6A0" w14:textId="77777777" w:rsidTr="006338F0">
        <w:trPr>
          <w:cantSplit/>
        </w:trPr>
        <w:tc>
          <w:tcPr>
            <w:tcW w:w="786" w:type="pct"/>
            <w:shd w:val="clear" w:color="auto" w:fill="auto"/>
          </w:tcPr>
          <w:p w14:paraId="6B9CAB6D"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es"/>
              </w:rPr>
              <w:lastRenderedPageBreak/>
              <w:t>Términos clave</w:t>
            </w:r>
          </w:p>
        </w:tc>
        <w:tc>
          <w:tcPr>
            <w:tcW w:w="4214" w:type="pct"/>
            <w:gridSpan w:val="2"/>
            <w:shd w:val="clear" w:color="auto" w:fill="auto"/>
          </w:tcPr>
          <w:p w14:paraId="74695C25" w14:textId="77777777" w:rsidR="00C63CF2" w:rsidRDefault="00C63CF2"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Sociedad civil</w:t>
            </w:r>
          </w:p>
          <w:p w14:paraId="0900F8D9" w14:textId="77777777" w:rsidR="00704766" w:rsidRDefault="00612088"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Entorno propicio</w:t>
            </w:r>
          </w:p>
          <w:p w14:paraId="0557449F" w14:textId="77777777" w:rsidR="00612088" w:rsidRPr="003C1B59" w:rsidRDefault="00612088" w:rsidP="00704766">
            <w:pPr>
              <w:pStyle w:val="ListParagraph"/>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es"/>
              </w:rPr>
              <w:t>Comunidades, grupos o, en algunos casos, individuos</w:t>
            </w:r>
          </w:p>
          <w:p w14:paraId="7FF04C8B" w14:textId="77777777" w:rsidR="00166FDF" w:rsidRDefault="00166FDF"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Estudios científicos, técnicos y artísticos</w:t>
            </w:r>
          </w:p>
          <w:p w14:paraId="40B566F5" w14:textId="77777777" w:rsidR="00612088" w:rsidRDefault="00612088"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ONG</w:t>
            </w:r>
          </w:p>
          <w:p w14:paraId="0A3BA597" w14:textId="77777777" w:rsidR="00612088" w:rsidRDefault="00612088"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Instituciones de investigación</w:t>
            </w:r>
          </w:p>
          <w:p w14:paraId="2D4C4A81" w14:textId="77777777" w:rsidR="00612088" w:rsidRPr="00F866CD" w:rsidRDefault="00612088"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Centros de competencias</w:t>
            </w:r>
          </w:p>
        </w:tc>
      </w:tr>
    </w:tbl>
    <w:p w14:paraId="524C4811"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53759C40" w14:textId="77777777" w:rsidR="0054175C" w:rsidRPr="003C1B59" w:rsidRDefault="0054175C" w:rsidP="00704766">
      <w:pPr>
        <w:jc w:val="center"/>
        <w:rPr>
          <w:rFonts w:ascii="Arial" w:hAnsi="Arial" w:cs="Arial"/>
          <w:b/>
          <w:sz w:val="24"/>
          <w:lang w:val="fr-FR"/>
        </w:rPr>
      </w:pPr>
      <w:r>
        <w:rPr>
          <w:rFonts w:ascii="Arial" w:hAnsi="Arial" w:cs="Arial"/>
          <w:b/>
          <w:bCs/>
          <w:sz w:val="24"/>
          <w:lang w:val="es"/>
        </w:rPr>
        <w:t>Orientación específica sobre el seguimiento y la presentación de informes periódicos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8342"/>
      </w:tblGrid>
      <w:tr w:rsidR="009C0510" w:rsidRPr="003C1B59" w14:paraId="7E5BA833" w14:textId="77777777" w:rsidTr="003C1B59">
        <w:tc>
          <w:tcPr>
            <w:tcW w:w="767" w:type="pct"/>
            <w:shd w:val="clear" w:color="auto" w:fill="auto"/>
          </w:tcPr>
          <w:p w14:paraId="61F8288D" w14:textId="77777777" w:rsidR="002C28BA" w:rsidRPr="00F866CD" w:rsidRDefault="002C28BA" w:rsidP="006B0DB6">
            <w:pPr>
              <w:spacing w:before="120"/>
              <w:rPr>
                <w:rFonts w:ascii="Arial" w:hAnsi="Arial" w:cs="Arial"/>
                <w:b/>
                <w:szCs w:val="22"/>
              </w:rPr>
            </w:pPr>
            <w:r>
              <w:rPr>
                <w:rFonts w:ascii="Arial" w:hAnsi="Arial" w:cs="Arial"/>
                <w:b/>
                <w:bCs/>
                <w:szCs w:val="22"/>
                <w:lang w:val="es"/>
              </w:rPr>
              <w:t>Ventajas del seguimiento</w:t>
            </w:r>
          </w:p>
        </w:tc>
        <w:tc>
          <w:tcPr>
            <w:tcW w:w="4233" w:type="pct"/>
            <w:shd w:val="clear" w:color="auto" w:fill="auto"/>
          </w:tcPr>
          <w:p w14:paraId="0838993F" w14:textId="78184FA3" w:rsidR="002C28BA" w:rsidRPr="003C1B59" w:rsidRDefault="00DA2A4B" w:rsidP="00DA2A4B">
            <w:pPr>
              <w:keepLines/>
              <w:spacing w:before="120"/>
              <w:jc w:val="both"/>
              <w:rPr>
                <w:rFonts w:ascii="Arial" w:hAnsi="Arial" w:cs="Arial"/>
                <w:bCs/>
                <w:szCs w:val="22"/>
                <w:lang w:val="fr-FR"/>
              </w:rPr>
            </w:pPr>
            <w:r>
              <w:rPr>
                <w:rFonts w:ascii="Arial" w:hAnsi="Arial" w:cs="Arial"/>
                <w:szCs w:val="22"/>
                <w:lang w:val="es"/>
              </w:rPr>
              <w:t>El seguimiento de este indicador pone de relieve el propio proceso de monitoreo. Puede ayudar a un Estado a determinar si ese proceso se está beneficiando de la participación de una gran variedad de actores de la sociedad civil involucrados en el PCI, así como si se basa en estudios sobre la salvaguardia del PCI realizados desde distintas perspectivas. Además, puede identificar otras oportunidades para una mayor participación de dichos actores en el monitoreo y los estudios tanto actuales como futuros. El seguimiento de este indicador a nivel mundial puede ofrecer ejemplos de mecanismos eficaces para involucrar a la sociedad civil en el proceso de monitoreo y en los estudios relacionados, y puede determinar si los Estados están aprovechando los conocimientos y las perspectivas de los actores de la sociedad civil.</w:t>
            </w:r>
          </w:p>
        </w:tc>
      </w:tr>
      <w:tr w:rsidR="0054175C" w:rsidRPr="00F866CD" w14:paraId="4027D324" w14:textId="77777777" w:rsidTr="003C1B59">
        <w:tc>
          <w:tcPr>
            <w:tcW w:w="767" w:type="pct"/>
            <w:shd w:val="clear" w:color="auto" w:fill="auto"/>
          </w:tcPr>
          <w:p w14:paraId="1D50B413" w14:textId="77777777" w:rsidR="0054175C" w:rsidRPr="003C1B59" w:rsidRDefault="0054175C" w:rsidP="0054175C">
            <w:pPr>
              <w:spacing w:before="120"/>
              <w:rPr>
                <w:rFonts w:ascii="Arial" w:hAnsi="Arial" w:cs="Arial"/>
                <w:b/>
                <w:szCs w:val="22"/>
                <w:lang w:val="fr-FR"/>
              </w:rPr>
            </w:pPr>
            <w:r>
              <w:rPr>
                <w:rFonts w:ascii="Arial" w:hAnsi="Arial" w:cs="Arial"/>
                <w:b/>
                <w:bCs/>
                <w:szCs w:val="22"/>
                <w:lang w:val="es"/>
              </w:rPr>
              <w:t>Fuentes y recopilación de información</w:t>
            </w:r>
          </w:p>
        </w:tc>
        <w:tc>
          <w:tcPr>
            <w:tcW w:w="4233" w:type="pct"/>
            <w:shd w:val="clear" w:color="auto" w:fill="auto"/>
          </w:tcPr>
          <w:p w14:paraId="3C190702" w14:textId="4C9D8702" w:rsidR="0054175C" w:rsidRPr="003C1B59" w:rsidRDefault="00A36D9C" w:rsidP="0054175C">
            <w:pPr>
              <w:spacing w:before="120"/>
              <w:jc w:val="both"/>
              <w:rPr>
                <w:rFonts w:ascii="Arial" w:hAnsi="Arial" w:cs="Arial"/>
                <w:szCs w:val="22"/>
                <w:lang w:val="fr-FR"/>
              </w:rPr>
            </w:pPr>
            <w:r>
              <w:rPr>
                <w:rFonts w:ascii="Arial" w:hAnsi="Arial" w:cs="Arial"/>
                <w:szCs w:val="22"/>
                <w:lang w:val="es"/>
              </w:rPr>
              <w:t>Dado que este indicador se centra en el propio proceso de seguimiento, los responsables del monitoreo y la presentación de informes en nombre del Estado tal vez necesiten consultar con las comunidades, las organizaciones no gubernamentales y otras partes interesadas que puedan estar contribuyendo al ejercicio de monitoreo a diferentes niveles. Un órgano consultivo o mecanismo de coordinación, si existe, constituirá un foro importante para reunir a los diversos actores para planificar, supervisar, llevar a cabo y evaluar las actividades de monitoreo.</w:t>
            </w:r>
          </w:p>
          <w:p w14:paraId="272EA3DB"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es"/>
              </w:rPr>
              <w:t>Posibles fuentes de información</w:t>
            </w:r>
          </w:p>
          <w:p w14:paraId="4350D104" w14:textId="77777777" w:rsidR="0054175C" w:rsidRPr="003C1B59" w:rsidRDefault="00880200" w:rsidP="00BE5B3F">
            <w:pPr>
              <w:pStyle w:val="ListParagraph"/>
              <w:numPr>
                <w:ilvl w:val="0"/>
                <w:numId w:val="73"/>
              </w:numPr>
              <w:spacing w:before="120"/>
              <w:jc w:val="both"/>
              <w:rPr>
                <w:rFonts w:ascii="Arial" w:hAnsi="Arial" w:cs="Arial"/>
                <w:lang w:val="fr-FR"/>
              </w:rPr>
            </w:pPr>
            <w:r>
              <w:rPr>
                <w:rFonts w:ascii="Arial" w:hAnsi="Arial" w:cs="Arial"/>
                <w:lang w:val="es"/>
              </w:rPr>
              <w:t>Planes de trabajo del órgano responsable del seguimiento y la presentación de informes</w:t>
            </w:r>
          </w:p>
          <w:p w14:paraId="0E6F52BC" w14:textId="77777777" w:rsidR="00880200" w:rsidRPr="003C1B59" w:rsidRDefault="00880200" w:rsidP="00BE5B3F">
            <w:pPr>
              <w:pStyle w:val="ListParagraph"/>
              <w:numPr>
                <w:ilvl w:val="0"/>
                <w:numId w:val="73"/>
              </w:numPr>
              <w:spacing w:before="120"/>
              <w:jc w:val="both"/>
              <w:rPr>
                <w:rFonts w:ascii="Arial" w:hAnsi="Arial" w:cs="Arial"/>
                <w:lang w:val="fr-FR"/>
              </w:rPr>
            </w:pPr>
            <w:r>
              <w:rPr>
                <w:rFonts w:ascii="Arial" w:hAnsi="Arial" w:cs="Arial"/>
                <w:lang w:val="es"/>
              </w:rPr>
              <w:t>Planes de trabajo, programas y actas de un órgano consultivo o mecanismo de coordinación</w:t>
            </w:r>
          </w:p>
          <w:p w14:paraId="5FC5A653" w14:textId="77777777" w:rsidR="00880200" w:rsidRPr="003C1B59" w:rsidRDefault="00880200" w:rsidP="00880200">
            <w:pPr>
              <w:pStyle w:val="ListParagraph"/>
              <w:numPr>
                <w:ilvl w:val="0"/>
                <w:numId w:val="73"/>
              </w:numPr>
              <w:spacing w:before="120"/>
              <w:jc w:val="both"/>
              <w:rPr>
                <w:rFonts w:ascii="Arial" w:hAnsi="Arial" w:cs="Arial"/>
                <w:lang w:val="fr-FR"/>
              </w:rPr>
            </w:pPr>
            <w:r>
              <w:rPr>
                <w:rFonts w:ascii="Arial" w:hAnsi="Arial" w:cs="Arial"/>
                <w:lang w:val="es"/>
              </w:rPr>
              <w:t>Bibliografías, catálogos de editores o reseñas de obras publicadas</w:t>
            </w:r>
          </w:p>
          <w:p w14:paraId="3C8AA88D" w14:textId="452BDFD7" w:rsidR="00880200" w:rsidRPr="003C1B59" w:rsidRDefault="00880200" w:rsidP="00880200">
            <w:pPr>
              <w:pStyle w:val="ListParagraph"/>
              <w:numPr>
                <w:ilvl w:val="0"/>
                <w:numId w:val="73"/>
              </w:numPr>
              <w:spacing w:before="120"/>
              <w:jc w:val="both"/>
              <w:rPr>
                <w:rFonts w:ascii="Arial" w:hAnsi="Arial" w:cs="Arial"/>
                <w:lang w:val="fr-FR"/>
              </w:rPr>
            </w:pPr>
            <w:r>
              <w:rPr>
                <w:rFonts w:ascii="Arial" w:hAnsi="Arial" w:cs="Arial"/>
                <w:lang w:val="es"/>
              </w:rPr>
              <w:t>Orden del día o actas de la conferencia, así como documentos en los que se describan otras presentaciones y eventos públicos de organizaciones no gubernamentales u otros actores de la sociedad civil</w:t>
            </w:r>
          </w:p>
          <w:p w14:paraId="2E71005E" w14:textId="189FCA98" w:rsidR="007967CF" w:rsidRPr="00F866CD" w:rsidRDefault="007967CF" w:rsidP="00880200">
            <w:pPr>
              <w:pStyle w:val="ListParagraph"/>
              <w:numPr>
                <w:ilvl w:val="0"/>
                <w:numId w:val="73"/>
              </w:numPr>
              <w:spacing w:before="120"/>
              <w:jc w:val="both"/>
              <w:rPr>
                <w:rFonts w:ascii="Arial" w:hAnsi="Arial" w:cs="Arial"/>
              </w:rPr>
            </w:pPr>
            <w:r>
              <w:rPr>
                <w:rFonts w:ascii="Arial" w:hAnsi="Arial" w:cs="Arial"/>
                <w:lang w:val="es"/>
              </w:rPr>
              <w:t>Informes de estudios realizados por organizaciones no gubernamentales u otros actores de la sociedad civil</w:t>
            </w:r>
          </w:p>
        </w:tc>
      </w:tr>
    </w:tbl>
    <w:p w14:paraId="50BA222F"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0C443" w14:textId="77777777" w:rsidR="00CA2B4D" w:rsidRDefault="00CA2B4D" w:rsidP="002938F2">
      <w:r>
        <w:separator/>
      </w:r>
    </w:p>
    <w:p w14:paraId="34261615" w14:textId="77777777" w:rsidR="00CA2B4D" w:rsidRDefault="00CA2B4D"/>
  </w:endnote>
  <w:endnote w:type="continuationSeparator" w:id="0">
    <w:p w14:paraId="4835EA0D" w14:textId="77777777" w:rsidR="00CA2B4D" w:rsidRDefault="00CA2B4D" w:rsidP="002938F2">
      <w:r>
        <w:continuationSeparator/>
      </w:r>
    </w:p>
    <w:p w14:paraId="5760DED2" w14:textId="77777777" w:rsidR="00CA2B4D" w:rsidRDefault="00CA2B4D"/>
  </w:endnote>
  <w:endnote w:type="continuationNotice" w:id="1">
    <w:p w14:paraId="5076CE36" w14:textId="77777777" w:rsidR="00CA2B4D" w:rsidRDefault="00CA2B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18333" w14:textId="418F9E0A" w:rsidR="00C04344" w:rsidRPr="000A0709" w:rsidRDefault="00A7634C" w:rsidP="000A0709">
    <w:pPr>
      <w:pStyle w:val="Footer"/>
      <w:jc w:val="center"/>
      <w:rPr>
        <w:rFonts w:ascii="Arial" w:hAnsi="Arial"/>
      </w:rPr>
    </w:pPr>
    <w:r>
      <w:rPr>
        <w:rFonts w:ascii="Arial" w:hAnsi="Arial" w:cs="Arial"/>
        <w:lang w:val="es"/>
      </w:rPr>
      <w:fldChar w:fldCharType="begin"/>
    </w:r>
    <w:r>
      <w:rPr>
        <w:rFonts w:ascii="Arial" w:hAnsi="Arial" w:cs="Arial"/>
        <w:lang w:val="es"/>
      </w:rPr>
      <w:instrText xml:space="preserve"> PAGE   \* MERGEFORMAT </w:instrText>
    </w:r>
    <w:r>
      <w:rPr>
        <w:rFonts w:ascii="Arial" w:hAnsi="Arial" w:cs="Arial"/>
        <w:lang w:val="es"/>
      </w:rPr>
      <w:fldChar w:fldCharType="separate"/>
    </w:r>
    <w:r>
      <w:rPr>
        <w:rFonts w:ascii="Arial" w:hAnsi="Arial" w:cs="Arial"/>
        <w:noProof/>
        <w:lang w:val="es"/>
      </w:rPr>
      <w:t>1</w:t>
    </w:r>
    <w:r>
      <w:rPr>
        <w:rFonts w:ascii="Arial" w:hAnsi="Arial" w:cs="Arial"/>
        <w:noProof/>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0EAA7" w14:textId="77777777" w:rsidR="00CA2B4D" w:rsidRDefault="00CA2B4D" w:rsidP="002938F2">
      <w:r>
        <w:separator/>
      </w:r>
    </w:p>
  </w:footnote>
  <w:footnote w:type="continuationSeparator" w:id="0">
    <w:p w14:paraId="1091938F" w14:textId="77777777" w:rsidR="00CA2B4D" w:rsidRDefault="00CA2B4D" w:rsidP="002938F2">
      <w:r>
        <w:continuationSeparator/>
      </w:r>
    </w:p>
    <w:p w14:paraId="3BD6958A" w14:textId="77777777" w:rsidR="00CA2B4D" w:rsidRDefault="00CA2B4D"/>
  </w:footnote>
  <w:footnote w:type="continuationNotice" w:id="1">
    <w:p w14:paraId="00738653" w14:textId="77777777" w:rsidR="00CA2B4D" w:rsidRDefault="00CA2B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E9D5" w14:textId="77777777" w:rsidR="001B2B79" w:rsidRDefault="001B2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93A12BC"/>
    <w:multiLevelType w:val="multilevel"/>
    <w:tmpl w:val="C406D0A6"/>
    <w:lvl w:ilvl="0">
      <w:start w:val="22"/>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11"/>
  </w:num>
  <w:num w:numId="4">
    <w:abstractNumId w:val="55"/>
  </w:num>
  <w:num w:numId="5">
    <w:abstractNumId w:val="45"/>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6"/>
  </w:num>
  <w:num w:numId="35">
    <w:abstractNumId w:val="20"/>
  </w:num>
  <w:num w:numId="36">
    <w:abstractNumId w:val="40"/>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39"/>
  </w:num>
  <w:num w:numId="57">
    <w:abstractNumId w:val="0"/>
  </w:num>
  <w:num w:numId="58">
    <w:abstractNumId w:val="3"/>
  </w:num>
  <w:num w:numId="59">
    <w:abstractNumId w:val="43"/>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4"/>
  </w:num>
  <w:num w:numId="67">
    <w:abstractNumId w:val="36"/>
  </w:num>
  <w:num w:numId="68">
    <w:abstractNumId w:val="13"/>
  </w:num>
  <w:num w:numId="69">
    <w:abstractNumId w:val="41"/>
  </w:num>
  <w:num w:numId="70">
    <w:abstractNumId w:val="32"/>
  </w:num>
  <w:num w:numId="71">
    <w:abstractNumId w:val="27"/>
  </w:num>
  <w:num w:numId="72">
    <w:abstractNumId w:val="50"/>
  </w:num>
  <w:num w:numId="73">
    <w:abstractNumId w:val="7"/>
  </w:num>
  <w:num w:numId="74">
    <w:abstractNumId w:val="34"/>
  </w:num>
  <w:num w:numId="75">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_tradnl"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12088"/>
    <w:rsid w:val="000016A4"/>
    <w:rsid w:val="000019DB"/>
    <w:rsid w:val="00002355"/>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3287E"/>
    <w:rsid w:val="001412DE"/>
    <w:rsid w:val="00142D78"/>
    <w:rsid w:val="00144A4D"/>
    <w:rsid w:val="00151351"/>
    <w:rsid w:val="00156788"/>
    <w:rsid w:val="001609A1"/>
    <w:rsid w:val="00162554"/>
    <w:rsid w:val="00163F68"/>
    <w:rsid w:val="00166FDF"/>
    <w:rsid w:val="00173B50"/>
    <w:rsid w:val="00173E0E"/>
    <w:rsid w:val="00174B39"/>
    <w:rsid w:val="00183F6C"/>
    <w:rsid w:val="00194802"/>
    <w:rsid w:val="00194AEB"/>
    <w:rsid w:val="001A431C"/>
    <w:rsid w:val="001A5519"/>
    <w:rsid w:val="001A7C3A"/>
    <w:rsid w:val="001B2B79"/>
    <w:rsid w:val="001B4C04"/>
    <w:rsid w:val="001B5C26"/>
    <w:rsid w:val="001C08BC"/>
    <w:rsid w:val="001C56BA"/>
    <w:rsid w:val="001C6C26"/>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0C03"/>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20242"/>
    <w:rsid w:val="00322A3A"/>
    <w:rsid w:val="00324A32"/>
    <w:rsid w:val="00325D6E"/>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A260A"/>
    <w:rsid w:val="003A2BC4"/>
    <w:rsid w:val="003B24B6"/>
    <w:rsid w:val="003B31BE"/>
    <w:rsid w:val="003B504D"/>
    <w:rsid w:val="003C1B59"/>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0BB5"/>
    <w:rsid w:val="004458C9"/>
    <w:rsid w:val="00447C66"/>
    <w:rsid w:val="00462F38"/>
    <w:rsid w:val="00471B34"/>
    <w:rsid w:val="00474AFE"/>
    <w:rsid w:val="00475E02"/>
    <w:rsid w:val="00477E66"/>
    <w:rsid w:val="00480809"/>
    <w:rsid w:val="004831C7"/>
    <w:rsid w:val="00486A5E"/>
    <w:rsid w:val="00493F92"/>
    <w:rsid w:val="004A0C2B"/>
    <w:rsid w:val="004A610E"/>
    <w:rsid w:val="004C20E2"/>
    <w:rsid w:val="004E056C"/>
    <w:rsid w:val="004E0933"/>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50386"/>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12088"/>
    <w:rsid w:val="006131D5"/>
    <w:rsid w:val="00621092"/>
    <w:rsid w:val="00621208"/>
    <w:rsid w:val="00632B30"/>
    <w:rsid w:val="006338F0"/>
    <w:rsid w:val="006340A1"/>
    <w:rsid w:val="00636760"/>
    <w:rsid w:val="00644B92"/>
    <w:rsid w:val="00645B77"/>
    <w:rsid w:val="0065099D"/>
    <w:rsid w:val="006515C9"/>
    <w:rsid w:val="00651944"/>
    <w:rsid w:val="00652318"/>
    <w:rsid w:val="00652484"/>
    <w:rsid w:val="00653314"/>
    <w:rsid w:val="0067005F"/>
    <w:rsid w:val="0067015A"/>
    <w:rsid w:val="006736EC"/>
    <w:rsid w:val="00673D8A"/>
    <w:rsid w:val="00673D90"/>
    <w:rsid w:val="00676C1E"/>
    <w:rsid w:val="00686D60"/>
    <w:rsid w:val="00691869"/>
    <w:rsid w:val="006A0D86"/>
    <w:rsid w:val="006A49AE"/>
    <w:rsid w:val="006A56C0"/>
    <w:rsid w:val="006C0911"/>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3D3D"/>
    <w:rsid w:val="00774D9C"/>
    <w:rsid w:val="00776A63"/>
    <w:rsid w:val="00790C65"/>
    <w:rsid w:val="0079316B"/>
    <w:rsid w:val="007967CF"/>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488D"/>
    <w:rsid w:val="008466C3"/>
    <w:rsid w:val="00846809"/>
    <w:rsid w:val="00851458"/>
    <w:rsid w:val="00861A47"/>
    <w:rsid w:val="008707FF"/>
    <w:rsid w:val="008724E5"/>
    <w:rsid w:val="00877AC5"/>
    <w:rsid w:val="00877F27"/>
    <w:rsid w:val="00880200"/>
    <w:rsid w:val="0088173A"/>
    <w:rsid w:val="00881EB9"/>
    <w:rsid w:val="008848E9"/>
    <w:rsid w:val="00884C09"/>
    <w:rsid w:val="00885596"/>
    <w:rsid w:val="00885B33"/>
    <w:rsid w:val="00886B71"/>
    <w:rsid w:val="00893E41"/>
    <w:rsid w:val="0089499E"/>
    <w:rsid w:val="00896177"/>
    <w:rsid w:val="008A0BE3"/>
    <w:rsid w:val="008A2566"/>
    <w:rsid w:val="008A6663"/>
    <w:rsid w:val="008B6B4C"/>
    <w:rsid w:val="008B7346"/>
    <w:rsid w:val="008C24A8"/>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FFD"/>
    <w:rsid w:val="009834BB"/>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23820"/>
    <w:rsid w:val="00A36D9C"/>
    <w:rsid w:val="00A462C6"/>
    <w:rsid w:val="00A519A2"/>
    <w:rsid w:val="00A51BDC"/>
    <w:rsid w:val="00A535B7"/>
    <w:rsid w:val="00A5709F"/>
    <w:rsid w:val="00A616C4"/>
    <w:rsid w:val="00A61F20"/>
    <w:rsid w:val="00A64796"/>
    <w:rsid w:val="00A66CD4"/>
    <w:rsid w:val="00A70883"/>
    <w:rsid w:val="00A7634C"/>
    <w:rsid w:val="00A77AEB"/>
    <w:rsid w:val="00A81F0A"/>
    <w:rsid w:val="00A85C7A"/>
    <w:rsid w:val="00A86042"/>
    <w:rsid w:val="00AA28E4"/>
    <w:rsid w:val="00AA36F9"/>
    <w:rsid w:val="00AA444A"/>
    <w:rsid w:val="00AB1528"/>
    <w:rsid w:val="00AD6BD4"/>
    <w:rsid w:val="00AE1B18"/>
    <w:rsid w:val="00AE1D83"/>
    <w:rsid w:val="00AE2723"/>
    <w:rsid w:val="00AE2DFB"/>
    <w:rsid w:val="00AE3061"/>
    <w:rsid w:val="00AF15BA"/>
    <w:rsid w:val="00AF1C32"/>
    <w:rsid w:val="00AF65C6"/>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1C6C"/>
    <w:rsid w:val="00C6300B"/>
    <w:rsid w:val="00C63CF2"/>
    <w:rsid w:val="00C6426B"/>
    <w:rsid w:val="00C6478B"/>
    <w:rsid w:val="00C87194"/>
    <w:rsid w:val="00C90629"/>
    <w:rsid w:val="00C90C51"/>
    <w:rsid w:val="00CA2B4D"/>
    <w:rsid w:val="00CA3ED6"/>
    <w:rsid w:val="00CA7CF4"/>
    <w:rsid w:val="00CB0F37"/>
    <w:rsid w:val="00CB1135"/>
    <w:rsid w:val="00CB590B"/>
    <w:rsid w:val="00CC02C5"/>
    <w:rsid w:val="00CC2BC6"/>
    <w:rsid w:val="00CC3AAB"/>
    <w:rsid w:val="00CD324E"/>
    <w:rsid w:val="00CD4A28"/>
    <w:rsid w:val="00CD54BD"/>
    <w:rsid w:val="00CD6C36"/>
    <w:rsid w:val="00CE2586"/>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A2A4B"/>
    <w:rsid w:val="00DB50D5"/>
    <w:rsid w:val="00DC5537"/>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30CC"/>
    <w:rsid w:val="00E56905"/>
    <w:rsid w:val="00E64BE4"/>
    <w:rsid w:val="00E85565"/>
    <w:rsid w:val="00E87F91"/>
    <w:rsid w:val="00E92CA8"/>
    <w:rsid w:val="00E94187"/>
    <w:rsid w:val="00E94BC6"/>
    <w:rsid w:val="00EA0563"/>
    <w:rsid w:val="00EA198F"/>
    <w:rsid w:val="00EA2EA1"/>
    <w:rsid w:val="00EA3CB9"/>
    <w:rsid w:val="00EA59EB"/>
    <w:rsid w:val="00EA67F3"/>
    <w:rsid w:val="00EB0657"/>
    <w:rsid w:val="00EB23EA"/>
    <w:rsid w:val="00EB48F8"/>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0DBA"/>
    <w:rsid w:val="00F63DDA"/>
    <w:rsid w:val="00F67029"/>
    <w:rsid w:val="00F70858"/>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73BAE6"/>
  <w15:docId w15:val="{7DAFF07A-9F61-4B7B-ADF9-A8673D00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1B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24144">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4FA96-8F3D-4081-B21C-6A71B799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9</TotalTime>
  <Pages>2</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5</cp:revision>
  <dcterms:created xsi:type="dcterms:W3CDTF">2019-07-24T14:51:00Z</dcterms:created>
  <dcterms:modified xsi:type="dcterms:W3CDTF">2019-12-06T17:20:00Z</dcterms:modified>
</cp:coreProperties>
</file>