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DF40" w14:textId="6E61A420" w:rsidR="000A0709" w:rsidRPr="00FD309F" w:rsidRDefault="005A0279" w:rsidP="00B822C1">
      <w:pPr>
        <w:pageBreakBefore/>
        <w:bidi/>
        <w:jc w:val="center"/>
        <w:rPr>
          <w:b/>
          <w:bCs/>
          <w:sz w:val="24"/>
          <w:szCs w:val="28"/>
        </w:rPr>
      </w:pPr>
      <w:r w:rsidRPr="00FD309F">
        <w:rPr>
          <w:b/>
          <w:bCs/>
          <w:sz w:val="24"/>
          <w:szCs w:val="28"/>
          <w:rtl/>
        </w:rPr>
        <w:t>اللمحة العامة والأسس المنطقية</w:t>
      </w:r>
      <w:r w:rsidRPr="00FD309F">
        <w:rPr>
          <w:b/>
          <w:bCs/>
          <w:sz w:val="24"/>
          <w:szCs w:val="28"/>
        </w:rPr>
        <w:tab/>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157CAF" w14:paraId="5D9156C6" w14:textId="77777777" w:rsidTr="005A0279">
        <w:trPr>
          <w:cantSplit/>
        </w:trPr>
        <w:tc>
          <w:tcPr>
            <w:tcW w:w="786" w:type="pct"/>
            <w:shd w:val="clear" w:color="auto" w:fill="auto"/>
          </w:tcPr>
          <w:p w14:paraId="611A513F" w14:textId="6A2B69F6" w:rsidR="005473CF" w:rsidRPr="00C23320" w:rsidRDefault="005A0279" w:rsidP="00B822C1">
            <w:pPr>
              <w:bidi/>
              <w:spacing w:before="120"/>
              <w:jc w:val="both"/>
              <w:rPr>
                <w:b/>
                <w:sz w:val="24"/>
              </w:rPr>
            </w:pPr>
            <w:r w:rsidRPr="00C23320">
              <w:rPr>
                <w:b/>
                <w:bCs/>
                <w:sz w:val="24"/>
                <w:rtl/>
                <w:lang w:bidi="ar-EG"/>
              </w:rPr>
              <w:t>المؤشر</w:t>
            </w:r>
          </w:p>
        </w:tc>
        <w:tc>
          <w:tcPr>
            <w:tcW w:w="4214" w:type="pct"/>
            <w:gridSpan w:val="2"/>
            <w:shd w:val="clear" w:color="auto" w:fill="auto"/>
          </w:tcPr>
          <w:p w14:paraId="49ABC42A" w14:textId="11F2C37B" w:rsidR="005473CF" w:rsidRPr="00C23320" w:rsidRDefault="00724517" w:rsidP="00B822C1">
            <w:pPr>
              <w:pStyle w:val="ListParagraph"/>
              <w:keepLines/>
              <w:numPr>
                <w:ilvl w:val="0"/>
                <w:numId w:val="76"/>
              </w:numPr>
              <w:bidi/>
              <w:spacing w:before="120"/>
              <w:jc w:val="both"/>
              <w:rPr>
                <w:bCs/>
                <w:sz w:val="24"/>
                <w:szCs w:val="24"/>
              </w:rPr>
            </w:pPr>
            <w:r w:rsidRPr="00C23320">
              <w:rPr>
                <w:bCs/>
                <w:sz w:val="24"/>
                <w:szCs w:val="24"/>
                <w:rtl/>
              </w:rPr>
              <w:t>عدد المنظمات غير الحكومية والهيئات العامة والخاصة والأفراد الذين تشركهم اللجنة بصفة استشارية وتوزيعهم الجغرافي</w:t>
            </w:r>
            <w:r w:rsidRPr="00C23320">
              <w:rPr>
                <w:bCs/>
                <w:sz w:val="24"/>
                <w:szCs w:val="24"/>
                <w:vertAlign w:val="superscript"/>
                <w:rtl/>
              </w:rPr>
              <w:footnoteReference w:id="2"/>
            </w:r>
          </w:p>
        </w:tc>
      </w:tr>
      <w:tr w:rsidR="005B0FE5" w:rsidRPr="00157CAF" w14:paraId="6CFCCACD" w14:textId="77777777" w:rsidTr="005A0279">
        <w:trPr>
          <w:cantSplit/>
        </w:trPr>
        <w:tc>
          <w:tcPr>
            <w:tcW w:w="786" w:type="pct"/>
            <w:vMerge w:val="restart"/>
            <w:shd w:val="clear" w:color="auto" w:fill="auto"/>
          </w:tcPr>
          <w:p w14:paraId="218339E8" w14:textId="7CA302DD" w:rsidR="005B0FE5" w:rsidRPr="00C23320" w:rsidRDefault="005A0279" w:rsidP="00B822C1">
            <w:pPr>
              <w:bidi/>
              <w:jc w:val="both"/>
              <w:rPr>
                <w:sz w:val="24"/>
              </w:rPr>
            </w:pPr>
            <w:r w:rsidRPr="00C23320">
              <w:rPr>
                <w:b/>
                <w:bCs/>
                <w:sz w:val="24"/>
                <w:rtl/>
              </w:rPr>
              <w:t>عوامل التقييم الشامل</w:t>
            </w:r>
          </w:p>
        </w:tc>
        <w:tc>
          <w:tcPr>
            <w:tcW w:w="4214" w:type="pct"/>
            <w:gridSpan w:val="2"/>
            <w:shd w:val="clear" w:color="auto" w:fill="auto"/>
          </w:tcPr>
          <w:p w14:paraId="37DB23E5" w14:textId="7821EB88" w:rsidR="000F225C" w:rsidRPr="00C23320" w:rsidRDefault="000F225C" w:rsidP="00B822C1">
            <w:pPr>
              <w:keepLines/>
              <w:bidi/>
              <w:spacing w:before="120"/>
              <w:jc w:val="both"/>
              <w:rPr>
                <w:b/>
                <w:sz w:val="24"/>
                <w:rtl/>
                <w:lang w:bidi="ar-EG"/>
              </w:rPr>
            </w:pPr>
            <w:r w:rsidRPr="00C23320">
              <w:rPr>
                <w:sz w:val="24"/>
                <w:rtl/>
              </w:rPr>
              <w:t xml:space="preserve">يتم تقييم هذا المؤشر على أساس ثلاثة عوامل على الصعيد العالمي ترصدها الأمانة </w:t>
            </w:r>
            <w:r w:rsidR="00B371D1" w:rsidRPr="00C23320">
              <w:rPr>
                <w:rFonts w:hint="cs"/>
                <w:sz w:val="24"/>
                <w:rtl/>
              </w:rPr>
              <w:t>و</w:t>
            </w:r>
            <w:r w:rsidR="0031400F" w:rsidRPr="00C23320">
              <w:rPr>
                <w:rFonts w:hint="cs"/>
                <w:sz w:val="24"/>
                <w:rtl/>
                <w:lang w:bidi="ar-EG"/>
              </w:rPr>
              <w:t>ت</w:t>
            </w:r>
            <w:r w:rsidR="00F75609">
              <w:rPr>
                <w:rFonts w:hint="cs"/>
                <w:sz w:val="24"/>
                <w:rtl/>
                <w:lang w:bidi="ar-EG"/>
              </w:rPr>
              <w:t xml:space="preserve">عد </w:t>
            </w:r>
            <w:proofErr w:type="gramStart"/>
            <w:r w:rsidR="00F75609">
              <w:rPr>
                <w:rFonts w:hint="cs"/>
                <w:sz w:val="24"/>
                <w:rtl/>
                <w:lang w:bidi="ar-EG"/>
              </w:rPr>
              <w:t xml:space="preserve">التقرير </w:t>
            </w:r>
            <w:r w:rsidR="0031400F" w:rsidRPr="00C23320">
              <w:rPr>
                <w:rFonts w:hint="cs"/>
                <w:sz w:val="24"/>
                <w:rtl/>
                <w:lang w:bidi="ar-EG"/>
              </w:rPr>
              <w:t xml:space="preserve"> عنها</w:t>
            </w:r>
            <w:proofErr w:type="gramEnd"/>
            <w:r w:rsidRPr="00C23320">
              <w:rPr>
                <w:sz w:val="24"/>
                <w:rtl/>
              </w:rPr>
              <w:t>:</w:t>
            </w:r>
          </w:p>
        </w:tc>
      </w:tr>
      <w:tr w:rsidR="00C36C46" w:rsidRPr="00157CAF" w14:paraId="57F542D7" w14:textId="77777777" w:rsidTr="005A0279">
        <w:trPr>
          <w:cantSplit/>
        </w:trPr>
        <w:tc>
          <w:tcPr>
            <w:tcW w:w="786" w:type="pct"/>
            <w:vMerge/>
            <w:shd w:val="clear" w:color="auto" w:fill="auto"/>
          </w:tcPr>
          <w:p w14:paraId="38FD06AB" w14:textId="77777777" w:rsidR="00C36C46" w:rsidRPr="00C23320" w:rsidRDefault="00C36C46" w:rsidP="00B822C1">
            <w:pPr>
              <w:bidi/>
              <w:spacing w:before="120"/>
              <w:jc w:val="both"/>
              <w:rPr>
                <w:b/>
                <w:sz w:val="24"/>
              </w:rPr>
            </w:pPr>
          </w:p>
        </w:tc>
        <w:tc>
          <w:tcPr>
            <w:tcW w:w="3418" w:type="pct"/>
            <w:shd w:val="clear" w:color="auto" w:fill="auto"/>
            <w:vAlign w:val="center"/>
          </w:tcPr>
          <w:p w14:paraId="5DF5B30C" w14:textId="27235473" w:rsidR="00C36C46" w:rsidRPr="00C23320" w:rsidRDefault="00496738" w:rsidP="00B822C1">
            <w:pPr>
              <w:keepLines/>
              <w:bidi/>
              <w:spacing w:before="120"/>
              <w:jc w:val="both"/>
              <w:rPr>
                <w:sz w:val="24"/>
              </w:rPr>
            </w:pPr>
            <w:r w:rsidRPr="00C23320">
              <w:rPr>
                <w:sz w:val="24"/>
                <w:rtl/>
              </w:rPr>
              <w:t>23-1 عدد المنظّمات غير الحكومية المعتمدة لتقديم الخدمات الاستشارية وتوزيعها الجغرافي وتمثيلها لمختلف المجالات.</w:t>
            </w:r>
          </w:p>
        </w:tc>
        <w:tc>
          <w:tcPr>
            <w:tcW w:w="796" w:type="pct"/>
            <w:shd w:val="clear" w:color="auto" w:fill="auto"/>
            <w:vAlign w:val="center"/>
          </w:tcPr>
          <w:p w14:paraId="5A36DF11" w14:textId="77777777" w:rsidR="000470ED" w:rsidRPr="00C23320" w:rsidRDefault="000470ED" w:rsidP="00B822C1">
            <w:pPr>
              <w:bidi/>
              <w:spacing w:before="60" w:after="60"/>
              <w:jc w:val="both"/>
              <w:rPr>
                <w:sz w:val="24"/>
              </w:rPr>
            </w:pPr>
            <w:r w:rsidRPr="00C23320">
              <w:rPr>
                <w:sz w:val="24"/>
                <w:rtl/>
              </w:rPr>
              <w:t>المادة 9</w:t>
            </w:r>
          </w:p>
          <w:p w14:paraId="35E2C6E6" w14:textId="271C7F06" w:rsidR="00C36C46" w:rsidRPr="00C23320" w:rsidRDefault="000470ED" w:rsidP="00B822C1">
            <w:pPr>
              <w:bidi/>
              <w:spacing w:before="60" w:after="60"/>
              <w:jc w:val="both"/>
              <w:rPr>
                <w:sz w:val="24"/>
              </w:rPr>
            </w:pPr>
            <w:r w:rsidRPr="00C23320">
              <w:rPr>
                <w:sz w:val="24"/>
                <w:rtl/>
              </w:rPr>
              <w:t xml:space="preserve">التوجيه </w:t>
            </w:r>
            <w:r w:rsidR="0031400F" w:rsidRPr="00C23320">
              <w:rPr>
                <w:rFonts w:asciiTheme="majorBidi" w:hAnsiTheme="majorBidi"/>
                <w:sz w:val="24"/>
                <w:rtl/>
              </w:rPr>
              <w:t xml:space="preserve">التنفيذي </w:t>
            </w:r>
            <w:r w:rsidRPr="00C23320">
              <w:rPr>
                <w:sz w:val="24"/>
                <w:rtl/>
              </w:rPr>
              <w:t>93</w:t>
            </w:r>
          </w:p>
        </w:tc>
      </w:tr>
      <w:tr w:rsidR="00C36C46" w:rsidRPr="00157CAF" w14:paraId="641845FF" w14:textId="77777777" w:rsidTr="005A0279">
        <w:trPr>
          <w:cantSplit/>
        </w:trPr>
        <w:tc>
          <w:tcPr>
            <w:tcW w:w="786" w:type="pct"/>
            <w:vMerge/>
            <w:shd w:val="clear" w:color="auto" w:fill="auto"/>
          </w:tcPr>
          <w:p w14:paraId="77121169" w14:textId="77777777" w:rsidR="00C36C46" w:rsidRPr="00C23320" w:rsidRDefault="00C36C46" w:rsidP="00B822C1">
            <w:pPr>
              <w:bidi/>
              <w:spacing w:before="120"/>
              <w:jc w:val="both"/>
              <w:rPr>
                <w:b/>
                <w:sz w:val="24"/>
              </w:rPr>
            </w:pPr>
          </w:p>
        </w:tc>
        <w:tc>
          <w:tcPr>
            <w:tcW w:w="3418" w:type="pct"/>
            <w:shd w:val="clear" w:color="auto" w:fill="auto"/>
            <w:vAlign w:val="center"/>
          </w:tcPr>
          <w:p w14:paraId="0B32EB26" w14:textId="1E827E35" w:rsidR="00C36C46" w:rsidRPr="00C23320" w:rsidRDefault="00496738" w:rsidP="00B822C1">
            <w:pPr>
              <w:keepLines/>
              <w:bidi/>
              <w:spacing w:before="120"/>
              <w:jc w:val="both"/>
              <w:rPr>
                <w:sz w:val="24"/>
              </w:rPr>
            </w:pPr>
            <w:r w:rsidRPr="00C23320">
              <w:rPr>
                <w:sz w:val="24"/>
                <w:rtl/>
              </w:rPr>
              <w:t>23-2 النسبة المئوية للمنظّمات غير الحكومية المعتمدة التي تشارك في دورات والفرق العاملة التابعة للهيئتين الرئاسيتين للاتفاقية وتوزيعها الجغرافي.</w:t>
            </w:r>
          </w:p>
        </w:tc>
        <w:tc>
          <w:tcPr>
            <w:tcW w:w="796" w:type="pct"/>
            <w:shd w:val="clear" w:color="auto" w:fill="auto"/>
            <w:vAlign w:val="center"/>
          </w:tcPr>
          <w:p w14:paraId="3B73C9FA" w14:textId="01F56D5A" w:rsidR="00C36C46" w:rsidRPr="00C23320" w:rsidRDefault="000470ED" w:rsidP="00B822C1">
            <w:pPr>
              <w:bidi/>
              <w:spacing w:before="60" w:after="60"/>
              <w:jc w:val="both"/>
              <w:rPr>
                <w:sz w:val="24"/>
              </w:rPr>
            </w:pPr>
            <w:r w:rsidRPr="00C23320">
              <w:rPr>
                <w:sz w:val="24"/>
                <w:rtl/>
              </w:rPr>
              <w:t xml:space="preserve">التوجيه </w:t>
            </w:r>
            <w:r w:rsidR="0031400F" w:rsidRPr="00C23320">
              <w:rPr>
                <w:rFonts w:asciiTheme="majorBidi" w:hAnsiTheme="majorBidi"/>
                <w:sz w:val="24"/>
                <w:rtl/>
              </w:rPr>
              <w:t xml:space="preserve">التنفيذي </w:t>
            </w:r>
            <w:r w:rsidRPr="00C23320">
              <w:rPr>
                <w:sz w:val="24"/>
                <w:rtl/>
              </w:rPr>
              <w:t>96</w:t>
            </w:r>
          </w:p>
        </w:tc>
      </w:tr>
      <w:tr w:rsidR="00C36C46" w:rsidRPr="00157CAF" w14:paraId="1AF9688E" w14:textId="77777777" w:rsidTr="005A0279">
        <w:trPr>
          <w:cantSplit/>
        </w:trPr>
        <w:tc>
          <w:tcPr>
            <w:tcW w:w="786" w:type="pct"/>
            <w:vMerge/>
            <w:shd w:val="clear" w:color="auto" w:fill="auto"/>
          </w:tcPr>
          <w:p w14:paraId="12424119" w14:textId="77777777" w:rsidR="00C36C46" w:rsidRPr="00C23320" w:rsidRDefault="00C36C46" w:rsidP="00B822C1">
            <w:pPr>
              <w:bidi/>
              <w:spacing w:before="120"/>
              <w:jc w:val="both"/>
              <w:rPr>
                <w:b/>
                <w:sz w:val="24"/>
              </w:rPr>
            </w:pPr>
          </w:p>
        </w:tc>
        <w:tc>
          <w:tcPr>
            <w:tcW w:w="3418" w:type="pct"/>
            <w:shd w:val="clear" w:color="auto" w:fill="auto"/>
            <w:vAlign w:val="center"/>
          </w:tcPr>
          <w:p w14:paraId="12C8206B" w14:textId="0C8CE9BA" w:rsidR="00C36C46" w:rsidRPr="00C23320" w:rsidRDefault="00496738" w:rsidP="00B822C1">
            <w:pPr>
              <w:keepLines/>
              <w:bidi/>
              <w:spacing w:before="120"/>
              <w:jc w:val="both"/>
              <w:rPr>
                <w:sz w:val="24"/>
              </w:rPr>
            </w:pPr>
            <w:r w:rsidRPr="00C23320">
              <w:rPr>
                <w:sz w:val="24"/>
                <w:rtl/>
              </w:rPr>
              <w:t>23-3 عدد المناسبات والأنشطة التي تشرّك فيها اللجنة المنظّمات غير الحكومية المعتمدة لأغراض استشارية خارج نطاق آليات التقييم.</w:t>
            </w:r>
          </w:p>
        </w:tc>
        <w:tc>
          <w:tcPr>
            <w:tcW w:w="796" w:type="pct"/>
            <w:shd w:val="clear" w:color="auto" w:fill="auto"/>
            <w:vAlign w:val="center"/>
          </w:tcPr>
          <w:p w14:paraId="22907586" w14:textId="188678CC" w:rsidR="00C36C46" w:rsidRPr="00C23320" w:rsidRDefault="00911FF6" w:rsidP="00B822C1">
            <w:pPr>
              <w:keepLines/>
              <w:bidi/>
              <w:spacing w:before="120"/>
              <w:jc w:val="both"/>
              <w:rPr>
                <w:sz w:val="24"/>
              </w:rPr>
            </w:pPr>
            <w:r w:rsidRPr="00C23320">
              <w:rPr>
                <w:sz w:val="24"/>
                <w:rtl/>
              </w:rPr>
              <w:t>المادة 8</w:t>
            </w:r>
            <w:r w:rsidR="007C3E0E" w:rsidRPr="00C23320">
              <w:rPr>
                <w:sz w:val="24"/>
              </w:rPr>
              <w:br/>
            </w:r>
            <w:r w:rsidRPr="00C23320">
              <w:rPr>
                <w:sz w:val="24"/>
                <w:rtl/>
              </w:rPr>
              <w:t xml:space="preserve">التوجيه </w:t>
            </w:r>
            <w:r w:rsidR="0031400F" w:rsidRPr="00C23320">
              <w:rPr>
                <w:rFonts w:asciiTheme="majorBidi" w:hAnsiTheme="majorBidi"/>
                <w:sz w:val="24"/>
                <w:rtl/>
              </w:rPr>
              <w:t xml:space="preserve">التنفيذي </w:t>
            </w:r>
            <w:r w:rsidRPr="00C23320">
              <w:rPr>
                <w:sz w:val="24"/>
                <w:rtl/>
              </w:rPr>
              <w:t>96</w:t>
            </w:r>
          </w:p>
        </w:tc>
      </w:tr>
      <w:tr w:rsidR="005473CF" w:rsidRPr="00157CAF" w14:paraId="379F8D88" w14:textId="77777777" w:rsidTr="005A0279">
        <w:trPr>
          <w:cantSplit/>
        </w:trPr>
        <w:tc>
          <w:tcPr>
            <w:tcW w:w="786" w:type="pct"/>
            <w:shd w:val="clear" w:color="auto" w:fill="auto"/>
          </w:tcPr>
          <w:p w14:paraId="78BE7867" w14:textId="17D536F7" w:rsidR="005473CF" w:rsidRPr="00C23320" w:rsidRDefault="005A0279" w:rsidP="00B822C1">
            <w:pPr>
              <w:bidi/>
              <w:spacing w:before="120"/>
              <w:jc w:val="both"/>
              <w:rPr>
                <w:b/>
                <w:sz w:val="24"/>
              </w:rPr>
            </w:pPr>
            <w:r w:rsidRPr="00C23320">
              <w:rPr>
                <w:b/>
                <w:bCs/>
                <w:sz w:val="24"/>
                <w:rtl/>
              </w:rPr>
              <w:t>العلاقة مع أهداف التنمية المستدامة والمؤشرات الأخرى</w:t>
            </w:r>
          </w:p>
        </w:tc>
        <w:tc>
          <w:tcPr>
            <w:tcW w:w="4214" w:type="pct"/>
            <w:gridSpan w:val="2"/>
            <w:shd w:val="clear" w:color="auto" w:fill="auto"/>
          </w:tcPr>
          <w:p w14:paraId="3E1DF1D1" w14:textId="0E60DB51" w:rsidR="005473CF" w:rsidRPr="00C23320" w:rsidRDefault="00B54673" w:rsidP="00B822C1">
            <w:pPr>
              <w:keepLines/>
              <w:bidi/>
              <w:spacing w:before="120"/>
              <w:jc w:val="both"/>
              <w:rPr>
                <w:sz w:val="24"/>
              </w:rPr>
            </w:pPr>
            <w:r w:rsidRPr="00C23320">
              <w:rPr>
                <w:b/>
                <w:bCs/>
                <w:sz w:val="24"/>
                <w:rtl/>
              </w:rPr>
              <w:t xml:space="preserve">أهداف التنمية المستدامة: </w:t>
            </w:r>
            <w:r w:rsidRPr="00C23320">
              <w:rPr>
                <w:sz w:val="24"/>
                <w:rtl/>
              </w:rPr>
              <w:t>يدعم المؤشر الحالي مباشرةً الغاية 17-17 من أهداف التنمية المستدامة، "تشجيع وتعزيز الشراكات العامة وبين القطاع العام والقطاع الخاص وشراكات المجتمع المدني الفعالة..."، ويحتمل أن يساهم في الغاية 16-7 من أهداف التنمية المستدامة "ضمان اتخاذ القرارات على نحو مستجيب للاحتياجات وشامل للجميع وتشاركي وتمثيلي على جميع المستويات". وبالمساهمة في إدارة الاتفاقية، فهو يستجيب للغاية 11-4 من أهداف التنمية المستدامة، "تعزيز الجهود الرامية إلى حماية وصون التراث الثقافي والطبيعي العالمي".</w:t>
            </w:r>
          </w:p>
          <w:p w14:paraId="1DD2B612" w14:textId="4278F6B1" w:rsidR="005473CF" w:rsidRPr="00C23320" w:rsidRDefault="009E0D81" w:rsidP="00B822C1">
            <w:pPr>
              <w:keepLines/>
              <w:bidi/>
              <w:spacing w:before="120"/>
              <w:jc w:val="both"/>
              <w:rPr>
                <w:bCs/>
                <w:sz w:val="24"/>
              </w:rPr>
            </w:pPr>
            <w:r w:rsidRPr="00C23320">
              <w:rPr>
                <w:bCs/>
                <w:sz w:val="24"/>
                <w:rtl/>
              </w:rPr>
              <w:t>العلاقة بالمؤشرات الأخرى:</w:t>
            </w:r>
            <w:r w:rsidRPr="00C23320">
              <w:rPr>
                <w:b/>
                <w:sz w:val="24"/>
                <w:rtl/>
              </w:rPr>
              <w:t xml:space="preserve"> تتناول عدة مؤشرات أخرى مساهمات المنظمات غير الحكومية على الصعيد القطري: المؤشر 4 (بناء القدرات)، والمؤشر 8 (عملية </w:t>
            </w:r>
            <w:r w:rsidR="0073041B" w:rsidRPr="00C23320">
              <w:rPr>
                <w:rFonts w:hint="cs"/>
                <w:b/>
                <w:sz w:val="24"/>
                <w:rtl/>
                <w:lang w:bidi="ar-EG"/>
              </w:rPr>
              <w:t xml:space="preserve">إعداد قوائم </w:t>
            </w:r>
            <w:r w:rsidRPr="00C23320">
              <w:rPr>
                <w:b/>
                <w:sz w:val="24"/>
                <w:rtl/>
              </w:rPr>
              <w:t>الحصر)، والمؤشر 21 (صون التراث الثقافي غير المادي عامةً وصون العناصر المحددة)، والمؤشر 22 (الرصد على الصعيد القطري)، بينما يركز هذا المؤشر على مدى استفادة اللجنة من معارف وخبرات المنظمات غير الحكومية وغيرها من الأشخاص، الذين يعملون بصف</w:t>
            </w:r>
            <w:r w:rsidR="005930AD" w:rsidRPr="00C23320">
              <w:rPr>
                <w:rFonts w:hint="cs"/>
                <w:b/>
                <w:sz w:val="24"/>
                <w:rtl/>
              </w:rPr>
              <w:t>ة</w:t>
            </w:r>
            <w:r w:rsidRPr="00C23320">
              <w:rPr>
                <w:b/>
                <w:sz w:val="24"/>
                <w:rtl/>
              </w:rPr>
              <w:t xml:space="preserve"> استشاري</w:t>
            </w:r>
            <w:r w:rsidR="005930AD" w:rsidRPr="00C23320">
              <w:rPr>
                <w:rFonts w:hint="cs"/>
                <w:b/>
                <w:sz w:val="24"/>
                <w:rtl/>
              </w:rPr>
              <w:t>ة</w:t>
            </w:r>
            <w:r w:rsidRPr="00C23320">
              <w:rPr>
                <w:b/>
                <w:sz w:val="24"/>
                <w:rtl/>
              </w:rPr>
              <w:t>.</w:t>
            </w:r>
          </w:p>
        </w:tc>
      </w:tr>
      <w:tr w:rsidR="00896177" w:rsidRPr="00157CAF" w14:paraId="2D95B96E" w14:textId="77777777" w:rsidTr="005A0279">
        <w:trPr>
          <w:cantSplit/>
        </w:trPr>
        <w:tc>
          <w:tcPr>
            <w:tcW w:w="786" w:type="pct"/>
            <w:shd w:val="clear" w:color="auto" w:fill="auto"/>
          </w:tcPr>
          <w:p w14:paraId="7F056EB2" w14:textId="05407844" w:rsidR="00896177" w:rsidRPr="00C23320" w:rsidRDefault="005A0279" w:rsidP="00B822C1">
            <w:pPr>
              <w:bidi/>
              <w:spacing w:before="120"/>
              <w:jc w:val="both"/>
              <w:rPr>
                <w:b/>
                <w:sz w:val="24"/>
              </w:rPr>
            </w:pPr>
            <w:r w:rsidRPr="00C23320">
              <w:rPr>
                <w:b/>
                <w:bCs/>
                <w:sz w:val="24"/>
                <w:rtl/>
              </w:rPr>
              <w:t xml:space="preserve">الأسس المنطقية </w:t>
            </w:r>
            <w:r w:rsidR="00005846" w:rsidRPr="00C23320">
              <w:rPr>
                <w:rFonts w:hint="cs"/>
                <w:b/>
                <w:bCs/>
                <w:sz w:val="24"/>
                <w:rtl/>
              </w:rPr>
              <w:t>للإجراءات</w:t>
            </w:r>
          </w:p>
        </w:tc>
        <w:tc>
          <w:tcPr>
            <w:tcW w:w="4214" w:type="pct"/>
            <w:gridSpan w:val="2"/>
            <w:shd w:val="clear" w:color="auto" w:fill="auto"/>
          </w:tcPr>
          <w:p w14:paraId="0E74B022" w14:textId="5B73889A" w:rsidR="00704766" w:rsidRPr="00C23320" w:rsidRDefault="003A6C23" w:rsidP="00B822C1">
            <w:pPr>
              <w:keepLines/>
              <w:bidi/>
              <w:spacing w:before="120"/>
              <w:jc w:val="both"/>
              <w:rPr>
                <w:sz w:val="24"/>
              </w:rPr>
            </w:pPr>
            <w:r w:rsidRPr="00C23320">
              <w:rPr>
                <w:sz w:val="24"/>
                <w:rtl/>
              </w:rPr>
              <w:t>تحدد المادة 9 عملية "اعتماد منظمات غير حكومية ثبتت كفاءتها في ميدان التراث الثقافي غير المادي. وتكلف هذه المنظمات بمهام استشارية لدى اللجنة"، بينما تسمح المادة 8-4 للجنة أن تدعو المنظمات غير الحكومية إلى اجتماعاتها، بالإضافة إلى "أي هيئة عامة أو خاصة، وكذلك أي شخص طبيعي...لاستشارتهم في مسائل معينة". وبجانب دورها المحدد في عمل هيئة التقييم المكلفة بتقييم الترشيحات، والمقترحات، والطلبات، والتقارير (التوجيه الت</w:t>
            </w:r>
            <w:r w:rsidR="0073041B" w:rsidRPr="00C23320">
              <w:rPr>
                <w:rFonts w:hint="cs"/>
                <w:sz w:val="24"/>
                <w:rtl/>
              </w:rPr>
              <w:t xml:space="preserve">نفيذي </w:t>
            </w:r>
            <w:r w:rsidRPr="00C23320">
              <w:rPr>
                <w:sz w:val="24"/>
                <w:rtl/>
              </w:rPr>
              <w:t xml:space="preserve">96)، قد تكلف اللجنة المنظمات غير الحكومية وغيرها لتقديم مثل هذه الخدمات الاستشارية أو </w:t>
            </w:r>
            <w:proofErr w:type="spellStart"/>
            <w:r w:rsidRPr="00C23320">
              <w:rPr>
                <w:sz w:val="24"/>
                <w:rtl/>
              </w:rPr>
              <w:t>المشورية</w:t>
            </w:r>
            <w:proofErr w:type="spellEnd"/>
            <w:r w:rsidRPr="00C23320">
              <w:rPr>
                <w:sz w:val="24"/>
                <w:rtl/>
              </w:rPr>
              <w:t>.</w:t>
            </w:r>
          </w:p>
        </w:tc>
      </w:tr>
      <w:tr w:rsidR="00704766" w:rsidRPr="00157CAF" w14:paraId="6A9A9B01" w14:textId="77777777" w:rsidTr="005A0279">
        <w:trPr>
          <w:cantSplit/>
        </w:trPr>
        <w:tc>
          <w:tcPr>
            <w:tcW w:w="786" w:type="pct"/>
            <w:shd w:val="clear" w:color="auto" w:fill="auto"/>
          </w:tcPr>
          <w:p w14:paraId="05E9D75D" w14:textId="77777777" w:rsidR="005A0279" w:rsidRPr="00C23320" w:rsidRDefault="005A0279" w:rsidP="00B822C1">
            <w:pPr>
              <w:bidi/>
              <w:spacing w:before="120" w:after="60"/>
              <w:jc w:val="both"/>
              <w:rPr>
                <w:b/>
                <w:sz w:val="24"/>
              </w:rPr>
            </w:pPr>
            <w:r w:rsidRPr="00C23320">
              <w:rPr>
                <w:b/>
                <w:bCs/>
                <w:sz w:val="24"/>
                <w:rtl/>
              </w:rPr>
              <w:t>المصطلحات الرئيسية</w:t>
            </w:r>
          </w:p>
          <w:p w14:paraId="068A06F9" w14:textId="4D6DBC9E" w:rsidR="00704766" w:rsidRPr="00C23320" w:rsidRDefault="00704766" w:rsidP="00B822C1">
            <w:pPr>
              <w:bidi/>
              <w:spacing w:before="120" w:after="60"/>
              <w:jc w:val="both"/>
              <w:rPr>
                <w:b/>
                <w:sz w:val="24"/>
              </w:rPr>
            </w:pPr>
          </w:p>
        </w:tc>
        <w:tc>
          <w:tcPr>
            <w:tcW w:w="4214" w:type="pct"/>
            <w:gridSpan w:val="2"/>
            <w:shd w:val="clear" w:color="auto" w:fill="auto"/>
          </w:tcPr>
          <w:p w14:paraId="3D5E2451" w14:textId="19911547" w:rsidR="002E6BB4" w:rsidRPr="00C23320" w:rsidRDefault="00BE0EA8" w:rsidP="00B822C1">
            <w:pPr>
              <w:pStyle w:val="ListParagraph"/>
              <w:numPr>
                <w:ilvl w:val="0"/>
                <w:numId w:val="71"/>
              </w:numPr>
              <w:bidi/>
              <w:spacing w:before="120"/>
              <w:jc w:val="both"/>
              <w:rPr>
                <w:rFonts w:ascii="Times New Roman" w:hAnsi="Times New Roman"/>
                <w:sz w:val="24"/>
                <w:szCs w:val="24"/>
                <w:lang w:val="en-GB"/>
              </w:rPr>
            </w:pPr>
            <w:r w:rsidRPr="00C23320">
              <w:rPr>
                <w:rFonts w:ascii="Times New Roman" w:hAnsi="Times New Roman" w:hint="cs"/>
                <w:sz w:val="24"/>
                <w:szCs w:val="24"/>
                <w:rtl/>
                <w:lang w:val="en-GB"/>
              </w:rPr>
              <w:t>ال</w:t>
            </w:r>
            <w:r w:rsidR="00B371D1" w:rsidRPr="00C23320">
              <w:rPr>
                <w:rFonts w:ascii="Times New Roman" w:hAnsi="Times New Roman"/>
                <w:sz w:val="24"/>
                <w:szCs w:val="24"/>
                <w:rtl/>
                <w:lang w:val="en-GB"/>
              </w:rPr>
              <w:t xml:space="preserve">منظمات غير </w:t>
            </w:r>
            <w:r w:rsidRPr="00C23320">
              <w:rPr>
                <w:rFonts w:ascii="Times New Roman" w:hAnsi="Times New Roman" w:hint="cs"/>
                <w:sz w:val="24"/>
                <w:szCs w:val="24"/>
                <w:rtl/>
                <w:lang w:val="en-GB" w:bidi="ar-EG"/>
              </w:rPr>
              <w:t>ال</w:t>
            </w:r>
            <w:r w:rsidR="002E6BB4" w:rsidRPr="00C23320">
              <w:rPr>
                <w:rFonts w:ascii="Times New Roman" w:hAnsi="Times New Roman"/>
                <w:sz w:val="24"/>
                <w:szCs w:val="24"/>
                <w:rtl/>
                <w:lang w:val="en-GB"/>
              </w:rPr>
              <w:t>حكومية</w:t>
            </w:r>
          </w:p>
          <w:p w14:paraId="783A2B43" w14:textId="5FA40367" w:rsidR="00C36C46" w:rsidRPr="00C23320" w:rsidRDefault="002E6BB4" w:rsidP="00B822C1">
            <w:pPr>
              <w:pStyle w:val="ListParagraph"/>
              <w:numPr>
                <w:ilvl w:val="0"/>
                <w:numId w:val="71"/>
              </w:numPr>
              <w:bidi/>
              <w:spacing w:before="120" w:after="120"/>
              <w:jc w:val="both"/>
              <w:rPr>
                <w:rFonts w:ascii="Times New Roman" w:hAnsi="Times New Roman"/>
                <w:sz w:val="24"/>
                <w:szCs w:val="24"/>
                <w:lang w:val="en-GB"/>
              </w:rPr>
            </w:pPr>
            <w:r w:rsidRPr="00C23320">
              <w:rPr>
                <w:rFonts w:ascii="Times New Roman" w:hAnsi="Times New Roman"/>
                <w:sz w:val="24"/>
                <w:szCs w:val="24"/>
                <w:rtl/>
                <w:lang w:val="en-GB"/>
              </w:rPr>
              <w:t>مجالات التراث الثقافي غير المادي</w:t>
            </w:r>
          </w:p>
        </w:tc>
      </w:tr>
    </w:tbl>
    <w:p w14:paraId="48396455" w14:textId="77777777" w:rsidR="0054175C" w:rsidRPr="00FD309F" w:rsidRDefault="0054175C" w:rsidP="00B822C1">
      <w:pPr>
        <w:bidi/>
        <w:jc w:val="center"/>
        <w:rPr>
          <w:b/>
          <w:sz w:val="24"/>
        </w:rPr>
        <w:sectPr w:rsidR="0054175C" w:rsidRPr="00FD309F" w:rsidSect="000F25BA">
          <w:footerReference w:type="default" r:id="rId8"/>
          <w:pgSz w:w="11906" w:h="16838" w:code="9"/>
          <w:pgMar w:top="1418" w:right="1134" w:bottom="1134" w:left="1134" w:header="397" w:footer="284" w:gutter="0"/>
          <w:cols w:space="708"/>
          <w:docGrid w:linePitch="360"/>
        </w:sectPr>
      </w:pPr>
    </w:p>
    <w:p w14:paraId="022C7B2F" w14:textId="1A8EEC15" w:rsidR="005A0279" w:rsidRPr="00FD309F" w:rsidRDefault="005A0279" w:rsidP="00B822C1">
      <w:pPr>
        <w:bidi/>
        <w:jc w:val="center"/>
        <w:rPr>
          <w:bCs/>
          <w:sz w:val="24"/>
        </w:rPr>
      </w:pPr>
      <w:r w:rsidRPr="005F2F03">
        <w:rPr>
          <w:bCs/>
          <w:sz w:val="28"/>
          <w:szCs w:val="28"/>
          <w:rtl/>
        </w:rPr>
        <w:lastRenderedPageBreak/>
        <w:t>التوجيهات المحددة بشأن الرصد و</w:t>
      </w:r>
      <w:r w:rsidR="0073041B" w:rsidRPr="005F2F03">
        <w:rPr>
          <w:rFonts w:hint="cs"/>
          <w:bCs/>
          <w:sz w:val="28"/>
          <w:szCs w:val="28"/>
          <w:rtl/>
        </w:rPr>
        <w:t>ال</w:t>
      </w:r>
      <w:r w:rsidR="00F75609">
        <w:rPr>
          <w:rFonts w:hint="cs"/>
          <w:bCs/>
          <w:sz w:val="28"/>
          <w:szCs w:val="28"/>
          <w:rtl/>
        </w:rPr>
        <w:t>تقرير</w:t>
      </w:r>
      <w:r w:rsidR="0073041B" w:rsidRPr="005F2F03">
        <w:rPr>
          <w:rFonts w:hint="cs"/>
          <w:bCs/>
          <w:sz w:val="28"/>
          <w:szCs w:val="28"/>
          <w:rtl/>
        </w:rPr>
        <w:t xml:space="preserve"> </w:t>
      </w:r>
      <w:r w:rsidRPr="005F2F03">
        <w:rPr>
          <w:bCs/>
          <w:sz w:val="28"/>
          <w:szCs w:val="28"/>
          <w:rtl/>
        </w:rPr>
        <w:t>الدوري</w:t>
      </w:r>
      <w:r w:rsidRPr="00FD309F">
        <w:rPr>
          <w:b/>
          <w:sz w:val="24"/>
        </w:rPr>
        <w:tab/>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715B79" w14:paraId="53A9225B" w14:textId="77777777" w:rsidTr="005A0279">
        <w:tc>
          <w:tcPr>
            <w:tcW w:w="730" w:type="pct"/>
            <w:shd w:val="clear" w:color="auto" w:fill="auto"/>
          </w:tcPr>
          <w:p w14:paraId="6FA9C5DE" w14:textId="3E04DFF8" w:rsidR="002C28BA" w:rsidRPr="00715B79" w:rsidRDefault="005A0279" w:rsidP="00B822C1">
            <w:pPr>
              <w:bidi/>
              <w:spacing w:before="120"/>
              <w:rPr>
                <w:b/>
                <w:sz w:val="24"/>
              </w:rPr>
            </w:pPr>
            <w:r w:rsidRPr="00715B79">
              <w:rPr>
                <w:b/>
                <w:bCs/>
                <w:sz w:val="24"/>
                <w:rtl/>
              </w:rPr>
              <w:t>فوائد الرصد</w:t>
            </w:r>
          </w:p>
        </w:tc>
        <w:tc>
          <w:tcPr>
            <w:tcW w:w="4270" w:type="pct"/>
            <w:shd w:val="clear" w:color="auto" w:fill="auto"/>
          </w:tcPr>
          <w:p w14:paraId="5F18C0CB" w14:textId="533DB213" w:rsidR="002C28BA" w:rsidRPr="00715B79" w:rsidRDefault="002F4E73" w:rsidP="00B822C1">
            <w:pPr>
              <w:keepLines/>
              <w:bidi/>
              <w:spacing w:before="120"/>
              <w:jc w:val="both"/>
              <w:rPr>
                <w:b/>
                <w:sz w:val="24"/>
              </w:rPr>
            </w:pPr>
            <w:r w:rsidRPr="00715B79">
              <w:rPr>
                <w:b/>
                <w:sz w:val="24"/>
                <w:rtl/>
              </w:rPr>
              <w:t xml:space="preserve">يساعد رصد هذا المؤشر على الصعيد العالمي في إعلام اللجنة </w:t>
            </w:r>
            <w:r w:rsidR="00995712">
              <w:rPr>
                <w:rFonts w:hint="cs"/>
                <w:b/>
                <w:sz w:val="24"/>
                <w:rtl/>
              </w:rPr>
              <w:t xml:space="preserve">بما </w:t>
            </w:r>
            <w:r w:rsidRPr="00715B79">
              <w:rPr>
                <w:b/>
                <w:sz w:val="24"/>
                <w:rtl/>
              </w:rPr>
              <w:t>إذا كانت تستفيد أكثر استفادة ممكنة من الخدمات الاستشارية التي يُحتمل أن تقدمها المنظمات غير الحكومية، والهيئات العامة والخاصة، والأفراد. وعلاوة على ذلك، يمكن للرصد على ال</w:t>
            </w:r>
            <w:r w:rsidR="003B264B">
              <w:rPr>
                <w:rFonts w:hint="cs"/>
                <w:b/>
                <w:sz w:val="24"/>
                <w:rtl/>
              </w:rPr>
              <w:t>صعيد</w:t>
            </w:r>
            <w:r w:rsidRPr="00715B79">
              <w:rPr>
                <w:b/>
                <w:sz w:val="24"/>
                <w:rtl/>
              </w:rPr>
              <w:t xml:space="preserve"> العالمي إجراء تقييم شامل </w:t>
            </w:r>
            <w:r w:rsidR="00D31F9D">
              <w:rPr>
                <w:rFonts w:hint="cs"/>
                <w:b/>
                <w:sz w:val="24"/>
                <w:rtl/>
              </w:rPr>
              <w:t>ع</w:t>
            </w:r>
            <w:r w:rsidRPr="00715B79">
              <w:rPr>
                <w:b/>
                <w:sz w:val="24"/>
                <w:rtl/>
              </w:rPr>
              <w:t>ما إذا كانت مختلف مناط</w:t>
            </w:r>
            <w:r w:rsidR="00D31F9D">
              <w:rPr>
                <w:rFonts w:hint="cs"/>
                <w:b/>
                <w:sz w:val="24"/>
                <w:rtl/>
              </w:rPr>
              <w:t>ق</w:t>
            </w:r>
            <w:r w:rsidRPr="00715B79">
              <w:rPr>
                <w:b/>
                <w:sz w:val="24"/>
                <w:rtl/>
              </w:rPr>
              <w:t xml:space="preserve"> العالم </w:t>
            </w:r>
            <w:r w:rsidR="00112035">
              <w:rPr>
                <w:rFonts w:hint="cs"/>
                <w:b/>
                <w:sz w:val="24"/>
                <w:rtl/>
              </w:rPr>
              <w:t>ممثلة</w:t>
            </w:r>
            <w:r w:rsidRPr="00715B79">
              <w:rPr>
                <w:b/>
                <w:sz w:val="24"/>
                <w:rtl/>
              </w:rPr>
              <w:t xml:space="preserve"> جيدًا ضمن المنظمات غير الحكومية المعتمدة لدى اللجنة، وما إذا كانت تمثل المجالات المختلفة للتراث الثقافي غير المادي</w:t>
            </w:r>
            <w:r w:rsidR="00515479">
              <w:rPr>
                <w:rFonts w:hint="cs"/>
                <w:b/>
                <w:sz w:val="24"/>
                <w:rtl/>
              </w:rPr>
              <w:t xml:space="preserve"> تمثيلًا كافيًا</w:t>
            </w:r>
            <w:r w:rsidRPr="00715B79">
              <w:rPr>
                <w:b/>
                <w:sz w:val="24"/>
                <w:rtl/>
              </w:rPr>
              <w:t>، وما إذا كانت اللجنة قد ترغب في اتخاذ مبادرات لزيادة تمثيل تلك المناطق أو المجالات التي قد لا تكون ممثلة بالقدر الكافي.</w:t>
            </w:r>
          </w:p>
        </w:tc>
      </w:tr>
      <w:tr w:rsidR="0054175C" w:rsidRPr="00715B79" w14:paraId="6C48A4F1" w14:textId="77777777" w:rsidTr="005A0279">
        <w:tc>
          <w:tcPr>
            <w:tcW w:w="730" w:type="pct"/>
            <w:shd w:val="clear" w:color="auto" w:fill="auto"/>
          </w:tcPr>
          <w:p w14:paraId="1A97EB81" w14:textId="3B6CD0A2" w:rsidR="0054175C" w:rsidRPr="00715B79" w:rsidRDefault="005A0279" w:rsidP="00B822C1">
            <w:pPr>
              <w:bidi/>
              <w:spacing w:before="120"/>
              <w:rPr>
                <w:b/>
                <w:sz w:val="24"/>
              </w:rPr>
            </w:pPr>
            <w:r w:rsidRPr="00715B79">
              <w:rPr>
                <w:b/>
                <w:bCs/>
                <w:sz w:val="24"/>
                <w:rtl/>
              </w:rPr>
              <w:t>مصادر البيانات وجمعها</w:t>
            </w:r>
          </w:p>
        </w:tc>
        <w:tc>
          <w:tcPr>
            <w:tcW w:w="4270" w:type="pct"/>
            <w:shd w:val="clear" w:color="auto" w:fill="auto"/>
          </w:tcPr>
          <w:p w14:paraId="513283A9" w14:textId="7C08F689" w:rsidR="0054175C" w:rsidRPr="00715B79" w:rsidRDefault="006167EB" w:rsidP="00B822C1">
            <w:pPr>
              <w:bidi/>
              <w:spacing w:before="120"/>
              <w:jc w:val="both"/>
              <w:rPr>
                <w:sz w:val="24"/>
              </w:rPr>
            </w:pPr>
            <w:r w:rsidRPr="00715B79">
              <w:rPr>
                <w:sz w:val="24"/>
                <w:rtl/>
              </w:rPr>
              <w:t xml:space="preserve">ترصد الأمانة هذا المؤشر على الصعيد العالمي، حيث تحتفظ بقاعدة بيانات تشمل معلومات مفصلة عن جميع المنظمات غير الحكومية المعتمدة لتقديم الخدمات الاستشارية للجنة، بما في ذلك بلد إقامتها ونطاق أنشطتها. كما تحتفظ الأمانة بمعلومات عن مشاركة هذه المنظمات غير الحكومية في </w:t>
            </w:r>
            <w:r w:rsidR="00B371D1" w:rsidRPr="00715B79">
              <w:rPr>
                <w:sz w:val="24"/>
                <w:rtl/>
              </w:rPr>
              <w:t xml:space="preserve">الدورات </w:t>
            </w:r>
            <w:r w:rsidR="00BE0EA8">
              <w:rPr>
                <w:rFonts w:hint="cs"/>
                <w:sz w:val="24"/>
                <w:rtl/>
              </w:rPr>
              <w:t>والفرق</w:t>
            </w:r>
            <w:r w:rsidR="00B371D1" w:rsidRPr="00715B79">
              <w:rPr>
                <w:sz w:val="24"/>
                <w:rtl/>
              </w:rPr>
              <w:t xml:space="preserve"> الع</w:t>
            </w:r>
            <w:r w:rsidR="00515479">
              <w:rPr>
                <w:rFonts w:hint="cs"/>
                <w:sz w:val="24"/>
                <w:rtl/>
              </w:rPr>
              <w:t>ا</w:t>
            </w:r>
            <w:r w:rsidR="00B371D1" w:rsidRPr="00715B79">
              <w:rPr>
                <w:sz w:val="24"/>
                <w:rtl/>
              </w:rPr>
              <w:t>مل</w:t>
            </w:r>
            <w:r w:rsidR="00515479">
              <w:rPr>
                <w:rFonts w:hint="cs"/>
                <w:sz w:val="24"/>
                <w:rtl/>
              </w:rPr>
              <w:t>ة</w:t>
            </w:r>
            <w:r w:rsidR="00B371D1" w:rsidRPr="00715B79">
              <w:rPr>
                <w:sz w:val="24"/>
                <w:rtl/>
              </w:rPr>
              <w:t xml:space="preserve"> الخاصة ب</w:t>
            </w:r>
            <w:r w:rsidR="00B371D1" w:rsidRPr="00715B79">
              <w:rPr>
                <w:rFonts w:hint="cs"/>
                <w:sz w:val="24"/>
                <w:rtl/>
              </w:rPr>
              <w:t>ا</w:t>
            </w:r>
            <w:r w:rsidRPr="00715B79">
              <w:rPr>
                <w:sz w:val="24"/>
                <w:rtl/>
              </w:rPr>
              <w:t>ل</w:t>
            </w:r>
            <w:r w:rsidR="00B371D1" w:rsidRPr="00715B79">
              <w:rPr>
                <w:rFonts w:hint="cs"/>
                <w:sz w:val="24"/>
                <w:rtl/>
              </w:rPr>
              <w:t>ل</w:t>
            </w:r>
            <w:r w:rsidRPr="00715B79">
              <w:rPr>
                <w:sz w:val="24"/>
                <w:rtl/>
              </w:rPr>
              <w:t>جنة والجمعية العامة، وكذلك عن المناسبات التي تستفيد فيها اللجنة من خدماتها الاستشارية.</w:t>
            </w:r>
          </w:p>
          <w:p w14:paraId="58BF6D14" w14:textId="77777777" w:rsidR="005A0279" w:rsidRPr="00715B79" w:rsidRDefault="005A0279" w:rsidP="00B822C1">
            <w:pPr>
              <w:bidi/>
              <w:spacing w:before="120"/>
              <w:jc w:val="both"/>
              <w:rPr>
                <w:sz w:val="24"/>
              </w:rPr>
            </w:pPr>
            <w:r w:rsidRPr="00715B79">
              <w:rPr>
                <w:bCs/>
                <w:sz w:val="24"/>
                <w:rtl/>
              </w:rPr>
              <w:t>مصادر البيانات المحتملة</w:t>
            </w:r>
            <w:r w:rsidRPr="00715B79">
              <w:rPr>
                <w:sz w:val="24"/>
              </w:rPr>
              <w:t xml:space="preserve"> </w:t>
            </w:r>
          </w:p>
          <w:p w14:paraId="0042D183" w14:textId="4F47432A" w:rsidR="00351B65" w:rsidRPr="00715B79" w:rsidRDefault="00904A71" w:rsidP="00B822C1">
            <w:pPr>
              <w:pStyle w:val="ListParagraph"/>
              <w:numPr>
                <w:ilvl w:val="0"/>
                <w:numId w:val="73"/>
              </w:numPr>
              <w:bidi/>
              <w:spacing w:before="120"/>
              <w:jc w:val="both"/>
              <w:rPr>
                <w:rFonts w:ascii="Times New Roman" w:hAnsi="Times New Roman"/>
                <w:sz w:val="24"/>
                <w:szCs w:val="24"/>
                <w:lang w:val="en-GB"/>
              </w:rPr>
            </w:pPr>
            <w:r w:rsidRPr="00715B79">
              <w:rPr>
                <w:rFonts w:ascii="Times New Roman" w:hAnsi="Times New Roman"/>
                <w:sz w:val="24"/>
                <w:szCs w:val="24"/>
                <w:rtl/>
                <w:lang w:val="en-GB"/>
              </w:rPr>
              <w:t xml:space="preserve">قاعدة بيانات </w:t>
            </w:r>
            <w:r w:rsidR="00351B65" w:rsidRPr="00715B79">
              <w:rPr>
                <w:rFonts w:ascii="Times New Roman" w:hAnsi="Times New Roman"/>
                <w:sz w:val="24"/>
                <w:szCs w:val="24"/>
                <w:rtl/>
                <w:lang w:val="en-GB"/>
              </w:rPr>
              <w:t>تحتفظ بها الأمانة</w:t>
            </w:r>
          </w:p>
          <w:p w14:paraId="6D9445DA" w14:textId="5ECFF032" w:rsidR="00C302DE" w:rsidRPr="00715B79" w:rsidRDefault="00904A71" w:rsidP="00B822C1">
            <w:pPr>
              <w:pStyle w:val="ListParagraph"/>
              <w:numPr>
                <w:ilvl w:val="0"/>
                <w:numId w:val="73"/>
              </w:numPr>
              <w:bidi/>
              <w:spacing w:before="120"/>
              <w:jc w:val="both"/>
              <w:rPr>
                <w:rFonts w:ascii="Times New Roman" w:hAnsi="Times New Roman"/>
                <w:sz w:val="24"/>
                <w:szCs w:val="24"/>
                <w:lang w:val="en-GB"/>
              </w:rPr>
            </w:pPr>
            <w:r w:rsidRPr="00715B79">
              <w:rPr>
                <w:rFonts w:ascii="Times New Roman" w:hAnsi="Times New Roman"/>
                <w:sz w:val="24"/>
                <w:szCs w:val="24"/>
                <w:rtl/>
                <w:lang w:val="en-GB"/>
              </w:rPr>
              <w:t xml:space="preserve">موقع </w:t>
            </w:r>
            <w:r w:rsidR="00351B65" w:rsidRPr="00715B79">
              <w:rPr>
                <w:rFonts w:ascii="Times New Roman" w:hAnsi="Times New Roman"/>
                <w:sz w:val="24"/>
                <w:szCs w:val="24"/>
                <w:rtl/>
                <w:lang w:val="en-GB"/>
              </w:rPr>
              <w:t xml:space="preserve">إلكتروني ومواقع التواصل الاجتماعي لمنتدى المنظمات غير الحكومية وشبكات المجتمع المدني الأخرى </w:t>
            </w:r>
            <w:r w:rsidR="00183B54" w:rsidRPr="00715B79">
              <w:rPr>
                <w:rFonts w:ascii="Times New Roman" w:hAnsi="Times New Roman" w:hint="cs"/>
                <w:sz w:val="24"/>
                <w:szCs w:val="24"/>
                <w:rtl/>
                <w:lang w:val="en-GB"/>
              </w:rPr>
              <w:t>المشاركة</w:t>
            </w:r>
            <w:r w:rsidR="00351B65" w:rsidRPr="00715B79">
              <w:rPr>
                <w:rFonts w:ascii="Times New Roman" w:hAnsi="Times New Roman"/>
                <w:sz w:val="24"/>
                <w:szCs w:val="24"/>
                <w:rtl/>
                <w:lang w:val="en-GB"/>
              </w:rPr>
              <w:t xml:space="preserve"> في التراث الثقافي غير المادي</w:t>
            </w:r>
          </w:p>
        </w:tc>
      </w:tr>
      <w:tr w:rsidR="0054175C" w:rsidRPr="00715B79" w14:paraId="2B1C3DC8" w14:textId="77777777" w:rsidTr="005A0279">
        <w:tc>
          <w:tcPr>
            <w:tcW w:w="730" w:type="pct"/>
            <w:shd w:val="clear" w:color="auto" w:fill="auto"/>
          </w:tcPr>
          <w:p w14:paraId="39ECAF5B" w14:textId="7BF401EC" w:rsidR="0054175C" w:rsidRPr="00715B79" w:rsidRDefault="005A0279" w:rsidP="00B822C1">
            <w:pPr>
              <w:bidi/>
              <w:spacing w:before="120"/>
              <w:rPr>
                <w:b/>
                <w:sz w:val="24"/>
              </w:rPr>
            </w:pPr>
            <w:r w:rsidRPr="00715B79">
              <w:rPr>
                <w:b/>
                <w:bCs/>
                <w:sz w:val="24"/>
                <w:rtl/>
              </w:rPr>
              <w:t>مدى استيفاء المؤشر</w:t>
            </w:r>
          </w:p>
        </w:tc>
        <w:tc>
          <w:tcPr>
            <w:tcW w:w="4270" w:type="pct"/>
            <w:shd w:val="clear" w:color="auto" w:fill="auto"/>
          </w:tcPr>
          <w:p w14:paraId="48100F00" w14:textId="7803A31D" w:rsidR="0054175C" w:rsidRPr="00715B79" w:rsidRDefault="006A7091" w:rsidP="00B822C1">
            <w:pPr>
              <w:bidi/>
              <w:spacing w:before="120"/>
              <w:jc w:val="both"/>
              <w:rPr>
                <w:sz w:val="24"/>
              </w:rPr>
            </w:pPr>
            <w:r w:rsidRPr="00715B79">
              <w:rPr>
                <w:sz w:val="24"/>
                <w:rtl/>
              </w:rPr>
              <w:t xml:space="preserve">كما ذُكر أعلاه، يتم تقييم هذا المؤشر على أساس ثلاثة عوامل على الصعيد العالمي ترصدها الأمانة </w:t>
            </w:r>
            <w:r w:rsidR="00515479">
              <w:rPr>
                <w:rFonts w:hint="cs"/>
                <w:sz w:val="24"/>
                <w:rtl/>
              </w:rPr>
              <w:t>وتُ</w:t>
            </w:r>
            <w:r w:rsidR="00F75609">
              <w:rPr>
                <w:rFonts w:hint="cs"/>
                <w:sz w:val="24"/>
                <w:rtl/>
              </w:rPr>
              <w:t xml:space="preserve">عد </w:t>
            </w:r>
            <w:proofErr w:type="gramStart"/>
            <w:r w:rsidR="00F75609">
              <w:rPr>
                <w:rFonts w:hint="cs"/>
                <w:sz w:val="24"/>
                <w:rtl/>
              </w:rPr>
              <w:t xml:space="preserve">التقرير </w:t>
            </w:r>
            <w:r w:rsidR="00515479">
              <w:rPr>
                <w:rFonts w:hint="cs"/>
                <w:sz w:val="24"/>
                <w:rtl/>
              </w:rPr>
              <w:t xml:space="preserve"> عنها</w:t>
            </w:r>
            <w:proofErr w:type="gramEnd"/>
          </w:p>
        </w:tc>
      </w:tr>
    </w:tbl>
    <w:p w14:paraId="757ADFC5" w14:textId="77777777" w:rsidR="00320242" w:rsidRPr="00FD309F" w:rsidRDefault="00320242" w:rsidP="00B822C1">
      <w:pPr>
        <w:bidi/>
        <w:jc w:val="both"/>
      </w:pPr>
    </w:p>
    <w:sectPr w:rsidR="00320242" w:rsidRPr="00FD309F"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F921" w14:textId="77777777" w:rsidR="008F383D" w:rsidRDefault="008F383D" w:rsidP="002938F2">
      <w:r>
        <w:separator/>
      </w:r>
    </w:p>
    <w:p w14:paraId="20F329AD" w14:textId="77777777" w:rsidR="008F383D" w:rsidRDefault="008F383D"/>
  </w:endnote>
  <w:endnote w:type="continuationSeparator" w:id="0">
    <w:p w14:paraId="32DD271D" w14:textId="77777777" w:rsidR="008F383D" w:rsidRDefault="008F383D" w:rsidP="002938F2">
      <w:r>
        <w:continuationSeparator/>
      </w:r>
    </w:p>
    <w:p w14:paraId="69325115" w14:textId="77777777" w:rsidR="008F383D" w:rsidRDefault="008F383D"/>
  </w:endnote>
  <w:endnote w:type="continuationNotice" w:id="1">
    <w:p w14:paraId="02D3E72F" w14:textId="77777777" w:rsidR="008F383D" w:rsidRDefault="008F38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6AFB" w14:textId="3722BC23" w:rsidR="00C04344" w:rsidRPr="000A0709" w:rsidRDefault="000F25BA" w:rsidP="00183B54">
    <w:pPr>
      <w:pStyle w:val="Footer"/>
      <w:bidi/>
      <w:jc w:val="center"/>
      <w:rPr>
        <w:rFonts w:ascii="Arial" w:hAnsi="Arial"/>
      </w:rPr>
    </w:pPr>
    <w:r w:rsidRPr="000F25BA">
      <w:rPr>
        <w:rFonts w:ascii="Arial" w:hAnsi="Arial" w:cs="Arial"/>
      </w:rPr>
      <w:fldChar w:fldCharType="begin"/>
    </w:r>
    <w:r w:rsidRPr="000F25BA">
      <w:rPr>
        <w:rFonts w:ascii="Arial" w:hAnsi="Arial" w:cs="Arial"/>
      </w:rPr>
      <w:instrText xml:space="preserve"> PAGE   \* MERGEFORMAT </w:instrText>
    </w:r>
    <w:r w:rsidRPr="000F25BA">
      <w:rPr>
        <w:rFonts w:ascii="Arial" w:hAnsi="Arial" w:cs="Arial"/>
      </w:rPr>
      <w:fldChar w:fldCharType="separate"/>
    </w:r>
    <w:r w:rsidR="0038437C">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9F9A" w14:textId="77777777" w:rsidR="008F383D" w:rsidRDefault="008F383D" w:rsidP="002938F2">
      <w:r>
        <w:separator/>
      </w:r>
    </w:p>
  </w:footnote>
  <w:footnote w:type="continuationSeparator" w:id="0">
    <w:p w14:paraId="6E4A55D3" w14:textId="77777777" w:rsidR="008F383D" w:rsidRDefault="008F383D" w:rsidP="002938F2">
      <w:r>
        <w:continuationSeparator/>
      </w:r>
    </w:p>
    <w:p w14:paraId="34CB7E82" w14:textId="77777777" w:rsidR="008F383D" w:rsidRDefault="008F383D"/>
  </w:footnote>
  <w:footnote w:type="continuationNotice" w:id="1">
    <w:p w14:paraId="71750CA9" w14:textId="77777777" w:rsidR="008F383D" w:rsidRDefault="008F383D">
      <w:pPr>
        <w:spacing w:after="0"/>
      </w:pPr>
    </w:p>
  </w:footnote>
  <w:footnote w:id="2">
    <w:p w14:paraId="29420F6A" w14:textId="097977DA" w:rsidR="00724517" w:rsidRPr="00C23320" w:rsidRDefault="00724517" w:rsidP="00C23320">
      <w:pPr>
        <w:pStyle w:val="FootnoteText"/>
        <w:bidi/>
        <w:jc w:val="both"/>
        <w:rPr>
          <w:rtl/>
          <w:lang w:bidi="ar-EG"/>
        </w:rPr>
      </w:pPr>
      <w:r w:rsidRPr="00C23320">
        <w:rPr>
          <w:rStyle w:val="FootnoteReference"/>
        </w:rPr>
        <w:footnoteRef/>
      </w:r>
      <w:r w:rsidR="00C23320">
        <w:rPr>
          <w:rFonts w:hint="cs"/>
          <w:rtl/>
        </w:rPr>
        <w:t xml:space="preserve"> </w:t>
      </w:r>
      <w:r w:rsidRPr="00C23320">
        <w:rPr>
          <w:rtl/>
        </w:rPr>
        <w:t>يتمّ رصد هذا المؤشّر وذكره على الصعيد العالمي فقط.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FD602F7"/>
    <w:multiLevelType w:val="multilevel"/>
    <w:tmpl w:val="9EFCAECC"/>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B2250A"/>
    <w:multiLevelType w:val="hybridMultilevel"/>
    <w:tmpl w:val="4FE2E3D0"/>
    <w:lvl w:ilvl="0" w:tplc="E4682D04">
      <w:start w:val="2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4"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4"/>
  </w:num>
  <w:num w:numId="2">
    <w:abstractNumId w:val="25"/>
  </w:num>
  <w:num w:numId="3">
    <w:abstractNumId w:val="11"/>
  </w:num>
  <w:num w:numId="4">
    <w:abstractNumId w:val="56"/>
  </w:num>
  <w:num w:numId="5">
    <w:abstractNumId w:val="47"/>
  </w:num>
  <w:num w:numId="6">
    <w:abstractNumId w:val="4"/>
  </w:num>
  <w:num w:numId="7">
    <w:abstractNumId w:val="15"/>
  </w:num>
  <w:num w:numId="8">
    <w:abstractNumId w:val="24"/>
  </w:num>
  <w:num w:numId="9">
    <w:abstractNumId w:val="50"/>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4"/>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8"/>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5"/>
  </w:num>
  <w:num w:numId="42">
    <w:abstractNumId w:val="52"/>
  </w:num>
  <w:num w:numId="43">
    <w:abstractNumId w:val="28"/>
  </w:num>
  <w:num w:numId="44">
    <w:abstractNumId w:val="12"/>
  </w:num>
  <w:num w:numId="45">
    <w:abstractNumId w:val="53"/>
  </w:num>
  <w:num w:numId="46">
    <w:abstractNumId w:val="5"/>
  </w:num>
  <w:num w:numId="47">
    <w:abstractNumId w:val="35"/>
  </w:num>
  <w:num w:numId="48">
    <w:abstractNumId w:val="57"/>
  </w:num>
  <w:num w:numId="49">
    <w:abstractNumId w:val="31"/>
  </w:num>
  <w:num w:numId="50">
    <w:abstractNumId w:val="29"/>
  </w:num>
  <w:num w:numId="51">
    <w:abstractNumId w:val="26"/>
  </w:num>
  <w:num w:numId="52">
    <w:abstractNumId w:val="38"/>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5"/>
  </w:num>
  <w:num w:numId="60">
    <w:abstractNumId w:val="2"/>
  </w:num>
  <w:num w:numId="61">
    <w:abstractNumId w:val="30"/>
  </w:num>
  <w:num w:numId="62">
    <w:abstractNumId w:val="21"/>
  </w:num>
  <w:num w:numId="63">
    <w:abstractNumId w:val="49"/>
  </w:num>
  <w:num w:numId="64">
    <w:abstractNumId w:val="18"/>
  </w:num>
  <w:num w:numId="65">
    <w:abstractNumId w:val="23"/>
  </w:num>
  <w:num w:numId="66">
    <w:abstractNumId w:val="46"/>
  </w:num>
  <w:num w:numId="67">
    <w:abstractNumId w:val="36"/>
  </w:num>
  <w:num w:numId="68">
    <w:abstractNumId w:val="13"/>
  </w:num>
  <w:num w:numId="69">
    <w:abstractNumId w:val="42"/>
  </w:num>
  <w:num w:numId="70">
    <w:abstractNumId w:val="32"/>
  </w:num>
  <w:num w:numId="71">
    <w:abstractNumId w:val="27"/>
  </w:num>
  <w:num w:numId="72">
    <w:abstractNumId w:val="51"/>
  </w:num>
  <w:num w:numId="73">
    <w:abstractNumId w:val="7"/>
  </w:num>
  <w:num w:numId="74">
    <w:abstractNumId w:val="34"/>
  </w:num>
  <w:num w:numId="75">
    <w:abstractNumId w:val="37"/>
  </w:num>
  <w:num w:numId="76">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ar-SA"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46"/>
    <w:rsid w:val="000016A4"/>
    <w:rsid w:val="000019DB"/>
    <w:rsid w:val="000047CC"/>
    <w:rsid w:val="00005846"/>
    <w:rsid w:val="00005BA5"/>
    <w:rsid w:val="00005BFA"/>
    <w:rsid w:val="00006F66"/>
    <w:rsid w:val="00010E2D"/>
    <w:rsid w:val="000120FD"/>
    <w:rsid w:val="00013A65"/>
    <w:rsid w:val="0001506E"/>
    <w:rsid w:val="00015B9D"/>
    <w:rsid w:val="0001601A"/>
    <w:rsid w:val="00021831"/>
    <w:rsid w:val="00022C19"/>
    <w:rsid w:val="000300D1"/>
    <w:rsid w:val="00031A37"/>
    <w:rsid w:val="00036843"/>
    <w:rsid w:val="000470ED"/>
    <w:rsid w:val="00047E58"/>
    <w:rsid w:val="00054FDC"/>
    <w:rsid w:val="000632E2"/>
    <w:rsid w:val="0007203D"/>
    <w:rsid w:val="000729D2"/>
    <w:rsid w:val="00073D20"/>
    <w:rsid w:val="00074E7D"/>
    <w:rsid w:val="000755E1"/>
    <w:rsid w:val="0007681B"/>
    <w:rsid w:val="000769F1"/>
    <w:rsid w:val="00083694"/>
    <w:rsid w:val="00085541"/>
    <w:rsid w:val="000917FD"/>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E5289"/>
    <w:rsid w:val="000F225C"/>
    <w:rsid w:val="000F25BA"/>
    <w:rsid w:val="000F2B3F"/>
    <w:rsid w:val="000F7E6F"/>
    <w:rsid w:val="00106B72"/>
    <w:rsid w:val="00106D19"/>
    <w:rsid w:val="00112035"/>
    <w:rsid w:val="0011334A"/>
    <w:rsid w:val="00115830"/>
    <w:rsid w:val="00116489"/>
    <w:rsid w:val="0011750D"/>
    <w:rsid w:val="00121B41"/>
    <w:rsid w:val="00126FEE"/>
    <w:rsid w:val="001301DF"/>
    <w:rsid w:val="001412DE"/>
    <w:rsid w:val="00142D78"/>
    <w:rsid w:val="00144A4D"/>
    <w:rsid w:val="00147BE2"/>
    <w:rsid w:val="00151351"/>
    <w:rsid w:val="001550DE"/>
    <w:rsid w:val="00156788"/>
    <w:rsid w:val="00157CAF"/>
    <w:rsid w:val="001609A1"/>
    <w:rsid w:val="00160C54"/>
    <w:rsid w:val="00162554"/>
    <w:rsid w:val="00163F68"/>
    <w:rsid w:val="00173B50"/>
    <w:rsid w:val="00173E0E"/>
    <w:rsid w:val="00174B39"/>
    <w:rsid w:val="00183B54"/>
    <w:rsid w:val="00183F6C"/>
    <w:rsid w:val="00193579"/>
    <w:rsid w:val="00194802"/>
    <w:rsid w:val="00194AEB"/>
    <w:rsid w:val="001A431C"/>
    <w:rsid w:val="001A5519"/>
    <w:rsid w:val="001A7C3A"/>
    <w:rsid w:val="001B46E2"/>
    <w:rsid w:val="001B5C26"/>
    <w:rsid w:val="001C08BC"/>
    <w:rsid w:val="001C56BA"/>
    <w:rsid w:val="001C6D7D"/>
    <w:rsid w:val="001D00B5"/>
    <w:rsid w:val="001D3B29"/>
    <w:rsid w:val="001D59C8"/>
    <w:rsid w:val="001E4EEB"/>
    <w:rsid w:val="001E6026"/>
    <w:rsid w:val="001E6338"/>
    <w:rsid w:val="001F3696"/>
    <w:rsid w:val="001F37CA"/>
    <w:rsid w:val="001F4110"/>
    <w:rsid w:val="0020163D"/>
    <w:rsid w:val="00203AD7"/>
    <w:rsid w:val="002042CC"/>
    <w:rsid w:val="00204B37"/>
    <w:rsid w:val="002074D6"/>
    <w:rsid w:val="00210CBC"/>
    <w:rsid w:val="00211225"/>
    <w:rsid w:val="002119C5"/>
    <w:rsid w:val="00222AF2"/>
    <w:rsid w:val="00223C3B"/>
    <w:rsid w:val="00224346"/>
    <w:rsid w:val="0022597C"/>
    <w:rsid w:val="00226582"/>
    <w:rsid w:val="00230F77"/>
    <w:rsid w:val="00231DC5"/>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1630"/>
    <w:rsid w:val="002B43D6"/>
    <w:rsid w:val="002B6B98"/>
    <w:rsid w:val="002C28BA"/>
    <w:rsid w:val="002C3B8F"/>
    <w:rsid w:val="002C444C"/>
    <w:rsid w:val="002C5021"/>
    <w:rsid w:val="002C5280"/>
    <w:rsid w:val="002C5C29"/>
    <w:rsid w:val="002D226F"/>
    <w:rsid w:val="002D396D"/>
    <w:rsid w:val="002D71D4"/>
    <w:rsid w:val="002E113D"/>
    <w:rsid w:val="002E6BB4"/>
    <w:rsid w:val="002F17E1"/>
    <w:rsid w:val="002F4E73"/>
    <w:rsid w:val="003043A9"/>
    <w:rsid w:val="0030454E"/>
    <w:rsid w:val="0031400F"/>
    <w:rsid w:val="00320242"/>
    <w:rsid w:val="00321B58"/>
    <w:rsid w:val="00322A3A"/>
    <w:rsid w:val="00323518"/>
    <w:rsid w:val="00324A32"/>
    <w:rsid w:val="00325D6E"/>
    <w:rsid w:val="00334977"/>
    <w:rsid w:val="00337194"/>
    <w:rsid w:val="00342EE8"/>
    <w:rsid w:val="00344D78"/>
    <w:rsid w:val="00346517"/>
    <w:rsid w:val="00351B65"/>
    <w:rsid w:val="00351CCB"/>
    <w:rsid w:val="0035648A"/>
    <w:rsid w:val="00362B41"/>
    <w:rsid w:val="00363995"/>
    <w:rsid w:val="00364E5E"/>
    <w:rsid w:val="003703BF"/>
    <w:rsid w:val="00370E9B"/>
    <w:rsid w:val="00374AAA"/>
    <w:rsid w:val="00376714"/>
    <w:rsid w:val="00377E4B"/>
    <w:rsid w:val="00383BA9"/>
    <w:rsid w:val="0038437C"/>
    <w:rsid w:val="003845B0"/>
    <w:rsid w:val="00385B34"/>
    <w:rsid w:val="00386C08"/>
    <w:rsid w:val="00387D88"/>
    <w:rsid w:val="0039446E"/>
    <w:rsid w:val="0039574B"/>
    <w:rsid w:val="003A260A"/>
    <w:rsid w:val="003A2BC4"/>
    <w:rsid w:val="003A6C23"/>
    <w:rsid w:val="003B264B"/>
    <w:rsid w:val="003B31BE"/>
    <w:rsid w:val="003B504D"/>
    <w:rsid w:val="003C7065"/>
    <w:rsid w:val="003D2BBA"/>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6357B"/>
    <w:rsid w:val="004648C2"/>
    <w:rsid w:val="00471B34"/>
    <w:rsid w:val="00474AFE"/>
    <w:rsid w:val="00477E66"/>
    <w:rsid w:val="00480809"/>
    <w:rsid w:val="00480DE8"/>
    <w:rsid w:val="004831C7"/>
    <w:rsid w:val="00486A5E"/>
    <w:rsid w:val="00493F92"/>
    <w:rsid w:val="00496738"/>
    <w:rsid w:val="004A0C2B"/>
    <w:rsid w:val="004A610E"/>
    <w:rsid w:val="004B1ACC"/>
    <w:rsid w:val="004C20E2"/>
    <w:rsid w:val="004E056C"/>
    <w:rsid w:val="004E2817"/>
    <w:rsid w:val="004E2AE8"/>
    <w:rsid w:val="004E418A"/>
    <w:rsid w:val="005016FB"/>
    <w:rsid w:val="00504256"/>
    <w:rsid w:val="00511D17"/>
    <w:rsid w:val="00515479"/>
    <w:rsid w:val="005157E2"/>
    <w:rsid w:val="0051699F"/>
    <w:rsid w:val="00516DE3"/>
    <w:rsid w:val="005300BF"/>
    <w:rsid w:val="00532631"/>
    <w:rsid w:val="005414A1"/>
    <w:rsid w:val="0054175C"/>
    <w:rsid w:val="005473CF"/>
    <w:rsid w:val="00551DDE"/>
    <w:rsid w:val="00570355"/>
    <w:rsid w:val="00574530"/>
    <w:rsid w:val="00581423"/>
    <w:rsid w:val="00582F4C"/>
    <w:rsid w:val="0058407A"/>
    <w:rsid w:val="005930AD"/>
    <w:rsid w:val="00594539"/>
    <w:rsid w:val="005A025D"/>
    <w:rsid w:val="005A027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5F2F03"/>
    <w:rsid w:val="00601DD6"/>
    <w:rsid w:val="006032AE"/>
    <w:rsid w:val="00603F71"/>
    <w:rsid w:val="00605202"/>
    <w:rsid w:val="006167EB"/>
    <w:rsid w:val="00621092"/>
    <w:rsid w:val="00621208"/>
    <w:rsid w:val="00632B30"/>
    <w:rsid w:val="006340A1"/>
    <w:rsid w:val="00636760"/>
    <w:rsid w:val="00644B92"/>
    <w:rsid w:val="00645B77"/>
    <w:rsid w:val="00645CF1"/>
    <w:rsid w:val="0065099D"/>
    <w:rsid w:val="006515C9"/>
    <w:rsid w:val="00651944"/>
    <w:rsid w:val="00652318"/>
    <w:rsid w:val="00652484"/>
    <w:rsid w:val="00653314"/>
    <w:rsid w:val="0067005F"/>
    <w:rsid w:val="0067015A"/>
    <w:rsid w:val="006706CE"/>
    <w:rsid w:val="006736EC"/>
    <w:rsid w:val="00673D90"/>
    <w:rsid w:val="00676C1E"/>
    <w:rsid w:val="00686D60"/>
    <w:rsid w:val="00691869"/>
    <w:rsid w:val="006A0D86"/>
    <w:rsid w:val="006A49AE"/>
    <w:rsid w:val="006A56C0"/>
    <w:rsid w:val="006A7091"/>
    <w:rsid w:val="006B38A8"/>
    <w:rsid w:val="006C0911"/>
    <w:rsid w:val="006C737A"/>
    <w:rsid w:val="006D46FB"/>
    <w:rsid w:val="006E29C0"/>
    <w:rsid w:val="006E752A"/>
    <w:rsid w:val="006E7CF0"/>
    <w:rsid w:val="006F3E83"/>
    <w:rsid w:val="006F4B83"/>
    <w:rsid w:val="006F7F47"/>
    <w:rsid w:val="00700B1E"/>
    <w:rsid w:val="00701458"/>
    <w:rsid w:val="00701D7E"/>
    <w:rsid w:val="00704766"/>
    <w:rsid w:val="007119B8"/>
    <w:rsid w:val="00715B79"/>
    <w:rsid w:val="0072415E"/>
    <w:rsid w:val="00724517"/>
    <w:rsid w:val="007247D7"/>
    <w:rsid w:val="007250E3"/>
    <w:rsid w:val="00726795"/>
    <w:rsid w:val="007277C8"/>
    <w:rsid w:val="0073041B"/>
    <w:rsid w:val="00732057"/>
    <w:rsid w:val="007368A2"/>
    <w:rsid w:val="007418AE"/>
    <w:rsid w:val="00742207"/>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C3E0E"/>
    <w:rsid w:val="007D0F1D"/>
    <w:rsid w:val="007D2881"/>
    <w:rsid w:val="007D31CE"/>
    <w:rsid w:val="007D3AD8"/>
    <w:rsid w:val="007D5BB7"/>
    <w:rsid w:val="007D63E0"/>
    <w:rsid w:val="007D6A69"/>
    <w:rsid w:val="007E0621"/>
    <w:rsid w:val="007E4E37"/>
    <w:rsid w:val="007F4B07"/>
    <w:rsid w:val="008029A6"/>
    <w:rsid w:val="008147BA"/>
    <w:rsid w:val="00820298"/>
    <w:rsid w:val="008269B0"/>
    <w:rsid w:val="00827B65"/>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4AA3"/>
    <w:rsid w:val="008B6B4C"/>
    <w:rsid w:val="008B7346"/>
    <w:rsid w:val="008C7F60"/>
    <w:rsid w:val="008D3BF7"/>
    <w:rsid w:val="008E0DAA"/>
    <w:rsid w:val="008E194D"/>
    <w:rsid w:val="008F16C6"/>
    <w:rsid w:val="008F2A76"/>
    <w:rsid w:val="008F34A1"/>
    <w:rsid w:val="008F383D"/>
    <w:rsid w:val="008F4F13"/>
    <w:rsid w:val="008F5052"/>
    <w:rsid w:val="008F5193"/>
    <w:rsid w:val="0090187D"/>
    <w:rsid w:val="00903C3D"/>
    <w:rsid w:val="00904A71"/>
    <w:rsid w:val="0090710F"/>
    <w:rsid w:val="00910B12"/>
    <w:rsid w:val="00911179"/>
    <w:rsid w:val="00911FF6"/>
    <w:rsid w:val="009121CE"/>
    <w:rsid w:val="009127D8"/>
    <w:rsid w:val="00916F7B"/>
    <w:rsid w:val="00917A4D"/>
    <w:rsid w:val="00921F65"/>
    <w:rsid w:val="0092574C"/>
    <w:rsid w:val="00926BC0"/>
    <w:rsid w:val="009342E8"/>
    <w:rsid w:val="009357B4"/>
    <w:rsid w:val="00946D71"/>
    <w:rsid w:val="009577E1"/>
    <w:rsid w:val="00971CA1"/>
    <w:rsid w:val="0097349C"/>
    <w:rsid w:val="009756CE"/>
    <w:rsid w:val="009814C2"/>
    <w:rsid w:val="00982FFD"/>
    <w:rsid w:val="00985265"/>
    <w:rsid w:val="00985856"/>
    <w:rsid w:val="00995712"/>
    <w:rsid w:val="009A25A9"/>
    <w:rsid w:val="009A4969"/>
    <w:rsid w:val="009B1466"/>
    <w:rsid w:val="009B6973"/>
    <w:rsid w:val="009C0510"/>
    <w:rsid w:val="009C3663"/>
    <w:rsid w:val="009D098F"/>
    <w:rsid w:val="009D4547"/>
    <w:rsid w:val="009D5A49"/>
    <w:rsid w:val="009D5E38"/>
    <w:rsid w:val="009D602F"/>
    <w:rsid w:val="009D68D0"/>
    <w:rsid w:val="009E0D81"/>
    <w:rsid w:val="009E17AF"/>
    <w:rsid w:val="009F0D42"/>
    <w:rsid w:val="009F1B82"/>
    <w:rsid w:val="009F34A4"/>
    <w:rsid w:val="009F3988"/>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E3822"/>
    <w:rsid w:val="00AF15BA"/>
    <w:rsid w:val="00AF1C32"/>
    <w:rsid w:val="00AF65C6"/>
    <w:rsid w:val="00B0008C"/>
    <w:rsid w:val="00B11AE3"/>
    <w:rsid w:val="00B121A6"/>
    <w:rsid w:val="00B300B8"/>
    <w:rsid w:val="00B32A28"/>
    <w:rsid w:val="00B33904"/>
    <w:rsid w:val="00B371D1"/>
    <w:rsid w:val="00B3751E"/>
    <w:rsid w:val="00B427FE"/>
    <w:rsid w:val="00B51737"/>
    <w:rsid w:val="00B54673"/>
    <w:rsid w:val="00B6102A"/>
    <w:rsid w:val="00B6167A"/>
    <w:rsid w:val="00B62ED0"/>
    <w:rsid w:val="00B64196"/>
    <w:rsid w:val="00B66A7A"/>
    <w:rsid w:val="00B70266"/>
    <w:rsid w:val="00B74304"/>
    <w:rsid w:val="00B822C1"/>
    <w:rsid w:val="00B82F05"/>
    <w:rsid w:val="00B87142"/>
    <w:rsid w:val="00B8750E"/>
    <w:rsid w:val="00B92374"/>
    <w:rsid w:val="00B924C8"/>
    <w:rsid w:val="00B95E33"/>
    <w:rsid w:val="00B973B5"/>
    <w:rsid w:val="00B97FD1"/>
    <w:rsid w:val="00BA6367"/>
    <w:rsid w:val="00BA71DD"/>
    <w:rsid w:val="00BB1062"/>
    <w:rsid w:val="00BB28EF"/>
    <w:rsid w:val="00BB5DEE"/>
    <w:rsid w:val="00BC002E"/>
    <w:rsid w:val="00BC393F"/>
    <w:rsid w:val="00BC75FC"/>
    <w:rsid w:val="00BD59BD"/>
    <w:rsid w:val="00BE0EA8"/>
    <w:rsid w:val="00BE5B3F"/>
    <w:rsid w:val="00BF351F"/>
    <w:rsid w:val="00BF3F50"/>
    <w:rsid w:val="00BF6F37"/>
    <w:rsid w:val="00C02924"/>
    <w:rsid w:val="00C04344"/>
    <w:rsid w:val="00C17FE4"/>
    <w:rsid w:val="00C21897"/>
    <w:rsid w:val="00C23320"/>
    <w:rsid w:val="00C276EE"/>
    <w:rsid w:val="00C302DE"/>
    <w:rsid w:val="00C36C46"/>
    <w:rsid w:val="00C43146"/>
    <w:rsid w:val="00C43757"/>
    <w:rsid w:val="00C43BCE"/>
    <w:rsid w:val="00C47CF1"/>
    <w:rsid w:val="00C52006"/>
    <w:rsid w:val="00C53AB4"/>
    <w:rsid w:val="00C542F1"/>
    <w:rsid w:val="00C572B3"/>
    <w:rsid w:val="00C57CA1"/>
    <w:rsid w:val="00C6300B"/>
    <w:rsid w:val="00C6426B"/>
    <w:rsid w:val="00C6478B"/>
    <w:rsid w:val="00C87194"/>
    <w:rsid w:val="00C871E6"/>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D767B"/>
    <w:rsid w:val="00CE0E19"/>
    <w:rsid w:val="00CE2586"/>
    <w:rsid w:val="00CF05D7"/>
    <w:rsid w:val="00CF28B7"/>
    <w:rsid w:val="00CF34A6"/>
    <w:rsid w:val="00CF3F93"/>
    <w:rsid w:val="00D020F3"/>
    <w:rsid w:val="00D04515"/>
    <w:rsid w:val="00D065AD"/>
    <w:rsid w:val="00D22831"/>
    <w:rsid w:val="00D31F9D"/>
    <w:rsid w:val="00D404B7"/>
    <w:rsid w:val="00D44509"/>
    <w:rsid w:val="00D448CB"/>
    <w:rsid w:val="00D47226"/>
    <w:rsid w:val="00D47ED5"/>
    <w:rsid w:val="00D57D65"/>
    <w:rsid w:val="00D61779"/>
    <w:rsid w:val="00D73DB6"/>
    <w:rsid w:val="00D809E5"/>
    <w:rsid w:val="00D81948"/>
    <w:rsid w:val="00D90819"/>
    <w:rsid w:val="00D93291"/>
    <w:rsid w:val="00D9501F"/>
    <w:rsid w:val="00DB50D5"/>
    <w:rsid w:val="00DC218D"/>
    <w:rsid w:val="00DC5537"/>
    <w:rsid w:val="00DD11EE"/>
    <w:rsid w:val="00DD52A0"/>
    <w:rsid w:val="00DE5590"/>
    <w:rsid w:val="00DE6364"/>
    <w:rsid w:val="00DF1D9E"/>
    <w:rsid w:val="00DF3DA3"/>
    <w:rsid w:val="00DF5DA4"/>
    <w:rsid w:val="00E06492"/>
    <w:rsid w:val="00E065CE"/>
    <w:rsid w:val="00E06A00"/>
    <w:rsid w:val="00E13E03"/>
    <w:rsid w:val="00E20D4E"/>
    <w:rsid w:val="00E22B99"/>
    <w:rsid w:val="00E24A9D"/>
    <w:rsid w:val="00E258D9"/>
    <w:rsid w:val="00E35B8C"/>
    <w:rsid w:val="00E439CA"/>
    <w:rsid w:val="00E46DDB"/>
    <w:rsid w:val="00E473F3"/>
    <w:rsid w:val="00E5219B"/>
    <w:rsid w:val="00E56905"/>
    <w:rsid w:val="00E57715"/>
    <w:rsid w:val="00E64BE4"/>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E2069"/>
    <w:rsid w:val="00EE63EC"/>
    <w:rsid w:val="00EF0BCB"/>
    <w:rsid w:val="00EF0E74"/>
    <w:rsid w:val="00EF2549"/>
    <w:rsid w:val="00F00E8A"/>
    <w:rsid w:val="00F16242"/>
    <w:rsid w:val="00F17FCB"/>
    <w:rsid w:val="00F226CC"/>
    <w:rsid w:val="00F23EED"/>
    <w:rsid w:val="00F24777"/>
    <w:rsid w:val="00F24C2D"/>
    <w:rsid w:val="00F2691E"/>
    <w:rsid w:val="00F279DD"/>
    <w:rsid w:val="00F30597"/>
    <w:rsid w:val="00F3242E"/>
    <w:rsid w:val="00F33650"/>
    <w:rsid w:val="00F348F9"/>
    <w:rsid w:val="00F36EA1"/>
    <w:rsid w:val="00F37E4B"/>
    <w:rsid w:val="00F4144E"/>
    <w:rsid w:val="00F41B00"/>
    <w:rsid w:val="00F473CB"/>
    <w:rsid w:val="00F50245"/>
    <w:rsid w:val="00F63DDA"/>
    <w:rsid w:val="00F67029"/>
    <w:rsid w:val="00F70858"/>
    <w:rsid w:val="00F71BBC"/>
    <w:rsid w:val="00F7397F"/>
    <w:rsid w:val="00F75609"/>
    <w:rsid w:val="00F75949"/>
    <w:rsid w:val="00F75CF4"/>
    <w:rsid w:val="00F81036"/>
    <w:rsid w:val="00F866CD"/>
    <w:rsid w:val="00F941F0"/>
    <w:rsid w:val="00F94A6A"/>
    <w:rsid w:val="00F97FF5"/>
    <w:rsid w:val="00FA7CE6"/>
    <w:rsid w:val="00FB1313"/>
    <w:rsid w:val="00FC2238"/>
    <w:rsid w:val="00FC2459"/>
    <w:rsid w:val="00FC268E"/>
    <w:rsid w:val="00FC2BFD"/>
    <w:rsid w:val="00FC309D"/>
    <w:rsid w:val="00FC47E0"/>
    <w:rsid w:val="00FD1C42"/>
    <w:rsid w:val="00FD1E96"/>
    <w:rsid w:val="00FD1FE7"/>
    <w:rsid w:val="00FD309F"/>
    <w:rsid w:val="00FD6442"/>
    <w:rsid w:val="00FE15F6"/>
    <w:rsid w:val="00FE1F8A"/>
    <w:rsid w:val="00FE6F05"/>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5C0D9A"/>
  <w15:docId w15:val="{283FB243-131E-4A02-A460-9015088E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EE63EC"/>
    <w:rPr>
      <w:color w:val="605E5C"/>
      <w:shd w:val="clear" w:color="auto" w:fill="E1DFDD"/>
    </w:rPr>
  </w:style>
  <w:style w:type="character" w:customStyle="1" w:styleId="shortdesc1">
    <w:name w:val="short_desc1"/>
    <w:rsid w:val="00EE63EC"/>
    <w:rPr>
      <w:rFonts w:ascii="Verdana" w:hAnsi="Verdana" w:hint="default"/>
      <w:strike w:val="0"/>
      <w:dstrike w:val="0"/>
      <w:color w:val="00000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764821">
      <w:bodyDiv w:val="1"/>
      <w:marLeft w:val="0"/>
      <w:marRight w:val="0"/>
      <w:marTop w:val="0"/>
      <w:marBottom w:val="0"/>
      <w:divBdr>
        <w:top w:val="none" w:sz="0" w:space="0" w:color="auto"/>
        <w:left w:val="none" w:sz="0" w:space="0" w:color="auto"/>
        <w:bottom w:val="none" w:sz="0" w:space="0" w:color="auto"/>
        <w:right w:val="none" w:sz="0" w:space="0" w:color="auto"/>
      </w:divBdr>
    </w:div>
    <w:div w:id="450829436">
      <w:bodyDiv w:val="1"/>
      <w:marLeft w:val="0"/>
      <w:marRight w:val="0"/>
      <w:marTop w:val="0"/>
      <w:marBottom w:val="0"/>
      <w:divBdr>
        <w:top w:val="none" w:sz="0" w:space="0" w:color="auto"/>
        <w:left w:val="none" w:sz="0" w:space="0" w:color="auto"/>
        <w:bottom w:val="none" w:sz="0" w:space="0" w:color="auto"/>
        <w:right w:val="none" w:sz="0" w:space="0" w:color="auto"/>
      </w:divBdr>
    </w:div>
    <w:div w:id="699015269">
      <w:bodyDiv w:val="1"/>
      <w:marLeft w:val="0"/>
      <w:marRight w:val="0"/>
      <w:marTop w:val="0"/>
      <w:marBottom w:val="0"/>
      <w:divBdr>
        <w:top w:val="none" w:sz="0" w:space="0" w:color="auto"/>
        <w:left w:val="none" w:sz="0" w:space="0" w:color="auto"/>
        <w:bottom w:val="none" w:sz="0" w:space="0" w:color="auto"/>
        <w:right w:val="none" w:sz="0" w:space="0" w:color="auto"/>
      </w:divBdr>
    </w:div>
    <w:div w:id="1299264230">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D274D-3D1E-4F69-BE95-928E319C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1</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Joseph, George</cp:lastModifiedBy>
  <cp:revision>2</cp:revision>
  <dcterms:created xsi:type="dcterms:W3CDTF">2022-04-06T09:57:00Z</dcterms:created>
  <dcterms:modified xsi:type="dcterms:W3CDTF">2022-04-06T09:57:00Z</dcterms:modified>
</cp:coreProperties>
</file>