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29C4" w14:textId="77777777" w:rsidR="00395B0B" w:rsidRDefault="00395B0B" w:rsidP="000340CE">
      <w:pPr>
        <w:pageBreakBefore/>
        <w:bidi/>
        <w:jc w:val="center"/>
        <w:rPr>
          <w:rFonts w:asciiTheme="majorBidi" w:hAnsiTheme="majorBidi" w:cstheme="majorBidi"/>
          <w:b/>
          <w:bCs/>
          <w:sz w:val="24"/>
          <w:szCs w:val="28"/>
        </w:rPr>
      </w:pPr>
      <w:r>
        <w:rPr>
          <w:rFonts w:asciiTheme="majorBidi" w:hAnsiTheme="majorBidi" w:hint="cs"/>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AD3D62" w14:paraId="56D97D85" w14:textId="77777777" w:rsidTr="00820702">
        <w:trPr>
          <w:cantSplit/>
        </w:trPr>
        <w:tc>
          <w:tcPr>
            <w:tcW w:w="786" w:type="pct"/>
            <w:shd w:val="clear" w:color="auto" w:fill="auto"/>
          </w:tcPr>
          <w:p w14:paraId="337D0BCB" w14:textId="188E4866" w:rsidR="005473CF" w:rsidRPr="00D636C7" w:rsidRDefault="00395B0B" w:rsidP="000340CE">
            <w:pPr>
              <w:bidi/>
              <w:spacing w:before="120"/>
              <w:jc w:val="both"/>
              <w:rPr>
                <w:rFonts w:asciiTheme="majorBidi" w:hAnsiTheme="majorBidi" w:cstheme="majorBidi"/>
                <w:b/>
                <w:sz w:val="24"/>
              </w:rPr>
            </w:pPr>
            <w:r w:rsidRPr="00D636C7">
              <w:rPr>
                <w:rFonts w:asciiTheme="majorBidi" w:hAnsiTheme="majorBidi"/>
                <w:b/>
                <w:bCs/>
                <w:sz w:val="24"/>
                <w:rtl/>
              </w:rPr>
              <w:t>المؤشر</w:t>
            </w:r>
          </w:p>
        </w:tc>
        <w:tc>
          <w:tcPr>
            <w:tcW w:w="4214" w:type="pct"/>
            <w:gridSpan w:val="2"/>
            <w:shd w:val="clear" w:color="auto" w:fill="auto"/>
          </w:tcPr>
          <w:p w14:paraId="5F3A3393" w14:textId="1AA42AE3" w:rsidR="005473CF" w:rsidRPr="00D636C7" w:rsidRDefault="00AD3D62" w:rsidP="000340CE">
            <w:pPr>
              <w:pStyle w:val="ListParagraph"/>
              <w:keepLines/>
              <w:numPr>
                <w:ilvl w:val="0"/>
                <w:numId w:val="77"/>
              </w:numPr>
              <w:bidi/>
              <w:spacing w:before="120"/>
              <w:jc w:val="both"/>
              <w:rPr>
                <w:rFonts w:asciiTheme="majorBidi" w:hAnsiTheme="majorBidi" w:cstheme="majorBidi"/>
                <w:bCs/>
                <w:sz w:val="24"/>
                <w:szCs w:val="24"/>
              </w:rPr>
            </w:pPr>
            <w:r w:rsidRPr="00D636C7">
              <w:rPr>
                <w:rFonts w:asciiTheme="majorBidi" w:hAnsiTheme="majorBidi" w:cstheme="majorBidi"/>
                <w:bCs/>
                <w:sz w:val="24"/>
                <w:szCs w:val="24"/>
                <w:rtl/>
              </w:rPr>
              <w:t>النسبة المئوية للدول الأطراف المنخرطة بنشاط مع الدول الأطراف الأخرى في التعاون من أجل الصون</w:t>
            </w:r>
          </w:p>
        </w:tc>
      </w:tr>
      <w:tr w:rsidR="00395B0B" w:rsidRPr="00AD3D62" w14:paraId="5D9FAE78" w14:textId="77777777" w:rsidTr="00820702">
        <w:trPr>
          <w:cantSplit/>
        </w:trPr>
        <w:tc>
          <w:tcPr>
            <w:tcW w:w="786" w:type="pct"/>
            <w:vMerge w:val="restart"/>
            <w:shd w:val="clear" w:color="auto" w:fill="auto"/>
          </w:tcPr>
          <w:p w14:paraId="70B13F77" w14:textId="7C28C6F0" w:rsidR="00395B0B" w:rsidRPr="00D636C7" w:rsidRDefault="00395B0B" w:rsidP="000340CE">
            <w:pPr>
              <w:bidi/>
              <w:spacing w:before="120"/>
              <w:jc w:val="both"/>
              <w:rPr>
                <w:rFonts w:asciiTheme="majorBidi" w:hAnsiTheme="majorBidi" w:cstheme="majorBidi"/>
                <w:b/>
                <w:sz w:val="24"/>
              </w:rPr>
            </w:pPr>
            <w:r w:rsidRPr="00D636C7">
              <w:rPr>
                <w:rFonts w:asciiTheme="majorBidi" w:hAnsiTheme="majorBidi"/>
                <w:b/>
                <w:bCs/>
                <w:sz w:val="24"/>
                <w:rtl/>
              </w:rPr>
              <w:t>عوامل التقييم الشامل</w:t>
            </w:r>
          </w:p>
        </w:tc>
        <w:tc>
          <w:tcPr>
            <w:tcW w:w="4214" w:type="pct"/>
            <w:gridSpan w:val="2"/>
            <w:shd w:val="clear" w:color="auto" w:fill="auto"/>
          </w:tcPr>
          <w:p w14:paraId="5ADCA480" w14:textId="7C86EAA9" w:rsidR="00395B0B" w:rsidRPr="00D636C7" w:rsidRDefault="00395B0B" w:rsidP="000340CE">
            <w:pPr>
              <w:keepLines/>
              <w:bidi/>
              <w:spacing w:before="120"/>
              <w:jc w:val="both"/>
              <w:rPr>
                <w:rFonts w:asciiTheme="majorBidi" w:hAnsiTheme="majorBidi" w:cstheme="majorBidi"/>
                <w:b/>
                <w:sz w:val="24"/>
              </w:rPr>
            </w:pPr>
            <w:r w:rsidRPr="00D636C7">
              <w:rPr>
                <w:rFonts w:asciiTheme="majorBidi" w:hAnsiTheme="majorBidi"/>
                <w:sz w:val="24"/>
                <w:rtl/>
              </w:rPr>
              <w:t xml:space="preserve">يتم تقييم هذا المؤشر على أساس </w:t>
            </w:r>
            <w:r w:rsidR="00AD3D62" w:rsidRPr="00D636C7">
              <w:rPr>
                <w:rFonts w:asciiTheme="majorBidi" w:hAnsiTheme="majorBidi" w:hint="cs"/>
                <w:sz w:val="24"/>
                <w:rtl/>
              </w:rPr>
              <w:t>أربعة</w:t>
            </w:r>
            <w:r w:rsidRPr="00D636C7">
              <w:rPr>
                <w:rFonts w:asciiTheme="majorBidi" w:hAnsiTheme="majorBidi"/>
                <w:sz w:val="24"/>
                <w:rtl/>
              </w:rPr>
              <w:t xml:space="preserve"> عوامل على الصعيد القطري ترصدها كل دولة طرف </w:t>
            </w:r>
            <w:r w:rsidR="007077A4" w:rsidRPr="00D636C7">
              <w:rPr>
                <w:rFonts w:asciiTheme="majorBidi" w:hAnsiTheme="majorBidi" w:hint="cs"/>
                <w:sz w:val="24"/>
                <w:rtl/>
                <w:lang w:bidi="ar-EG"/>
              </w:rPr>
              <w:t>و</w:t>
            </w:r>
            <w:r w:rsidR="00B3605D" w:rsidRPr="00D636C7">
              <w:rPr>
                <w:rFonts w:asciiTheme="majorBidi" w:hAnsiTheme="majorBidi" w:hint="cs"/>
                <w:sz w:val="24"/>
                <w:rtl/>
                <w:lang w:bidi="ar-EG"/>
              </w:rPr>
              <w:t>ت</w:t>
            </w:r>
            <w:r w:rsidR="004A1816">
              <w:rPr>
                <w:rFonts w:asciiTheme="majorBidi" w:hAnsiTheme="majorBidi" w:hint="cs"/>
                <w:sz w:val="24"/>
                <w:rtl/>
                <w:lang w:bidi="ar-EG"/>
              </w:rPr>
              <w:t>عد التقرير</w:t>
            </w:r>
            <w:r w:rsidR="00B3605D" w:rsidRPr="00D636C7">
              <w:rPr>
                <w:rFonts w:asciiTheme="majorBidi" w:hAnsiTheme="majorBidi" w:hint="cs"/>
                <w:sz w:val="24"/>
                <w:rtl/>
                <w:lang w:bidi="ar-EG"/>
              </w:rPr>
              <w:t xml:space="preserve"> عنها</w:t>
            </w:r>
            <w:r w:rsidRPr="00D636C7">
              <w:rPr>
                <w:rFonts w:asciiTheme="majorBidi" w:hAnsiTheme="majorBidi"/>
                <w:sz w:val="24"/>
                <w:rtl/>
              </w:rPr>
              <w:t>:</w:t>
            </w:r>
          </w:p>
        </w:tc>
      </w:tr>
      <w:tr w:rsidR="00395B0B" w:rsidRPr="00AD3D62" w14:paraId="0BBCD4E9" w14:textId="77777777" w:rsidTr="00820702">
        <w:trPr>
          <w:cantSplit/>
        </w:trPr>
        <w:tc>
          <w:tcPr>
            <w:tcW w:w="786" w:type="pct"/>
            <w:vMerge/>
            <w:shd w:val="clear" w:color="auto" w:fill="auto"/>
          </w:tcPr>
          <w:p w14:paraId="51F527FB" w14:textId="77777777" w:rsidR="00395B0B" w:rsidRPr="00D636C7" w:rsidRDefault="00395B0B" w:rsidP="000340CE">
            <w:pPr>
              <w:bidi/>
              <w:spacing w:before="120"/>
              <w:jc w:val="both"/>
              <w:rPr>
                <w:rFonts w:asciiTheme="majorBidi" w:hAnsiTheme="majorBidi" w:cstheme="majorBidi"/>
                <w:b/>
                <w:sz w:val="24"/>
              </w:rPr>
            </w:pPr>
          </w:p>
        </w:tc>
        <w:tc>
          <w:tcPr>
            <w:tcW w:w="3418" w:type="pct"/>
            <w:shd w:val="clear" w:color="auto" w:fill="auto"/>
            <w:vAlign w:val="center"/>
          </w:tcPr>
          <w:p w14:paraId="450BA1B9" w14:textId="30AD67F9" w:rsidR="00395B0B" w:rsidRPr="00D636C7" w:rsidRDefault="00E0207A" w:rsidP="000340CE">
            <w:pPr>
              <w:bidi/>
              <w:spacing w:before="60" w:after="60"/>
              <w:jc w:val="both"/>
              <w:rPr>
                <w:rFonts w:asciiTheme="majorBidi" w:eastAsia="Calibri" w:hAnsiTheme="majorBidi" w:cstheme="majorBidi"/>
                <w:vanish/>
                <w:sz w:val="24"/>
                <w:lang w:eastAsia="en-US"/>
              </w:rPr>
            </w:pPr>
            <w:r w:rsidRPr="00D636C7">
              <w:rPr>
                <w:rFonts w:asciiTheme="majorBidi" w:eastAsia="Calibri" w:hAnsiTheme="majorBidi"/>
                <w:sz w:val="24"/>
                <w:rtl/>
                <w:lang w:eastAsia="en-US"/>
              </w:rPr>
              <w:t xml:space="preserve">24-1 الشروع في التعاون </w:t>
            </w:r>
            <w:proofErr w:type="gramStart"/>
            <w:r w:rsidRPr="00D636C7">
              <w:rPr>
                <w:rFonts w:asciiTheme="majorBidi" w:eastAsia="Calibri" w:hAnsiTheme="majorBidi"/>
                <w:sz w:val="24"/>
                <w:rtl/>
                <w:lang w:eastAsia="en-US"/>
              </w:rPr>
              <w:t>الثنائي</w:t>
            </w:r>
            <w:proofErr w:type="gramEnd"/>
            <w:r w:rsidRPr="00D636C7">
              <w:rPr>
                <w:rFonts w:asciiTheme="majorBidi" w:eastAsia="Calibri" w:hAnsiTheme="majorBidi"/>
                <w:sz w:val="24"/>
                <w:rtl/>
                <w:lang w:eastAsia="en-US"/>
              </w:rPr>
              <w:t xml:space="preserve"> أو متعدّد الأطراف أو الإقليمي أو الدولي لتنفيذ تدابير صون التراث الثقافي غير المادي بشكل عام.</w:t>
            </w:r>
          </w:p>
        </w:tc>
        <w:tc>
          <w:tcPr>
            <w:tcW w:w="796" w:type="pct"/>
            <w:shd w:val="clear" w:color="auto" w:fill="auto"/>
            <w:vAlign w:val="center"/>
          </w:tcPr>
          <w:p w14:paraId="13ACF279" w14:textId="77777777" w:rsidR="00C94FB2" w:rsidRPr="00D636C7" w:rsidRDefault="00C94FB2" w:rsidP="000340CE">
            <w:pPr>
              <w:bidi/>
              <w:spacing w:before="60" w:after="60"/>
              <w:jc w:val="both"/>
              <w:rPr>
                <w:rFonts w:asciiTheme="majorBidi" w:hAnsiTheme="majorBidi" w:cstheme="majorBidi"/>
                <w:sz w:val="24"/>
                <w:rtl/>
              </w:rPr>
            </w:pPr>
            <w:r w:rsidRPr="00D636C7">
              <w:rPr>
                <w:rFonts w:asciiTheme="majorBidi" w:hAnsiTheme="majorBidi"/>
                <w:sz w:val="24"/>
                <w:rtl/>
              </w:rPr>
              <w:t>المادة 19</w:t>
            </w:r>
          </w:p>
          <w:p w14:paraId="69F58A05" w14:textId="512CD5CF" w:rsidR="00395B0B" w:rsidRPr="00D636C7" w:rsidRDefault="00C94FB2" w:rsidP="000340CE">
            <w:pPr>
              <w:bidi/>
              <w:spacing w:before="60" w:after="60"/>
              <w:jc w:val="both"/>
              <w:rPr>
                <w:rFonts w:asciiTheme="majorBidi" w:hAnsiTheme="majorBidi" w:cstheme="majorBidi"/>
                <w:sz w:val="24"/>
              </w:rPr>
            </w:pPr>
            <w:r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Pr="00D636C7">
              <w:rPr>
                <w:rFonts w:asciiTheme="majorBidi" w:hAnsiTheme="majorBidi"/>
                <w:sz w:val="24"/>
                <w:rtl/>
              </w:rPr>
              <w:t>86</w:t>
            </w:r>
          </w:p>
        </w:tc>
      </w:tr>
      <w:tr w:rsidR="00395B0B" w:rsidRPr="00AD3D62" w14:paraId="57B32301" w14:textId="77777777" w:rsidTr="00820702">
        <w:trPr>
          <w:cantSplit/>
        </w:trPr>
        <w:tc>
          <w:tcPr>
            <w:tcW w:w="786" w:type="pct"/>
            <w:vMerge/>
            <w:shd w:val="clear" w:color="auto" w:fill="auto"/>
          </w:tcPr>
          <w:p w14:paraId="6640A21E" w14:textId="77777777" w:rsidR="00395B0B" w:rsidRPr="00D636C7" w:rsidRDefault="00395B0B" w:rsidP="000340CE">
            <w:pPr>
              <w:bidi/>
              <w:spacing w:before="120"/>
              <w:jc w:val="both"/>
              <w:rPr>
                <w:rFonts w:asciiTheme="majorBidi" w:hAnsiTheme="majorBidi" w:cstheme="majorBidi"/>
                <w:b/>
                <w:sz w:val="24"/>
              </w:rPr>
            </w:pPr>
          </w:p>
        </w:tc>
        <w:tc>
          <w:tcPr>
            <w:tcW w:w="3418" w:type="pct"/>
            <w:shd w:val="clear" w:color="auto" w:fill="auto"/>
            <w:vAlign w:val="center"/>
          </w:tcPr>
          <w:p w14:paraId="589850EF" w14:textId="0070992E" w:rsidR="00395B0B" w:rsidRPr="00D636C7" w:rsidRDefault="00E0207A" w:rsidP="000340CE">
            <w:pPr>
              <w:bidi/>
              <w:spacing w:before="60" w:after="60"/>
              <w:jc w:val="both"/>
              <w:rPr>
                <w:rFonts w:asciiTheme="majorBidi" w:eastAsia="Calibri" w:hAnsiTheme="majorBidi" w:cstheme="majorBidi"/>
                <w:sz w:val="24"/>
                <w:lang w:eastAsia="en-US"/>
              </w:rPr>
            </w:pPr>
            <w:r w:rsidRPr="00D636C7">
              <w:rPr>
                <w:rFonts w:asciiTheme="majorBidi" w:eastAsia="Calibri" w:hAnsiTheme="majorBidi"/>
                <w:sz w:val="24"/>
                <w:rtl/>
                <w:lang w:eastAsia="en-US"/>
              </w:rPr>
              <w:t xml:space="preserve">24-2 الشروع في التعاون </w:t>
            </w:r>
            <w:proofErr w:type="gramStart"/>
            <w:r w:rsidRPr="00D636C7">
              <w:rPr>
                <w:rFonts w:asciiTheme="majorBidi" w:eastAsia="Calibri" w:hAnsiTheme="majorBidi"/>
                <w:sz w:val="24"/>
                <w:rtl/>
                <w:lang w:eastAsia="en-US"/>
              </w:rPr>
              <w:t>الثنائي</w:t>
            </w:r>
            <w:proofErr w:type="gramEnd"/>
            <w:r w:rsidRPr="00D636C7">
              <w:rPr>
                <w:rFonts w:asciiTheme="majorBidi" w:eastAsia="Calibri" w:hAnsiTheme="majorBidi"/>
                <w:sz w:val="24"/>
                <w:rtl/>
                <w:lang w:eastAsia="en-US"/>
              </w:rPr>
              <w:t xml:space="preserve"> أو متعدّد الأطراف أو الإقليمي أو الدولي لتنفيذ تدابير صون لعناصر محدّدة من التراث الثقافي غير المادي، لا سيما العناصر المعرّضة للخطر والعناصر الموجودة في أراضي أكثر من دولة واحدة والعناصر العابرة للحدود.</w:t>
            </w:r>
          </w:p>
        </w:tc>
        <w:tc>
          <w:tcPr>
            <w:tcW w:w="796" w:type="pct"/>
            <w:shd w:val="clear" w:color="auto" w:fill="auto"/>
            <w:vAlign w:val="center"/>
          </w:tcPr>
          <w:p w14:paraId="1059988C" w14:textId="77777777" w:rsidR="00C94FB2" w:rsidRPr="00D636C7" w:rsidRDefault="00C94FB2" w:rsidP="000340CE">
            <w:pPr>
              <w:bidi/>
              <w:spacing w:before="60" w:after="60"/>
              <w:jc w:val="both"/>
              <w:rPr>
                <w:rFonts w:asciiTheme="majorBidi" w:hAnsiTheme="majorBidi" w:cstheme="majorBidi"/>
                <w:sz w:val="24"/>
                <w:rtl/>
              </w:rPr>
            </w:pPr>
            <w:r w:rsidRPr="00D636C7">
              <w:rPr>
                <w:rFonts w:asciiTheme="majorBidi" w:hAnsiTheme="majorBidi"/>
                <w:sz w:val="24"/>
                <w:rtl/>
              </w:rPr>
              <w:t>المادة 19</w:t>
            </w:r>
          </w:p>
          <w:p w14:paraId="67A59E34" w14:textId="5C3F8BAC" w:rsidR="00395B0B" w:rsidRPr="00D636C7" w:rsidRDefault="007077A4" w:rsidP="000340CE">
            <w:pPr>
              <w:bidi/>
              <w:spacing w:before="60" w:after="60"/>
              <w:jc w:val="both"/>
              <w:rPr>
                <w:rFonts w:asciiTheme="majorBidi" w:hAnsiTheme="majorBidi" w:cstheme="majorBidi"/>
                <w:sz w:val="24"/>
              </w:rPr>
            </w:pPr>
            <w:r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Pr="00D636C7">
              <w:rPr>
                <w:rFonts w:asciiTheme="majorBidi" w:hAnsiTheme="majorBidi"/>
                <w:sz w:val="24"/>
                <w:rtl/>
              </w:rPr>
              <w:t>13</w:t>
            </w:r>
            <w:r w:rsidR="00F72DCD" w:rsidRPr="00D636C7">
              <w:rPr>
                <w:rFonts w:asciiTheme="majorBidi" w:hAnsiTheme="majorBidi" w:hint="cs"/>
                <w:sz w:val="24"/>
                <w:rtl/>
              </w:rPr>
              <w:t>، و</w:t>
            </w:r>
            <w:r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Pr="00D636C7">
              <w:rPr>
                <w:rFonts w:asciiTheme="majorBidi" w:hAnsiTheme="majorBidi"/>
                <w:sz w:val="24"/>
                <w:rtl/>
              </w:rPr>
              <w:t>1</w:t>
            </w:r>
            <w:r w:rsidR="00AD3D62" w:rsidRPr="00D636C7">
              <w:rPr>
                <w:rFonts w:asciiTheme="majorBidi" w:hAnsiTheme="majorBidi" w:hint="cs"/>
                <w:sz w:val="24"/>
                <w:rtl/>
              </w:rPr>
              <w:t>4</w:t>
            </w:r>
            <w:r w:rsidR="00F72DCD" w:rsidRPr="00D636C7">
              <w:rPr>
                <w:rFonts w:asciiTheme="majorBidi" w:hAnsiTheme="majorBidi" w:hint="cs"/>
                <w:sz w:val="24"/>
                <w:rtl/>
              </w:rPr>
              <w:t xml:space="preserve">، </w:t>
            </w:r>
            <w:r w:rsidR="00C94FB2" w:rsidRPr="00D636C7">
              <w:rPr>
                <w:rFonts w:asciiTheme="majorBidi" w:hAnsiTheme="majorBidi"/>
                <w:sz w:val="24"/>
                <w:rtl/>
              </w:rPr>
              <w:t xml:space="preserve">والتوجيه </w:t>
            </w:r>
            <w:r w:rsidR="00CE6781" w:rsidRPr="00D636C7">
              <w:rPr>
                <w:rFonts w:asciiTheme="majorBidi" w:hAnsiTheme="majorBidi"/>
                <w:sz w:val="24"/>
                <w:rtl/>
              </w:rPr>
              <w:t xml:space="preserve">التنفيذي </w:t>
            </w:r>
            <w:r w:rsidR="00C94FB2" w:rsidRPr="00D636C7">
              <w:rPr>
                <w:rFonts w:asciiTheme="majorBidi" w:hAnsiTheme="majorBidi"/>
                <w:sz w:val="24"/>
                <w:rtl/>
              </w:rPr>
              <w:t>15</w:t>
            </w:r>
          </w:p>
        </w:tc>
      </w:tr>
      <w:tr w:rsidR="00395B0B" w:rsidRPr="00AD3D62" w14:paraId="7184E5CF" w14:textId="77777777" w:rsidTr="00820702">
        <w:trPr>
          <w:cantSplit/>
        </w:trPr>
        <w:tc>
          <w:tcPr>
            <w:tcW w:w="786" w:type="pct"/>
            <w:vMerge/>
            <w:shd w:val="clear" w:color="auto" w:fill="auto"/>
          </w:tcPr>
          <w:p w14:paraId="0E52CFB5" w14:textId="77777777" w:rsidR="00395B0B" w:rsidRPr="00D636C7" w:rsidRDefault="00395B0B" w:rsidP="000340CE">
            <w:pPr>
              <w:bidi/>
              <w:spacing w:before="120"/>
              <w:jc w:val="both"/>
              <w:rPr>
                <w:rFonts w:asciiTheme="majorBidi" w:hAnsiTheme="majorBidi" w:cstheme="majorBidi"/>
                <w:b/>
                <w:sz w:val="24"/>
              </w:rPr>
            </w:pPr>
          </w:p>
        </w:tc>
        <w:tc>
          <w:tcPr>
            <w:tcW w:w="3418" w:type="pct"/>
            <w:shd w:val="clear" w:color="auto" w:fill="auto"/>
            <w:vAlign w:val="center"/>
          </w:tcPr>
          <w:p w14:paraId="19F70D47" w14:textId="71D75D47" w:rsidR="00395B0B" w:rsidRPr="00D636C7" w:rsidRDefault="00E0207A" w:rsidP="000340CE">
            <w:pPr>
              <w:bidi/>
              <w:spacing w:before="60" w:after="60"/>
              <w:jc w:val="both"/>
              <w:rPr>
                <w:rFonts w:asciiTheme="majorBidi" w:eastAsia="Calibri" w:hAnsiTheme="majorBidi" w:cstheme="majorBidi"/>
                <w:sz w:val="24"/>
                <w:lang w:eastAsia="en-US"/>
              </w:rPr>
            </w:pPr>
            <w:r w:rsidRPr="00D636C7">
              <w:rPr>
                <w:rFonts w:asciiTheme="majorBidi" w:eastAsia="Calibri" w:hAnsiTheme="majorBidi" w:cstheme="majorBidi"/>
                <w:sz w:val="24"/>
                <w:rtl/>
                <w:lang w:eastAsia="en-US"/>
              </w:rPr>
              <w:t>24-3 تبادل المعلومات والخبرات حول التراث الثقافي غير المادي وصونه، بما في ذلك ممارسات الصون الجيّدة، مع الدول الأطراف الأخرى</w:t>
            </w:r>
            <w:r w:rsidRPr="00D636C7">
              <w:rPr>
                <w:rFonts w:asciiTheme="majorBidi" w:eastAsia="Calibri" w:hAnsiTheme="majorBidi" w:cstheme="majorBidi"/>
                <w:sz w:val="24"/>
                <w:lang w:eastAsia="en-US"/>
              </w:rPr>
              <w:t>.</w:t>
            </w:r>
          </w:p>
        </w:tc>
        <w:tc>
          <w:tcPr>
            <w:tcW w:w="796" w:type="pct"/>
            <w:shd w:val="clear" w:color="auto" w:fill="auto"/>
            <w:vAlign w:val="center"/>
          </w:tcPr>
          <w:p w14:paraId="328F1CE0" w14:textId="77777777" w:rsidR="00AA686A" w:rsidRPr="00D636C7" w:rsidRDefault="00AA686A" w:rsidP="000340CE">
            <w:pPr>
              <w:bidi/>
              <w:spacing w:before="60" w:after="60"/>
              <w:jc w:val="both"/>
              <w:rPr>
                <w:rFonts w:asciiTheme="majorBidi" w:hAnsiTheme="majorBidi" w:cstheme="majorBidi"/>
                <w:sz w:val="24"/>
                <w:rtl/>
              </w:rPr>
            </w:pPr>
            <w:r w:rsidRPr="00D636C7">
              <w:rPr>
                <w:rFonts w:asciiTheme="majorBidi" w:hAnsiTheme="majorBidi"/>
                <w:sz w:val="24"/>
                <w:rtl/>
              </w:rPr>
              <w:t>المادة 19</w:t>
            </w:r>
          </w:p>
          <w:p w14:paraId="6341E1EB" w14:textId="59C3399B" w:rsidR="00395B0B" w:rsidRPr="00D636C7" w:rsidRDefault="007077A4" w:rsidP="000340CE">
            <w:pPr>
              <w:bidi/>
              <w:spacing w:before="60" w:after="60"/>
              <w:jc w:val="both"/>
              <w:rPr>
                <w:rFonts w:asciiTheme="majorBidi" w:hAnsiTheme="majorBidi" w:cstheme="majorBidi"/>
                <w:sz w:val="24"/>
              </w:rPr>
            </w:pPr>
            <w:r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Pr="00D636C7">
              <w:rPr>
                <w:rFonts w:asciiTheme="majorBidi" w:hAnsiTheme="majorBidi"/>
                <w:sz w:val="24"/>
                <w:rtl/>
              </w:rPr>
              <w:t>156</w:t>
            </w:r>
            <w:r w:rsidR="00F72DCD" w:rsidRPr="00D636C7">
              <w:rPr>
                <w:rFonts w:asciiTheme="majorBidi" w:hAnsiTheme="majorBidi" w:hint="cs"/>
                <w:sz w:val="24"/>
                <w:rtl/>
              </w:rPr>
              <w:t>، و</w:t>
            </w:r>
            <w:r w:rsidR="00AA686A"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00AA686A" w:rsidRPr="00D636C7">
              <w:rPr>
                <w:rFonts w:asciiTheme="majorBidi" w:hAnsiTheme="majorBidi"/>
                <w:sz w:val="24"/>
                <w:rtl/>
              </w:rPr>
              <w:t>193</w:t>
            </w:r>
          </w:p>
        </w:tc>
      </w:tr>
      <w:tr w:rsidR="00395B0B" w:rsidRPr="00AD3D62" w14:paraId="749328BA" w14:textId="77777777" w:rsidTr="00820702">
        <w:trPr>
          <w:cantSplit/>
        </w:trPr>
        <w:tc>
          <w:tcPr>
            <w:tcW w:w="786" w:type="pct"/>
            <w:vMerge/>
            <w:shd w:val="clear" w:color="auto" w:fill="auto"/>
          </w:tcPr>
          <w:p w14:paraId="1271368E" w14:textId="77777777" w:rsidR="00395B0B" w:rsidRPr="00D636C7" w:rsidRDefault="00395B0B" w:rsidP="000340CE">
            <w:pPr>
              <w:bidi/>
              <w:spacing w:before="120"/>
              <w:jc w:val="both"/>
              <w:rPr>
                <w:rFonts w:asciiTheme="majorBidi" w:hAnsiTheme="majorBidi" w:cstheme="majorBidi"/>
                <w:b/>
                <w:sz w:val="24"/>
              </w:rPr>
            </w:pPr>
          </w:p>
        </w:tc>
        <w:tc>
          <w:tcPr>
            <w:tcW w:w="3418" w:type="pct"/>
            <w:shd w:val="clear" w:color="auto" w:fill="auto"/>
            <w:vAlign w:val="center"/>
          </w:tcPr>
          <w:p w14:paraId="1C469EE9" w14:textId="085536BF" w:rsidR="00395B0B" w:rsidRPr="00D636C7" w:rsidRDefault="00E0207A" w:rsidP="000340CE">
            <w:pPr>
              <w:bidi/>
              <w:spacing w:before="60" w:after="60"/>
              <w:jc w:val="both"/>
              <w:rPr>
                <w:rFonts w:asciiTheme="majorBidi" w:eastAsia="Calibri" w:hAnsiTheme="majorBidi" w:cstheme="majorBidi"/>
                <w:sz w:val="24"/>
                <w:lang w:eastAsia="en-US"/>
              </w:rPr>
            </w:pPr>
            <w:r w:rsidRPr="00D636C7">
              <w:rPr>
                <w:rFonts w:asciiTheme="majorBidi" w:eastAsia="Calibri" w:hAnsiTheme="majorBidi"/>
                <w:sz w:val="24"/>
                <w:rtl/>
                <w:lang w:eastAsia="en-US"/>
              </w:rPr>
              <w:t>24-4 تقاسم الوثائق المتعلّقة بعنصر تراث ثقافي غير مادي موجود في أراضي دولة طرف أخرى مع هذه الأخيرة.</w:t>
            </w:r>
          </w:p>
        </w:tc>
        <w:tc>
          <w:tcPr>
            <w:tcW w:w="796" w:type="pct"/>
            <w:shd w:val="clear" w:color="auto" w:fill="auto"/>
            <w:vAlign w:val="center"/>
          </w:tcPr>
          <w:p w14:paraId="70CE8D37" w14:textId="77777777" w:rsidR="00AA686A" w:rsidRPr="00D636C7" w:rsidRDefault="00AA686A" w:rsidP="000340CE">
            <w:pPr>
              <w:bidi/>
              <w:spacing w:before="60" w:after="60"/>
              <w:jc w:val="both"/>
              <w:rPr>
                <w:rFonts w:asciiTheme="majorBidi" w:hAnsiTheme="majorBidi" w:cstheme="majorBidi"/>
                <w:sz w:val="24"/>
                <w:rtl/>
              </w:rPr>
            </w:pPr>
            <w:r w:rsidRPr="00D636C7">
              <w:rPr>
                <w:rFonts w:asciiTheme="majorBidi" w:hAnsiTheme="majorBidi"/>
                <w:sz w:val="24"/>
                <w:rtl/>
              </w:rPr>
              <w:t>المادة 19</w:t>
            </w:r>
          </w:p>
          <w:p w14:paraId="44A7CDE8" w14:textId="36776030" w:rsidR="00395B0B" w:rsidRPr="00D636C7" w:rsidRDefault="00AA686A" w:rsidP="000340CE">
            <w:pPr>
              <w:bidi/>
              <w:spacing w:before="60" w:after="60"/>
              <w:jc w:val="both"/>
              <w:rPr>
                <w:rFonts w:asciiTheme="majorBidi" w:hAnsiTheme="majorBidi" w:cstheme="majorBidi"/>
                <w:sz w:val="24"/>
              </w:rPr>
            </w:pPr>
            <w:r w:rsidRPr="00D636C7">
              <w:rPr>
                <w:rFonts w:asciiTheme="majorBidi" w:hAnsiTheme="majorBidi"/>
                <w:sz w:val="24"/>
                <w:rtl/>
              </w:rPr>
              <w:t xml:space="preserve">التوجيه </w:t>
            </w:r>
            <w:r w:rsidR="00CE6781" w:rsidRPr="00D636C7">
              <w:rPr>
                <w:rFonts w:asciiTheme="majorBidi" w:hAnsiTheme="majorBidi"/>
                <w:sz w:val="24"/>
                <w:rtl/>
              </w:rPr>
              <w:t xml:space="preserve">التنفيذي </w:t>
            </w:r>
            <w:r w:rsidRPr="00D636C7">
              <w:rPr>
                <w:rFonts w:asciiTheme="majorBidi" w:hAnsiTheme="majorBidi"/>
                <w:sz w:val="24"/>
                <w:rtl/>
              </w:rPr>
              <w:t>87</w:t>
            </w:r>
          </w:p>
        </w:tc>
      </w:tr>
      <w:tr w:rsidR="00395B0B" w:rsidRPr="00AD3D62" w14:paraId="5A03C59C" w14:textId="77777777" w:rsidTr="00820702">
        <w:trPr>
          <w:cantSplit/>
        </w:trPr>
        <w:tc>
          <w:tcPr>
            <w:tcW w:w="786" w:type="pct"/>
            <w:shd w:val="clear" w:color="auto" w:fill="auto"/>
          </w:tcPr>
          <w:p w14:paraId="4C8E538B" w14:textId="5DA6A69E" w:rsidR="00395B0B" w:rsidRPr="00D636C7" w:rsidRDefault="00395B0B" w:rsidP="000340CE">
            <w:pPr>
              <w:bidi/>
              <w:spacing w:before="120"/>
              <w:jc w:val="both"/>
              <w:rPr>
                <w:rFonts w:asciiTheme="majorBidi" w:hAnsiTheme="majorBidi" w:cstheme="majorBidi"/>
                <w:b/>
                <w:sz w:val="24"/>
              </w:rPr>
            </w:pPr>
            <w:r w:rsidRPr="00D636C7">
              <w:rPr>
                <w:rFonts w:asciiTheme="majorBidi" w:hAnsiTheme="majorBidi"/>
                <w:b/>
                <w:bCs/>
                <w:sz w:val="24"/>
                <w:rtl/>
              </w:rPr>
              <w:t>العلاقة مع أهداف التنمية المستدامة والمؤشرات الأخرى</w:t>
            </w:r>
          </w:p>
        </w:tc>
        <w:tc>
          <w:tcPr>
            <w:tcW w:w="4214" w:type="pct"/>
            <w:gridSpan w:val="2"/>
            <w:shd w:val="clear" w:color="auto" w:fill="auto"/>
          </w:tcPr>
          <w:p w14:paraId="168E777A" w14:textId="22EC65B6" w:rsidR="006273EC" w:rsidRPr="00D636C7" w:rsidRDefault="006273EC" w:rsidP="000340CE">
            <w:pPr>
              <w:keepLines/>
              <w:bidi/>
              <w:spacing w:before="120"/>
              <w:jc w:val="both"/>
              <w:rPr>
                <w:rFonts w:asciiTheme="majorBidi" w:hAnsiTheme="majorBidi"/>
                <w:b/>
                <w:bCs/>
                <w:sz w:val="24"/>
              </w:rPr>
            </w:pPr>
            <w:r w:rsidRPr="00D636C7">
              <w:rPr>
                <w:rFonts w:asciiTheme="majorBidi" w:hAnsiTheme="majorBidi"/>
                <w:b/>
                <w:bCs/>
                <w:sz w:val="24"/>
                <w:rtl/>
              </w:rPr>
              <w:t>أهداف التنمية المستدامة:</w:t>
            </w:r>
            <w:r w:rsidRPr="00D636C7">
              <w:rPr>
                <w:rFonts w:asciiTheme="majorBidi" w:hAnsiTheme="majorBidi"/>
                <w:sz w:val="24"/>
                <w:rtl/>
              </w:rPr>
              <w:t xml:space="preserve"> مثل جميع المؤشرات، يدعم المؤشر الحالي الهدف 11</w:t>
            </w:r>
            <w:r w:rsidR="003164F3" w:rsidRPr="00D636C7">
              <w:rPr>
                <w:rFonts w:asciiTheme="majorBidi" w:hAnsiTheme="majorBidi" w:hint="cs"/>
                <w:sz w:val="24"/>
                <w:rtl/>
              </w:rPr>
              <w:t>-</w:t>
            </w:r>
            <w:r w:rsidRPr="00D636C7">
              <w:rPr>
                <w:rFonts w:asciiTheme="majorBidi" w:hAnsiTheme="majorBidi"/>
                <w:sz w:val="24"/>
                <w:rtl/>
              </w:rPr>
              <w:t>4 من أهداف التنمية المستدامة، "تعزيز الجهود الرامية إلى حماية وصون التراث الثقافي والطبيعي العالمي".</w:t>
            </w:r>
          </w:p>
          <w:p w14:paraId="10BA66BB" w14:textId="11FA36FC" w:rsidR="00395B0B" w:rsidRPr="00D636C7" w:rsidRDefault="00192DEF" w:rsidP="000340CE">
            <w:pPr>
              <w:keepLines/>
              <w:bidi/>
              <w:spacing w:before="120"/>
              <w:jc w:val="both"/>
              <w:rPr>
                <w:rFonts w:asciiTheme="majorBidi" w:hAnsiTheme="majorBidi" w:cstheme="majorBidi"/>
                <w:b/>
                <w:sz w:val="24"/>
              </w:rPr>
            </w:pPr>
            <w:r w:rsidRPr="00D636C7">
              <w:rPr>
                <w:rFonts w:asciiTheme="majorBidi" w:hAnsiTheme="majorBidi"/>
                <w:b/>
                <w:bCs/>
                <w:sz w:val="24"/>
                <w:rtl/>
              </w:rPr>
              <w:t>العلاقة بالمؤشرات الأخرى:</w:t>
            </w:r>
            <w:r w:rsidRPr="00D636C7">
              <w:rPr>
                <w:rFonts w:asciiTheme="majorBidi" w:hAnsiTheme="majorBidi"/>
                <w:b/>
                <w:sz w:val="24"/>
                <w:rtl/>
              </w:rPr>
              <w:t xml:space="preserve"> </w:t>
            </w:r>
            <w:r w:rsidR="00F43CF9" w:rsidRPr="00D636C7">
              <w:rPr>
                <w:rFonts w:asciiTheme="majorBidi" w:hAnsiTheme="majorBidi" w:hint="cs"/>
                <w:b/>
                <w:sz w:val="24"/>
                <w:rtl/>
                <w:lang w:bidi="ar-EG"/>
              </w:rPr>
              <w:t>بينما</w:t>
            </w:r>
            <w:r w:rsidRPr="00D636C7">
              <w:rPr>
                <w:rFonts w:asciiTheme="majorBidi" w:hAnsiTheme="majorBidi"/>
                <w:b/>
                <w:sz w:val="24"/>
                <w:rtl/>
              </w:rPr>
              <w:t xml:space="preserve"> ركزت العديد من المؤشرات الأخرى على الجهود المبذولة داخل دولة ما لصون التراث الثقافي غير المادي الموجود على أراضيها، يبحث المؤشر الحالي، بالأخص، تعاون تلك الدول مع بلدان أخرى في صون التراث الثقافي غير المادي عامة وعناصر محددة من التراث الثقافي غير المادي الموجودة على أراضي أكثر من دولة، والعناصر </w:t>
            </w:r>
            <w:r w:rsidR="00F43CF9" w:rsidRPr="00D636C7">
              <w:rPr>
                <w:rFonts w:asciiTheme="majorBidi" w:hAnsiTheme="majorBidi" w:hint="cs"/>
                <w:b/>
                <w:sz w:val="24"/>
                <w:rtl/>
              </w:rPr>
              <w:t>ال</w:t>
            </w:r>
            <w:r w:rsidRPr="00D636C7">
              <w:rPr>
                <w:rFonts w:asciiTheme="majorBidi" w:hAnsiTheme="majorBidi"/>
                <w:b/>
                <w:sz w:val="24"/>
                <w:rtl/>
              </w:rPr>
              <w:t>ع</w:t>
            </w:r>
            <w:r w:rsidR="00F43CF9" w:rsidRPr="00D636C7">
              <w:rPr>
                <w:rFonts w:asciiTheme="majorBidi" w:hAnsiTheme="majorBidi" w:hint="cs"/>
                <w:b/>
                <w:sz w:val="24"/>
                <w:rtl/>
              </w:rPr>
              <w:t>ا</w:t>
            </w:r>
            <w:r w:rsidRPr="00D636C7">
              <w:rPr>
                <w:rFonts w:asciiTheme="majorBidi" w:hAnsiTheme="majorBidi"/>
                <w:b/>
                <w:sz w:val="24"/>
                <w:rtl/>
              </w:rPr>
              <w:t>بر</w:t>
            </w:r>
            <w:r w:rsidR="00F43CF9" w:rsidRPr="00D636C7">
              <w:rPr>
                <w:rFonts w:asciiTheme="majorBidi" w:hAnsiTheme="majorBidi" w:hint="cs"/>
                <w:b/>
                <w:sz w:val="24"/>
                <w:rtl/>
              </w:rPr>
              <w:t>ة</w:t>
            </w:r>
            <w:r w:rsidRPr="00D636C7">
              <w:rPr>
                <w:rFonts w:asciiTheme="majorBidi" w:hAnsiTheme="majorBidi"/>
                <w:b/>
                <w:sz w:val="24"/>
                <w:rtl/>
              </w:rPr>
              <w:t xml:space="preserve"> </w:t>
            </w:r>
            <w:r w:rsidR="00F43CF9" w:rsidRPr="00D636C7">
              <w:rPr>
                <w:rFonts w:asciiTheme="majorBidi" w:hAnsiTheme="majorBidi" w:hint="cs"/>
                <w:b/>
                <w:sz w:val="24"/>
                <w:rtl/>
              </w:rPr>
              <w:t>ل</w:t>
            </w:r>
            <w:r w:rsidRPr="00D636C7">
              <w:rPr>
                <w:rFonts w:asciiTheme="majorBidi" w:hAnsiTheme="majorBidi"/>
                <w:b/>
                <w:sz w:val="24"/>
                <w:rtl/>
              </w:rPr>
              <w:t xml:space="preserve">لحدود. وبالتالي، </w:t>
            </w:r>
            <w:r w:rsidR="00BD5A98" w:rsidRPr="00D636C7">
              <w:rPr>
                <w:rFonts w:asciiTheme="majorBidi" w:hAnsiTheme="majorBidi" w:hint="cs"/>
                <w:b/>
                <w:sz w:val="24"/>
                <w:rtl/>
              </w:rPr>
              <w:t xml:space="preserve">فإنه </w:t>
            </w:r>
            <w:r w:rsidRPr="00D636C7">
              <w:rPr>
                <w:rFonts w:asciiTheme="majorBidi" w:hAnsiTheme="majorBidi"/>
                <w:b/>
                <w:sz w:val="24"/>
                <w:rtl/>
              </w:rPr>
              <w:t>يكمل المؤشر</w:t>
            </w:r>
            <w:r w:rsidR="00F43CF9" w:rsidRPr="00D636C7">
              <w:rPr>
                <w:rFonts w:asciiTheme="majorBidi" w:hAnsiTheme="majorBidi" w:hint="cs"/>
                <w:b/>
                <w:sz w:val="24"/>
                <w:rtl/>
              </w:rPr>
              <w:t>ا</w:t>
            </w:r>
            <w:r w:rsidRPr="00D636C7">
              <w:rPr>
                <w:rFonts w:asciiTheme="majorBidi" w:hAnsiTheme="majorBidi"/>
                <w:b/>
                <w:sz w:val="24"/>
                <w:rtl/>
              </w:rPr>
              <w:t>ن 9 و10 فيما يتعلق بال</w:t>
            </w:r>
            <w:r w:rsidR="00BD5A98" w:rsidRPr="00D636C7">
              <w:rPr>
                <w:rFonts w:asciiTheme="majorBidi" w:hAnsiTheme="majorBidi" w:hint="cs"/>
                <w:b/>
                <w:sz w:val="24"/>
                <w:rtl/>
              </w:rPr>
              <w:t>توثيق</w:t>
            </w:r>
            <w:r w:rsidRPr="00D636C7">
              <w:rPr>
                <w:rFonts w:asciiTheme="majorBidi" w:hAnsiTheme="majorBidi"/>
                <w:b/>
                <w:sz w:val="24"/>
                <w:rtl/>
              </w:rPr>
              <w:t xml:space="preserve">، والمؤشر 19 المتعلق بممارسات الصون الجيدة. نظرًا لامتداد صون التراث الثقافي غير المادي </w:t>
            </w:r>
            <w:r w:rsidR="00BD5A98" w:rsidRPr="00D636C7">
              <w:rPr>
                <w:rFonts w:asciiTheme="majorBidi" w:hAnsiTheme="majorBidi" w:hint="cs"/>
                <w:b/>
                <w:sz w:val="24"/>
                <w:rtl/>
              </w:rPr>
              <w:t>ليشمل</w:t>
            </w:r>
            <w:r w:rsidRPr="00D636C7">
              <w:rPr>
                <w:rFonts w:asciiTheme="majorBidi" w:hAnsiTheme="majorBidi"/>
                <w:b/>
                <w:sz w:val="24"/>
                <w:rtl/>
              </w:rPr>
              <w:t xml:space="preserve"> معظم المؤشرات، تعد الأنشطة المتناولة هنا مكملة لتلك الجهود المحلية. بينما يتعلق المؤشر 25 بالمؤسسات والجهات الفاعلة المنفذة لأنشطة التعاون الدولي في مجال الصون بما في ذلك تلك الموصوفة هنا.</w:t>
            </w:r>
          </w:p>
        </w:tc>
      </w:tr>
      <w:tr w:rsidR="00395B0B" w:rsidRPr="00AD3D62" w14:paraId="046DA3CA" w14:textId="77777777" w:rsidTr="00820702">
        <w:trPr>
          <w:cantSplit/>
        </w:trPr>
        <w:tc>
          <w:tcPr>
            <w:tcW w:w="786" w:type="pct"/>
            <w:shd w:val="clear" w:color="auto" w:fill="auto"/>
          </w:tcPr>
          <w:p w14:paraId="5DC0DBEB" w14:textId="79B41EF3" w:rsidR="00395B0B" w:rsidRPr="00D636C7" w:rsidRDefault="00395B0B" w:rsidP="000340CE">
            <w:pPr>
              <w:bidi/>
              <w:spacing w:before="120"/>
              <w:jc w:val="both"/>
              <w:rPr>
                <w:rFonts w:asciiTheme="majorBidi" w:hAnsiTheme="majorBidi" w:cstheme="majorBidi"/>
                <w:b/>
                <w:sz w:val="24"/>
              </w:rPr>
            </w:pPr>
            <w:r w:rsidRPr="00D636C7">
              <w:rPr>
                <w:rFonts w:asciiTheme="majorBidi" w:hAnsiTheme="majorBidi"/>
                <w:b/>
                <w:bCs/>
                <w:sz w:val="24"/>
                <w:rtl/>
              </w:rPr>
              <w:t xml:space="preserve">الأسس المنطقية </w:t>
            </w:r>
            <w:r w:rsidR="004164D0" w:rsidRPr="00D636C7">
              <w:rPr>
                <w:rFonts w:asciiTheme="majorBidi" w:hAnsiTheme="majorBidi" w:hint="cs"/>
                <w:b/>
                <w:bCs/>
                <w:sz w:val="24"/>
                <w:rtl/>
              </w:rPr>
              <w:t>للإجراءات</w:t>
            </w:r>
          </w:p>
        </w:tc>
        <w:tc>
          <w:tcPr>
            <w:tcW w:w="4214" w:type="pct"/>
            <w:gridSpan w:val="2"/>
            <w:shd w:val="clear" w:color="auto" w:fill="auto"/>
          </w:tcPr>
          <w:p w14:paraId="4AC1B5F0" w14:textId="7A9A7795" w:rsidR="00395B0B" w:rsidRPr="00D636C7" w:rsidRDefault="00142DBB" w:rsidP="000340CE">
            <w:pPr>
              <w:keepLines/>
              <w:bidi/>
              <w:spacing w:before="120"/>
              <w:jc w:val="both"/>
              <w:rPr>
                <w:rFonts w:asciiTheme="majorBidi" w:hAnsiTheme="majorBidi" w:cstheme="majorBidi"/>
                <w:sz w:val="24"/>
              </w:rPr>
            </w:pPr>
            <w:r w:rsidRPr="00D636C7">
              <w:rPr>
                <w:rFonts w:asciiTheme="majorBidi" w:hAnsiTheme="majorBidi"/>
                <w:sz w:val="24"/>
                <w:rtl/>
              </w:rPr>
              <w:t xml:space="preserve">يعد أحد </w:t>
            </w:r>
            <w:r w:rsidR="00D37322" w:rsidRPr="00D636C7">
              <w:rPr>
                <w:rFonts w:asciiTheme="majorBidi" w:hAnsiTheme="majorBidi" w:hint="cs"/>
                <w:sz w:val="24"/>
                <w:rtl/>
              </w:rPr>
              <w:t>الأهداف</w:t>
            </w:r>
            <w:r w:rsidRPr="00D636C7">
              <w:rPr>
                <w:rFonts w:asciiTheme="majorBidi" w:hAnsiTheme="majorBidi"/>
                <w:sz w:val="24"/>
                <w:rtl/>
              </w:rPr>
              <w:t xml:space="preserve"> الأربعة للاتفاقية "تحقيق التعاون الدولي والمساعدة الدولية." (المادة 1(د)). كما تحدد الاتفاقية التعاون الدولي ليشمل "تبادل المعلومات والخبرات [و] القيام بمبادرات مشتركة"، من بين جملة أمور أخرى (المادة 19). وتتعهد الدول "بأن تتعاون</w:t>
            </w:r>
            <w:r w:rsidR="00BA0EE8" w:rsidRPr="00D636C7">
              <w:rPr>
                <w:rFonts w:asciiTheme="majorBidi" w:hAnsiTheme="majorBidi" w:cstheme="majorBidi" w:hint="cs"/>
                <w:sz w:val="24"/>
                <w:rtl/>
              </w:rPr>
              <w:t xml:space="preserve"> </w:t>
            </w:r>
            <w:r w:rsidRPr="00D636C7">
              <w:rPr>
                <w:rFonts w:asciiTheme="majorBidi" w:hAnsiTheme="majorBidi"/>
                <w:sz w:val="24"/>
                <w:rtl/>
              </w:rPr>
              <w:t>على المستوى الثنائي ودون الإقليمي والإقليمي والدولي" (المادة 19)، وبالتالي تتماشى إجراءاتها للتعاون الدولي مع المبادئ الأساسية للاتفاقية. كما يعكس التعاون الثنائي ومتعدد أطراف بين الدول روح التعاون التي تتسم بها الاتفاقية.</w:t>
            </w:r>
          </w:p>
        </w:tc>
      </w:tr>
      <w:tr w:rsidR="00395B0B" w:rsidRPr="00AD3D62" w14:paraId="3442167F" w14:textId="77777777" w:rsidTr="00820702">
        <w:trPr>
          <w:cantSplit/>
        </w:trPr>
        <w:tc>
          <w:tcPr>
            <w:tcW w:w="786" w:type="pct"/>
            <w:shd w:val="clear" w:color="auto" w:fill="auto"/>
          </w:tcPr>
          <w:p w14:paraId="62D6799B" w14:textId="20AF6324" w:rsidR="00395B0B" w:rsidRPr="00D636C7" w:rsidRDefault="00395B0B" w:rsidP="000340CE">
            <w:pPr>
              <w:bidi/>
              <w:spacing w:before="120" w:after="60"/>
              <w:jc w:val="both"/>
              <w:rPr>
                <w:rFonts w:asciiTheme="majorBidi" w:hAnsiTheme="majorBidi" w:cstheme="majorBidi"/>
                <w:b/>
                <w:sz w:val="24"/>
              </w:rPr>
            </w:pPr>
            <w:r w:rsidRPr="00D636C7">
              <w:rPr>
                <w:rFonts w:asciiTheme="majorBidi" w:hAnsiTheme="majorBidi"/>
                <w:b/>
                <w:bCs/>
                <w:sz w:val="24"/>
                <w:rtl/>
              </w:rPr>
              <w:t>المصطلحات الرئيسية</w:t>
            </w:r>
          </w:p>
        </w:tc>
        <w:tc>
          <w:tcPr>
            <w:tcW w:w="4214" w:type="pct"/>
            <w:gridSpan w:val="2"/>
            <w:shd w:val="clear" w:color="auto" w:fill="auto"/>
          </w:tcPr>
          <w:p w14:paraId="5671552E" w14:textId="3B9159BE" w:rsidR="00142DBB" w:rsidRPr="00D636C7" w:rsidRDefault="004164D0" w:rsidP="000340CE">
            <w:pPr>
              <w:pStyle w:val="ListParagraph"/>
              <w:numPr>
                <w:ilvl w:val="0"/>
                <w:numId w:val="71"/>
              </w:numPr>
              <w:bidi/>
              <w:spacing w:before="120"/>
              <w:jc w:val="both"/>
              <w:rPr>
                <w:rFonts w:asciiTheme="majorBidi" w:hAnsiTheme="majorBidi" w:cstheme="majorBidi"/>
                <w:sz w:val="24"/>
                <w:szCs w:val="24"/>
                <w:lang w:val="en-GB"/>
              </w:rPr>
            </w:pPr>
            <w:r w:rsidRPr="00D636C7">
              <w:rPr>
                <w:rFonts w:asciiTheme="majorBidi" w:hAnsiTheme="majorBidi" w:hint="cs"/>
                <w:sz w:val="24"/>
                <w:szCs w:val="24"/>
                <w:rtl/>
                <w:lang w:val="en-GB"/>
              </w:rPr>
              <w:t>ال</w:t>
            </w:r>
            <w:r w:rsidR="00142DBB" w:rsidRPr="00D636C7">
              <w:rPr>
                <w:rFonts w:asciiTheme="majorBidi" w:hAnsiTheme="majorBidi"/>
                <w:sz w:val="24"/>
                <w:szCs w:val="24"/>
                <w:rtl/>
                <w:lang w:val="en-GB"/>
              </w:rPr>
              <w:t>إقليمية</w:t>
            </w:r>
          </w:p>
          <w:p w14:paraId="0B9D7FF2" w14:textId="54DDB8BA" w:rsidR="00395B0B" w:rsidRPr="00D636C7" w:rsidRDefault="00142DBB" w:rsidP="000340CE">
            <w:pPr>
              <w:pStyle w:val="ListParagraph"/>
              <w:numPr>
                <w:ilvl w:val="0"/>
                <w:numId w:val="71"/>
              </w:numPr>
              <w:bidi/>
              <w:spacing w:before="120" w:after="120"/>
              <w:jc w:val="both"/>
              <w:rPr>
                <w:rFonts w:asciiTheme="majorBidi" w:hAnsiTheme="majorBidi" w:cstheme="majorBidi"/>
                <w:sz w:val="24"/>
                <w:szCs w:val="24"/>
                <w:lang w:val="en-GB"/>
              </w:rPr>
            </w:pPr>
            <w:r w:rsidRPr="00D636C7">
              <w:rPr>
                <w:rFonts w:asciiTheme="majorBidi" w:hAnsiTheme="majorBidi"/>
                <w:sz w:val="24"/>
                <w:szCs w:val="24"/>
                <w:rtl/>
                <w:lang w:val="en-GB"/>
              </w:rPr>
              <w:t>عناصر التراث الثقافي غير المادي</w:t>
            </w:r>
          </w:p>
        </w:tc>
      </w:tr>
    </w:tbl>
    <w:p w14:paraId="6665C6B9" w14:textId="77777777" w:rsidR="0054175C" w:rsidRPr="009851CC" w:rsidRDefault="0054175C" w:rsidP="000340CE">
      <w:pPr>
        <w:bidi/>
        <w:jc w:val="center"/>
        <w:rPr>
          <w:rFonts w:asciiTheme="majorBidi" w:hAnsiTheme="majorBidi" w:cstheme="majorBidi"/>
          <w:b/>
          <w:sz w:val="24"/>
        </w:rPr>
        <w:sectPr w:rsidR="0054175C" w:rsidRPr="009851CC" w:rsidSect="000F25BA">
          <w:footerReference w:type="default" r:id="rId8"/>
          <w:pgSz w:w="11906" w:h="16838" w:code="9"/>
          <w:pgMar w:top="1418" w:right="1134" w:bottom="1134" w:left="1134" w:header="397" w:footer="284" w:gutter="0"/>
          <w:cols w:space="708"/>
          <w:docGrid w:linePitch="360"/>
        </w:sectPr>
      </w:pPr>
    </w:p>
    <w:p w14:paraId="35464B75" w14:textId="6EFD7405" w:rsidR="00395B0B" w:rsidRPr="0007097A" w:rsidRDefault="00395B0B" w:rsidP="000340CE">
      <w:pPr>
        <w:keepNext/>
        <w:bidi/>
        <w:jc w:val="center"/>
        <w:rPr>
          <w:rFonts w:asciiTheme="majorBidi" w:hAnsiTheme="majorBidi" w:cstheme="majorBidi"/>
          <w:b/>
          <w:bCs/>
          <w:sz w:val="28"/>
          <w:szCs w:val="28"/>
        </w:rPr>
      </w:pPr>
      <w:r w:rsidRPr="0007097A">
        <w:rPr>
          <w:rFonts w:asciiTheme="majorBidi" w:hAnsiTheme="majorBidi" w:hint="cs"/>
          <w:b/>
          <w:bCs/>
          <w:sz w:val="28"/>
          <w:szCs w:val="28"/>
          <w:rtl/>
        </w:rPr>
        <w:t>التوجيهات المحددة بشأن الرصد و</w:t>
      </w:r>
      <w:r w:rsidR="00A47871" w:rsidRPr="0007097A">
        <w:rPr>
          <w:rFonts w:asciiTheme="majorBidi" w:hAnsiTheme="majorBidi" w:hint="cs"/>
          <w:b/>
          <w:bCs/>
          <w:sz w:val="28"/>
          <w:szCs w:val="28"/>
          <w:rtl/>
        </w:rPr>
        <w:t>ال</w:t>
      </w:r>
      <w:r w:rsidR="004A1816">
        <w:rPr>
          <w:rFonts w:asciiTheme="majorBidi" w:hAnsiTheme="majorBidi" w:hint="cs"/>
          <w:b/>
          <w:bCs/>
          <w:sz w:val="28"/>
          <w:szCs w:val="28"/>
          <w:rtl/>
        </w:rPr>
        <w:t>تقرير</w:t>
      </w:r>
      <w:r w:rsidR="00A47871" w:rsidRPr="0007097A">
        <w:rPr>
          <w:rFonts w:asciiTheme="majorBidi" w:hAnsiTheme="majorBidi" w:hint="cs"/>
          <w:b/>
          <w:bCs/>
          <w:sz w:val="28"/>
          <w:szCs w:val="28"/>
          <w:rtl/>
        </w:rPr>
        <w:t xml:space="preserve"> </w:t>
      </w:r>
      <w:r w:rsidRPr="0007097A">
        <w:rPr>
          <w:rFonts w:asciiTheme="majorBidi" w:hAnsiTheme="majorBidi" w:hint="cs"/>
          <w:b/>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07097A" w14:paraId="69223C72" w14:textId="77777777" w:rsidTr="00820702">
        <w:tc>
          <w:tcPr>
            <w:tcW w:w="730" w:type="pct"/>
            <w:shd w:val="clear" w:color="auto" w:fill="auto"/>
          </w:tcPr>
          <w:p w14:paraId="45019502" w14:textId="69F31DC9" w:rsidR="002C28BA" w:rsidRPr="0007097A" w:rsidRDefault="00395B0B" w:rsidP="000340CE">
            <w:pPr>
              <w:bidi/>
              <w:spacing w:before="120"/>
              <w:rPr>
                <w:rFonts w:asciiTheme="majorBidi" w:hAnsiTheme="majorBidi" w:cstheme="majorBidi"/>
                <w:b/>
                <w:sz w:val="24"/>
              </w:rPr>
            </w:pPr>
            <w:r w:rsidRPr="0007097A">
              <w:rPr>
                <w:rFonts w:asciiTheme="majorBidi" w:hAnsiTheme="majorBidi"/>
                <w:b/>
                <w:bCs/>
                <w:sz w:val="24"/>
                <w:rtl/>
              </w:rPr>
              <w:t>فوائد الرصد</w:t>
            </w:r>
          </w:p>
        </w:tc>
        <w:tc>
          <w:tcPr>
            <w:tcW w:w="4270" w:type="pct"/>
            <w:shd w:val="clear" w:color="auto" w:fill="auto"/>
          </w:tcPr>
          <w:p w14:paraId="68BE5726" w14:textId="299B3B05" w:rsidR="002C28BA" w:rsidRPr="0007097A" w:rsidRDefault="00410E7B" w:rsidP="000340CE">
            <w:pPr>
              <w:keepLines/>
              <w:bidi/>
              <w:spacing w:before="120"/>
              <w:jc w:val="both"/>
              <w:rPr>
                <w:rFonts w:asciiTheme="majorBidi" w:hAnsiTheme="majorBidi" w:cstheme="majorBidi"/>
                <w:b/>
                <w:sz w:val="24"/>
              </w:rPr>
            </w:pPr>
            <w:r w:rsidRPr="0007097A">
              <w:rPr>
                <w:rFonts w:asciiTheme="majorBidi" w:hAnsiTheme="majorBidi"/>
                <w:b/>
                <w:sz w:val="24"/>
                <w:rtl/>
              </w:rPr>
              <w:t xml:space="preserve">يمكن أن يساعد رصد هذا المؤشر كل دولة على تقييم مدى استفادتها من فرص التعاون مع الدول الأخرى، ومن إجراءات الصون التي تضطلع بها. كما يمكن أن يساعد الرصد في </w:t>
            </w:r>
            <w:r w:rsidR="00E27D5E">
              <w:rPr>
                <w:rFonts w:asciiTheme="majorBidi" w:hAnsiTheme="majorBidi" w:hint="cs"/>
                <w:b/>
                <w:sz w:val="24"/>
                <w:rtl/>
              </w:rPr>
              <w:t>الكشف عن</w:t>
            </w:r>
            <w:r w:rsidRPr="0007097A">
              <w:rPr>
                <w:rFonts w:asciiTheme="majorBidi" w:hAnsiTheme="majorBidi"/>
                <w:b/>
                <w:sz w:val="24"/>
                <w:rtl/>
              </w:rPr>
              <w:t xml:space="preserve"> المزيد من الفرص، غير المستغلة</w:t>
            </w:r>
            <w:r w:rsidR="00E27D5E">
              <w:rPr>
                <w:rFonts w:asciiTheme="majorBidi" w:hAnsiTheme="majorBidi" w:hint="cs"/>
                <w:b/>
                <w:sz w:val="24"/>
                <w:rtl/>
              </w:rPr>
              <w:t xml:space="preserve"> بعد</w:t>
            </w:r>
            <w:r w:rsidRPr="0007097A">
              <w:rPr>
                <w:rFonts w:asciiTheme="majorBidi" w:hAnsiTheme="majorBidi"/>
                <w:b/>
                <w:sz w:val="24"/>
                <w:rtl/>
              </w:rPr>
              <w:t xml:space="preserve">، لمثل هذا التعاون. وعلى الصعيد العالمي، يمكن أن يبرز رصد هذا المؤشر تعدد الإجراءات الثنائية والمتعددة الأطراف المتخذة بروح </w:t>
            </w:r>
            <w:r w:rsidR="00BB28C3" w:rsidRPr="0007097A">
              <w:rPr>
                <w:rFonts w:asciiTheme="majorBidi" w:hAnsiTheme="majorBidi" w:hint="cs"/>
                <w:b/>
                <w:sz w:val="24"/>
                <w:rtl/>
              </w:rPr>
              <w:t>الاتفاقية</w:t>
            </w:r>
            <w:r w:rsidR="00BB28C3" w:rsidRPr="0007097A">
              <w:rPr>
                <w:rFonts w:asciiTheme="majorBidi" w:hAnsiTheme="majorBidi" w:hint="eastAsia"/>
                <w:b/>
                <w:sz w:val="24"/>
                <w:rtl/>
              </w:rPr>
              <w:t>،</w:t>
            </w:r>
            <w:r w:rsidRPr="0007097A">
              <w:rPr>
                <w:rFonts w:asciiTheme="majorBidi" w:hAnsiTheme="majorBidi"/>
                <w:b/>
                <w:sz w:val="24"/>
                <w:rtl/>
              </w:rPr>
              <w:t xml:space="preserve"> ولكن منفذة تنفيذًا مستقلًا عن الهيئات الإدارية للاتفاقية.</w:t>
            </w:r>
          </w:p>
        </w:tc>
      </w:tr>
      <w:tr w:rsidR="0054175C" w:rsidRPr="0007097A" w14:paraId="4ACB3F92" w14:textId="77777777" w:rsidTr="00820702">
        <w:tc>
          <w:tcPr>
            <w:tcW w:w="730" w:type="pct"/>
            <w:shd w:val="clear" w:color="auto" w:fill="auto"/>
          </w:tcPr>
          <w:p w14:paraId="6175D3FA" w14:textId="2185DF31" w:rsidR="0054175C" w:rsidRPr="0007097A" w:rsidRDefault="00395B0B" w:rsidP="000340CE">
            <w:pPr>
              <w:bidi/>
              <w:spacing w:before="120"/>
              <w:rPr>
                <w:rFonts w:asciiTheme="majorBidi" w:hAnsiTheme="majorBidi" w:cstheme="majorBidi"/>
                <w:b/>
                <w:sz w:val="24"/>
              </w:rPr>
            </w:pPr>
            <w:r w:rsidRPr="0007097A">
              <w:rPr>
                <w:rFonts w:asciiTheme="majorBidi" w:hAnsiTheme="majorBidi"/>
                <w:b/>
                <w:bCs/>
                <w:sz w:val="24"/>
                <w:rtl/>
              </w:rPr>
              <w:lastRenderedPageBreak/>
              <w:t>مصادر البيانات وجمعها</w:t>
            </w:r>
          </w:p>
        </w:tc>
        <w:tc>
          <w:tcPr>
            <w:tcW w:w="4270" w:type="pct"/>
            <w:shd w:val="clear" w:color="auto" w:fill="auto"/>
          </w:tcPr>
          <w:p w14:paraId="34186BD3" w14:textId="0C58CAD9" w:rsidR="00C61B82" w:rsidRPr="0007097A" w:rsidRDefault="00C61B82" w:rsidP="000340CE">
            <w:pPr>
              <w:keepNext/>
              <w:keepLines/>
              <w:bidi/>
              <w:spacing w:before="120" w:after="60"/>
              <w:jc w:val="both"/>
              <w:rPr>
                <w:rFonts w:asciiTheme="majorBidi" w:hAnsiTheme="majorBidi"/>
                <w:sz w:val="24"/>
                <w:rtl/>
              </w:rPr>
            </w:pPr>
            <w:r w:rsidRPr="0007097A">
              <w:rPr>
                <w:rFonts w:asciiTheme="majorBidi" w:hAnsiTheme="majorBidi"/>
                <w:sz w:val="24"/>
                <w:rtl/>
              </w:rPr>
              <w:t>قد يرغب المسؤولون عن الرصد و</w:t>
            </w:r>
            <w:r w:rsidR="00E27D5E">
              <w:rPr>
                <w:rFonts w:asciiTheme="majorBidi" w:hAnsiTheme="majorBidi" w:hint="cs"/>
                <w:sz w:val="24"/>
                <w:rtl/>
              </w:rPr>
              <w:t>ا</w:t>
            </w:r>
            <w:r w:rsidR="00782888">
              <w:rPr>
                <w:rFonts w:asciiTheme="majorBidi" w:hAnsiTheme="majorBidi" w:hint="cs"/>
                <w:sz w:val="24"/>
                <w:rtl/>
              </w:rPr>
              <w:t xml:space="preserve">عداد التقرير </w:t>
            </w:r>
            <w:r w:rsidRPr="0007097A">
              <w:rPr>
                <w:rFonts w:asciiTheme="majorBidi" w:hAnsiTheme="majorBidi"/>
                <w:sz w:val="24"/>
                <w:rtl/>
              </w:rPr>
              <w:t>في التشاور مع مكتب التعاون الدولي التابع لوزارة الثقافة والوزارات التنفيذية الأخرى، بما في ذلك وزارة الخارجية، التي قد تحتفظ بسجلات التعاون الثنائي ومتعدد أطراف مع الدول الأخرى. إذا كان لدى الدولة هيئة استشارية أو آلية تنسيق، ينبغي استشارة أعضائها بشأن التعاون الدولي الممكن أن يكونوا مشاركين فيه. كما يمكن الاتصال بمؤسسات التوثيق ذات الصلة للاستعلام عن تبادل وثائق مع بلدان أخرى.</w:t>
            </w:r>
          </w:p>
          <w:p w14:paraId="67C70FD3" w14:textId="27ED51CC" w:rsidR="0054175C" w:rsidRPr="0007097A" w:rsidRDefault="00395B0B" w:rsidP="000340CE">
            <w:pPr>
              <w:keepNext/>
              <w:keepLines/>
              <w:bidi/>
              <w:spacing w:before="120" w:after="60"/>
              <w:jc w:val="both"/>
              <w:rPr>
                <w:rFonts w:asciiTheme="majorBidi" w:hAnsiTheme="majorBidi" w:cstheme="majorBidi"/>
                <w:b/>
                <w:sz w:val="24"/>
              </w:rPr>
            </w:pPr>
            <w:r w:rsidRPr="0007097A">
              <w:rPr>
                <w:rFonts w:asciiTheme="majorBidi" w:hAnsiTheme="majorBidi" w:cstheme="majorBidi" w:hint="cs"/>
                <w:b/>
                <w:bCs/>
                <w:sz w:val="24"/>
                <w:rtl/>
              </w:rPr>
              <w:t>مصادر البيانات المحتملة</w:t>
            </w:r>
          </w:p>
          <w:p w14:paraId="5B2D544D" w14:textId="7C03C856" w:rsidR="00DE0689" w:rsidRPr="0007097A" w:rsidRDefault="00DE62CA" w:rsidP="000340CE">
            <w:pPr>
              <w:pStyle w:val="ListParagraph"/>
              <w:numPr>
                <w:ilvl w:val="0"/>
                <w:numId w:val="73"/>
              </w:numPr>
              <w:bidi/>
              <w:spacing w:before="120"/>
              <w:jc w:val="both"/>
              <w:rPr>
                <w:rFonts w:asciiTheme="majorBidi" w:hAnsiTheme="majorBidi" w:cstheme="majorBidi"/>
                <w:sz w:val="24"/>
                <w:szCs w:val="24"/>
                <w:lang w:val="en-GB"/>
              </w:rPr>
            </w:pPr>
            <w:r w:rsidRPr="0007097A">
              <w:rPr>
                <w:rFonts w:asciiTheme="majorBidi" w:hAnsiTheme="majorBidi"/>
                <w:sz w:val="24"/>
                <w:szCs w:val="24"/>
                <w:rtl/>
                <w:lang w:val="en-GB"/>
              </w:rPr>
              <w:t xml:space="preserve">تقارير وسجلات مكتب تعاون دولي تابع لوزارة الثقافة ووزارات تنفيذية </w:t>
            </w:r>
            <w:r w:rsidR="00DE0689" w:rsidRPr="0007097A">
              <w:rPr>
                <w:rFonts w:asciiTheme="majorBidi" w:hAnsiTheme="majorBidi"/>
                <w:sz w:val="24"/>
                <w:szCs w:val="24"/>
                <w:rtl/>
                <w:lang w:val="en-GB"/>
              </w:rPr>
              <w:t>أخرى، بما في ذلك وزارة الخارجية</w:t>
            </w:r>
          </w:p>
          <w:p w14:paraId="7507EC9B" w14:textId="214FF51D" w:rsidR="00DE0689" w:rsidRPr="0007097A" w:rsidRDefault="00DE0689" w:rsidP="000340CE">
            <w:pPr>
              <w:pStyle w:val="ListParagraph"/>
              <w:numPr>
                <w:ilvl w:val="0"/>
                <w:numId w:val="73"/>
              </w:numPr>
              <w:bidi/>
              <w:spacing w:before="120"/>
              <w:jc w:val="both"/>
              <w:rPr>
                <w:rFonts w:asciiTheme="majorBidi" w:hAnsiTheme="majorBidi" w:cstheme="majorBidi"/>
                <w:sz w:val="24"/>
                <w:szCs w:val="24"/>
                <w:lang w:val="en-GB"/>
              </w:rPr>
            </w:pPr>
            <w:r w:rsidRPr="0007097A">
              <w:rPr>
                <w:rFonts w:asciiTheme="majorBidi" w:hAnsiTheme="majorBidi"/>
                <w:sz w:val="24"/>
                <w:szCs w:val="24"/>
                <w:rtl/>
                <w:lang w:val="en-GB"/>
              </w:rPr>
              <w:t>تقارير و</w:t>
            </w:r>
            <w:r w:rsidR="00DE62CA" w:rsidRPr="0007097A">
              <w:rPr>
                <w:rFonts w:asciiTheme="majorBidi" w:hAnsiTheme="majorBidi"/>
                <w:sz w:val="24"/>
                <w:szCs w:val="24"/>
                <w:rtl/>
                <w:lang w:val="en-GB"/>
              </w:rPr>
              <w:t xml:space="preserve">سجلات إدارة المحفوظات ومؤسسات توثيق </w:t>
            </w:r>
            <w:r w:rsidRPr="0007097A">
              <w:rPr>
                <w:rFonts w:asciiTheme="majorBidi" w:hAnsiTheme="majorBidi"/>
                <w:sz w:val="24"/>
                <w:szCs w:val="24"/>
                <w:rtl/>
                <w:lang w:val="en-GB"/>
              </w:rPr>
              <w:t>أخرى</w:t>
            </w:r>
          </w:p>
          <w:p w14:paraId="2A06327A" w14:textId="21676BBD" w:rsidR="00CB3C08" w:rsidRPr="0007097A" w:rsidRDefault="00DE0689" w:rsidP="000340CE">
            <w:pPr>
              <w:pStyle w:val="ListParagraph"/>
              <w:numPr>
                <w:ilvl w:val="0"/>
                <w:numId w:val="73"/>
              </w:numPr>
              <w:bidi/>
              <w:spacing w:before="120"/>
              <w:jc w:val="both"/>
              <w:rPr>
                <w:rFonts w:asciiTheme="majorBidi" w:hAnsiTheme="majorBidi" w:cstheme="majorBidi"/>
                <w:sz w:val="24"/>
                <w:szCs w:val="24"/>
                <w:lang w:val="en-GB"/>
              </w:rPr>
            </w:pPr>
            <w:r w:rsidRPr="0007097A">
              <w:rPr>
                <w:rFonts w:asciiTheme="majorBidi" w:hAnsiTheme="majorBidi"/>
                <w:sz w:val="24"/>
                <w:szCs w:val="24"/>
                <w:rtl/>
                <w:lang w:val="en-GB"/>
              </w:rPr>
              <w:t>شبكات وجمعيات مهنية للجهات الفاعلة في صون التراث الثقافي غير المادي</w:t>
            </w:r>
          </w:p>
        </w:tc>
      </w:tr>
    </w:tbl>
    <w:p w14:paraId="1407850E" w14:textId="77777777" w:rsidR="00320242" w:rsidRPr="001561B8" w:rsidRDefault="00320242" w:rsidP="000340CE">
      <w:pPr>
        <w:bidi/>
        <w:rPr>
          <w:rFonts w:asciiTheme="majorBidi" w:hAnsiTheme="majorBidi" w:cstheme="majorBidi"/>
        </w:rPr>
      </w:pPr>
    </w:p>
    <w:sectPr w:rsidR="00320242" w:rsidRPr="001561B8"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48E3" w14:textId="77777777" w:rsidR="00B71B04" w:rsidRDefault="00B71B04" w:rsidP="002938F2">
      <w:r>
        <w:separator/>
      </w:r>
    </w:p>
    <w:p w14:paraId="076305EF" w14:textId="77777777" w:rsidR="00B71B04" w:rsidRDefault="00B71B04"/>
  </w:endnote>
  <w:endnote w:type="continuationSeparator" w:id="0">
    <w:p w14:paraId="510E04A9" w14:textId="77777777" w:rsidR="00B71B04" w:rsidRDefault="00B71B04" w:rsidP="002938F2">
      <w:r>
        <w:continuationSeparator/>
      </w:r>
    </w:p>
    <w:p w14:paraId="21D5BA1D" w14:textId="77777777" w:rsidR="00B71B04" w:rsidRDefault="00B71B04"/>
  </w:endnote>
  <w:endnote w:type="continuationNotice" w:id="1">
    <w:p w14:paraId="19AEC4B0" w14:textId="77777777" w:rsidR="00B71B04" w:rsidRDefault="00B71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B126" w14:textId="49886BBE" w:rsidR="00C04344" w:rsidRPr="000A0709" w:rsidRDefault="00683E73" w:rsidP="002961DF">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8D17AC">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04E2" w14:textId="77777777" w:rsidR="00B71B04" w:rsidRDefault="00B71B04" w:rsidP="002938F2">
      <w:r>
        <w:separator/>
      </w:r>
    </w:p>
  </w:footnote>
  <w:footnote w:type="continuationSeparator" w:id="0">
    <w:p w14:paraId="1394997E" w14:textId="77777777" w:rsidR="00B71B04" w:rsidRDefault="00B71B04" w:rsidP="002938F2">
      <w:r>
        <w:continuationSeparator/>
      </w:r>
    </w:p>
    <w:p w14:paraId="46D13DBB" w14:textId="77777777" w:rsidR="00B71B04" w:rsidRDefault="00B71B04"/>
  </w:footnote>
  <w:footnote w:type="continuationNotice" w:id="1">
    <w:p w14:paraId="218384B3" w14:textId="77777777" w:rsidR="00B71B04" w:rsidRDefault="00B71B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832C04"/>
    <w:multiLevelType w:val="hybridMultilevel"/>
    <w:tmpl w:val="D1BE01C6"/>
    <w:lvl w:ilvl="0" w:tplc="DD500234">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BC27D0"/>
    <w:multiLevelType w:val="hybridMultilevel"/>
    <w:tmpl w:val="D51E9EE0"/>
    <w:lvl w:ilvl="0" w:tplc="EF9A9BD6">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27A8C136"/>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7"/>
  </w:num>
  <w:num w:numId="3">
    <w:abstractNumId w:val="12"/>
  </w:num>
  <w:num w:numId="4">
    <w:abstractNumId w:val="56"/>
  </w:num>
  <w:num w:numId="5">
    <w:abstractNumId w:val="47"/>
  </w:num>
  <w:num w:numId="6">
    <w:abstractNumId w:val="4"/>
  </w:num>
  <w:num w:numId="7">
    <w:abstractNumId w:val="16"/>
  </w:num>
  <w:num w:numId="8">
    <w:abstractNumId w:val="26"/>
  </w:num>
  <w:num w:numId="9">
    <w:abstractNumId w:val="50"/>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40"/>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4"/>
  </w:num>
  <w:num w:numId="27">
    <w:abstractNumId w:val="26"/>
  </w:num>
  <w:num w:numId="28">
    <w:abstractNumId w:val="26"/>
  </w:num>
  <w:num w:numId="29">
    <w:abstractNumId w:val="26"/>
  </w:num>
  <w:num w:numId="30">
    <w:abstractNumId w:val="26"/>
  </w:num>
  <w:num w:numId="31">
    <w:abstractNumId w:val="10"/>
  </w:num>
  <w:num w:numId="32">
    <w:abstractNumId w:val="8"/>
  </w:num>
  <w:num w:numId="33">
    <w:abstractNumId w:val="17"/>
  </w:num>
  <w:num w:numId="34">
    <w:abstractNumId w:val="48"/>
  </w:num>
  <w:num w:numId="35">
    <w:abstractNumId w:val="21"/>
  </w:num>
  <w:num w:numId="36">
    <w:abstractNumId w:val="42"/>
  </w:num>
  <w:num w:numId="37">
    <w:abstractNumId w:val="18"/>
  </w:num>
  <w:num w:numId="38">
    <w:abstractNumId w:val="9"/>
  </w:num>
  <w:num w:numId="39">
    <w:abstractNumId w:val="6"/>
  </w:num>
  <w:num w:numId="40">
    <w:abstractNumId w:val="20"/>
  </w:num>
  <w:num w:numId="41">
    <w:abstractNumId w:val="55"/>
  </w:num>
  <w:num w:numId="42">
    <w:abstractNumId w:val="52"/>
  </w:num>
  <w:num w:numId="43">
    <w:abstractNumId w:val="30"/>
  </w:num>
  <w:num w:numId="44">
    <w:abstractNumId w:val="13"/>
  </w:num>
  <w:num w:numId="45">
    <w:abstractNumId w:val="53"/>
  </w:num>
  <w:num w:numId="46">
    <w:abstractNumId w:val="5"/>
  </w:num>
  <w:num w:numId="47">
    <w:abstractNumId w:val="37"/>
  </w:num>
  <w:num w:numId="48">
    <w:abstractNumId w:val="57"/>
  </w:num>
  <w:num w:numId="49">
    <w:abstractNumId w:val="33"/>
  </w:num>
  <w:num w:numId="50">
    <w:abstractNumId w:val="31"/>
  </w:num>
  <w:num w:numId="51">
    <w:abstractNumId w:val="28"/>
  </w:num>
  <w:num w:numId="52">
    <w:abstractNumId w:val="39"/>
  </w:num>
  <w:num w:numId="53">
    <w:abstractNumId w:val="15"/>
  </w:num>
  <w:num w:numId="54">
    <w:abstractNumId w:val="1"/>
  </w:num>
  <w:num w:numId="55">
    <w:abstractNumId w:val="35"/>
  </w:num>
  <w:num w:numId="56">
    <w:abstractNumId w:val="41"/>
  </w:num>
  <w:num w:numId="57">
    <w:abstractNumId w:val="0"/>
  </w:num>
  <w:num w:numId="58">
    <w:abstractNumId w:val="3"/>
  </w:num>
  <w:num w:numId="59">
    <w:abstractNumId w:val="45"/>
  </w:num>
  <w:num w:numId="60">
    <w:abstractNumId w:val="2"/>
  </w:num>
  <w:num w:numId="61">
    <w:abstractNumId w:val="32"/>
  </w:num>
  <w:num w:numId="62">
    <w:abstractNumId w:val="22"/>
  </w:num>
  <w:num w:numId="63">
    <w:abstractNumId w:val="49"/>
  </w:num>
  <w:num w:numId="64">
    <w:abstractNumId w:val="19"/>
  </w:num>
  <w:num w:numId="65">
    <w:abstractNumId w:val="25"/>
  </w:num>
  <w:num w:numId="66">
    <w:abstractNumId w:val="46"/>
  </w:num>
  <w:num w:numId="67">
    <w:abstractNumId w:val="38"/>
  </w:num>
  <w:num w:numId="68">
    <w:abstractNumId w:val="14"/>
  </w:num>
  <w:num w:numId="69">
    <w:abstractNumId w:val="43"/>
  </w:num>
  <w:num w:numId="70">
    <w:abstractNumId w:val="34"/>
  </w:num>
  <w:num w:numId="71">
    <w:abstractNumId w:val="29"/>
  </w:num>
  <w:num w:numId="72">
    <w:abstractNumId w:val="51"/>
  </w:num>
  <w:num w:numId="73">
    <w:abstractNumId w:val="7"/>
  </w:num>
  <w:num w:numId="74">
    <w:abstractNumId w:val="36"/>
  </w:num>
  <w:num w:numId="75">
    <w:abstractNumId w:val="25"/>
  </w:num>
  <w:num w:numId="76">
    <w:abstractNumId w:val="23"/>
  </w:num>
  <w:num w:numId="7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A3"/>
    <w:rsid w:val="000016A4"/>
    <w:rsid w:val="000019DB"/>
    <w:rsid w:val="000040C2"/>
    <w:rsid w:val="000047CC"/>
    <w:rsid w:val="00005BA5"/>
    <w:rsid w:val="00005BFA"/>
    <w:rsid w:val="00006F66"/>
    <w:rsid w:val="000105E6"/>
    <w:rsid w:val="00010E2D"/>
    <w:rsid w:val="000120FD"/>
    <w:rsid w:val="00013A65"/>
    <w:rsid w:val="0001506E"/>
    <w:rsid w:val="00015B9D"/>
    <w:rsid w:val="0001601A"/>
    <w:rsid w:val="00021831"/>
    <w:rsid w:val="00022C19"/>
    <w:rsid w:val="00031A37"/>
    <w:rsid w:val="00033A90"/>
    <w:rsid w:val="000340CE"/>
    <w:rsid w:val="00036843"/>
    <w:rsid w:val="00047E58"/>
    <w:rsid w:val="00054FDC"/>
    <w:rsid w:val="000632E2"/>
    <w:rsid w:val="0007097A"/>
    <w:rsid w:val="0007203D"/>
    <w:rsid w:val="000729D2"/>
    <w:rsid w:val="00073D20"/>
    <w:rsid w:val="00074E7D"/>
    <w:rsid w:val="000755E1"/>
    <w:rsid w:val="0007681B"/>
    <w:rsid w:val="000769F1"/>
    <w:rsid w:val="00083694"/>
    <w:rsid w:val="00085541"/>
    <w:rsid w:val="00086F0B"/>
    <w:rsid w:val="00092AE6"/>
    <w:rsid w:val="00093063"/>
    <w:rsid w:val="0009681C"/>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0A9D"/>
    <w:rsid w:val="00111957"/>
    <w:rsid w:val="0011334A"/>
    <w:rsid w:val="00115830"/>
    <w:rsid w:val="00116489"/>
    <w:rsid w:val="0011750D"/>
    <w:rsid w:val="00121B41"/>
    <w:rsid w:val="001301DF"/>
    <w:rsid w:val="00132E6D"/>
    <w:rsid w:val="001412DE"/>
    <w:rsid w:val="00142D78"/>
    <w:rsid w:val="00142DBB"/>
    <w:rsid w:val="00144A4D"/>
    <w:rsid w:val="00151351"/>
    <w:rsid w:val="001561B8"/>
    <w:rsid w:val="00156788"/>
    <w:rsid w:val="001609A1"/>
    <w:rsid w:val="00162554"/>
    <w:rsid w:val="00163F68"/>
    <w:rsid w:val="00173B50"/>
    <w:rsid w:val="00173E0E"/>
    <w:rsid w:val="00174B39"/>
    <w:rsid w:val="00183F6C"/>
    <w:rsid w:val="00192DEF"/>
    <w:rsid w:val="00194802"/>
    <w:rsid w:val="00194AEB"/>
    <w:rsid w:val="001A431C"/>
    <w:rsid w:val="001A5519"/>
    <w:rsid w:val="001A7C3A"/>
    <w:rsid w:val="001B5C26"/>
    <w:rsid w:val="001C08BC"/>
    <w:rsid w:val="001C56BA"/>
    <w:rsid w:val="001C6D7D"/>
    <w:rsid w:val="001D00B5"/>
    <w:rsid w:val="001D3B29"/>
    <w:rsid w:val="001D59C8"/>
    <w:rsid w:val="001D6E47"/>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1889"/>
    <w:rsid w:val="002539EA"/>
    <w:rsid w:val="002542FD"/>
    <w:rsid w:val="00254B4E"/>
    <w:rsid w:val="00254CA1"/>
    <w:rsid w:val="0026007A"/>
    <w:rsid w:val="002638C0"/>
    <w:rsid w:val="00265135"/>
    <w:rsid w:val="00265E42"/>
    <w:rsid w:val="00266B45"/>
    <w:rsid w:val="0027198B"/>
    <w:rsid w:val="00273658"/>
    <w:rsid w:val="00281AA4"/>
    <w:rsid w:val="00282A9D"/>
    <w:rsid w:val="00282AAC"/>
    <w:rsid w:val="00286C0C"/>
    <w:rsid w:val="00287687"/>
    <w:rsid w:val="00290D5F"/>
    <w:rsid w:val="002938F2"/>
    <w:rsid w:val="00293CCC"/>
    <w:rsid w:val="002961DF"/>
    <w:rsid w:val="002A195D"/>
    <w:rsid w:val="002B29FF"/>
    <w:rsid w:val="002B43D6"/>
    <w:rsid w:val="002B4A8B"/>
    <w:rsid w:val="002B6B98"/>
    <w:rsid w:val="002C28BA"/>
    <w:rsid w:val="002C3B8F"/>
    <w:rsid w:val="002C444C"/>
    <w:rsid w:val="002C5021"/>
    <w:rsid w:val="002C5280"/>
    <w:rsid w:val="002C5C29"/>
    <w:rsid w:val="002D396D"/>
    <w:rsid w:val="002D71D4"/>
    <w:rsid w:val="002E113D"/>
    <w:rsid w:val="002F17E1"/>
    <w:rsid w:val="003043A9"/>
    <w:rsid w:val="0030454E"/>
    <w:rsid w:val="00315322"/>
    <w:rsid w:val="003164F3"/>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5B0B"/>
    <w:rsid w:val="003A260A"/>
    <w:rsid w:val="003A2BC4"/>
    <w:rsid w:val="003B31BE"/>
    <w:rsid w:val="003B504D"/>
    <w:rsid w:val="003C3A81"/>
    <w:rsid w:val="003C7065"/>
    <w:rsid w:val="003D2E0D"/>
    <w:rsid w:val="003D5113"/>
    <w:rsid w:val="003D5BFC"/>
    <w:rsid w:val="003D6E10"/>
    <w:rsid w:val="003E0C0F"/>
    <w:rsid w:val="003E0E28"/>
    <w:rsid w:val="003E19D5"/>
    <w:rsid w:val="003E76A8"/>
    <w:rsid w:val="003F432E"/>
    <w:rsid w:val="003F5B90"/>
    <w:rsid w:val="00404856"/>
    <w:rsid w:val="00406ED7"/>
    <w:rsid w:val="004108B6"/>
    <w:rsid w:val="00410E7B"/>
    <w:rsid w:val="0041110F"/>
    <w:rsid w:val="0041300C"/>
    <w:rsid w:val="00414B68"/>
    <w:rsid w:val="004164D0"/>
    <w:rsid w:val="00430ED2"/>
    <w:rsid w:val="00434773"/>
    <w:rsid w:val="00435CBC"/>
    <w:rsid w:val="004367F5"/>
    <w:rsid w:val="004458C9"/>
    <w:rsid w:val="00447C66"/>
    <w:rsid w:val="00454B38"/>
    <w:rsid w:val="00462F38"/>
    <w:rsid w:val="00471B34"/>
    <w:rsid w:val="00474AFE"/>
    <w:rsid w:val="00477E66"/>
    <w:rsid w:val="00480809"/>
    <w:rsid w:val="004831C7"/>
    <w:rsid w:val="00486A5E"/>
    <w:rsid w:val="00493F92"/>
    <w:rsid w:val="004A0C2B"/>
    <w:rsid w:val="004A1816"/>
    <w:rsid w:val="004A610E"/>
    <w:rsid w:val="004B0EC4"/>
    <w:rsid w:val="004C20E2"/>
    <w:rsid w:val="004E056C"/>
    <w:rsid w:val="004E2817"/>
    <w:rsid w:val="004E2AE8"/>
    <w:rsid w:val="004E418A"/>
    <w:rsid w:val="005016FB"/>
    <w:rsid w:val="00504256"/>
    <w:rsid w:val="005070B5"/>
    <w:rsid w:val="00511D17"/>
    <w:rsid w:val="005157E2"/>
    <w:rsid w:val="0051699F"/>
    <w:rsid w:val="00516DE3"/>
    <w:rsid w:val="005300BF"/>
    <w:rsid w:val="00532631"/>
    <w:rsid w:val="005414A1"/>
    <w:rsid w:val="0054175C"/>
    <w:rsid w:val="005473CF"/>
    <w:rsid w:val="00570355"/>
    <w:rsid w:val="00574530"/>
    <w:rsid w:val="00581423"/>
    <w:rsid w:val="00582837"/>
    <w:rsid w:val="00582F4C"/>
    <w:rsid w:val="0058407A"/>
    <w:rsid w:val="00592325"/>
    <w:rsid w:val="00594539"/>
    <w:rsid w:val="005A1BCE"/>
    <w:rsid w:val="005A3FC9"/>
    <w:rsid w:val="005A65BD"/>
    <w:rsid w:val="005A7D00"/>
    <w:rsid w:val="005B0FE5"/>
    <w:rsid w:val="005B357C"/>
    <w:rsid w:val="005B4A0B"/>
    <w:rsid w:val="005B53C6"/>
    <w:rsid w:val="005B7F89"/>
    <w:rsid w:val="005C0015"/>
    <w:rsid w:val="005C0052"/>
    <w:rsid w:val="005C05F4"/>
    <w:rsid w:val="005C0660"/>
    <w:rsid w:val="005C44A6"/>
    <w:rsid w:val="005C4F32"/>
    <w:rsid w:val="005C7D6A"/>
    <w:rsid w:val="005D2DDA"/>
    <w:rsid w:val="005E3A3E"/>
    <w:rsid w:val="005E6A2B"/>
    <w:rsid w:val="005E7C7C"/>
    <w:rsid w:val="005F2EBF"/>
    <w:rsid w:val="00601DD6"/>
    <w:rsid w:val="006032AE"/>
    <w:rsid w:val="00603F71"/>
    <w:rsid w:val="00605202"/>
    <w:rsid w:val="00621092"/>
    <w:rsid w:val="00621208"/>
    <w:rsid w:val="006273EC"/>
    <w:rsid w:val="00632B30"/>
    <w:rsid w:val="006340A1"/>
    <w:rsid w:val="00636760"/>
    <w:rsid w:val="00636D36"/>
    <w:rsid w:val="00644B92"/>
    <w:rsid w:val="00645B77"/>
    <w:rsid w:val="0065099D"/>
    <w:rsid w:val="006515C9"/>
    <w:rsid w:val="00651944"/>
    <w:rsid w:val="00652318"/>
    <w:rsid w:val="00652484"/>
    <w:rsid w:val="00653314"/>
    <w:rsid w:val="0067005F"/>
    <w:rsid w:val="0067015A"/>
    <w:rsid w:val="00670936"/>
    <w:rsid w:val="006736EC"/>
    <w:rsid w:val="00673D90"/>
    <w:rsid w:val="00676C1E"/>
    <w:rsid w:val="00683E73"/>
    <w:rsid w:val="00686D60"/>
    <w:rsid w:val="00691869"/>
    <w:rsid w:val="006A0D86"/>
    <w:rsid w:val="006A49AE"/>
    <w:rsid w:val="006A56C0"/>
    <w:rsid w:val="006C0911"/>
    <w:rsid w:val="006C737A"/>
    <w:rsid w:val="006D332C"/>
    <w:rsid w:val="006D46FB"/>
    <w:rsid w:val="006E29C0"/>
    <w:rsid w:val="006E752A"/>
    <w:rsid w:val="006E7CF0"/>
    <w:rsid w:val="006F3E83"/>
    <w:rsid w:val="006F4B83"/>
    <w:rsid w:val="006F7F47"/>
    <w:rsid w:val="00701458"/>
    <w:rsid w:val="00701D7E"/>
    <w:rsid w:val="00704766"/>
    <w:rsid w:val="007077A4"/>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060"/>
    <w:rsid w:val="00753DA3"/>
    <w:rsid w:val="007610D3"/>
    <w:rsid w:val="007629DB"/>
    <w:rsid w:val="00764F50"/>
    <w:rsid w:val="00765F1C"/>
    <w:rsid w:val="00767871"/>
    <w:rsid w:val="00770A92"/>
    <w:rsid w:val="00774D9C"/>
    <w:rsid w:val="00776A63"/>
    <w:rsid w:val="00782888"/>
    <w:rsid w:val="00784E82"/>
    <w:rsid w:val="00790C65"/>
    <w:rsid w:val="0079316B"/>
    <w:rsid w:val="007A0565"/>
    <w:rsid w:val="007A0EAA"/>
    <w:rsid w:val="007A1247"/>
    <w:rsid w:val="007A1E0A"/>
    <w:rsid w:val="007A6F91"/>
    <w:rsid w:val="007A7D45"/>
    <w:rsid w:val="007B4ADA"/>
    <w:rsid w:val="007C105C"/>
    <w:rsid w:val="007C1B00"/>
    <w:rsid w:val="007C749A"/>
    <w:rsid w:val="007D0F1D"/>
    <w:rsid w:val="007D2881"/>
    <w:rsid w:val="007D31CE"/>
    <w:rsid w:val="007D3AD8"/>
    <w:rsid w:val="007D5BB7"/>
    <w:rsid w:val="007D6A69"/>
    <w:rsid w:val="007E0621"/>
    <w:rsid w:val="007E4E37"/>
    <w:rsid w:val="007F4B07"/>
    <w:rsid w:val="008029A6"/>
    <w:rsid w:val="008147BA"/>
    <w:rsid w:val="00820702"/>
    <w:rsid w:val="00825519"/>
    <w:rsid w:val="008269B0"/>
    <w:rsid w:val="0083067E"/>
    <w:rsid w:val="00830ABE"/>
    <w:rsid w:val="00832357"/>
    <w:rsid w:val="0083488D"/>
    <w:rsid w:val="008466C3"/>
    <w:rsid w:val="00846809"/>
    <w:rsid w:val="00851458"/>
    <w:rsid w:val="00861A47"/>
    <w:rsid w:val="008707FF"/>
    <w:rsid w:val="008724E5"/>
    <w:rsid w:val="008757CD"/>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17AC"/>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2272"/>
    <w:rsid w:val="00946D71"/>
    <w:rsid w:val="009577E1"/>
    <w:rsid w:val="00971CA1"/>
    <w:rsid w:val="0097349C"/>
    <w:rsid w:val="009814C2"/>
    <w:rsid w:val="00982FFD"/>
    <w:rsid w:val="009851CC"/>
    <w:rsid w:val="00985265"/>
    <w:rsid w:val="00985856"/>
    <w:rsid w:val="00992DAB"/>
    <w:rsid w:val="009A4210"/>
    <w:rsid w:val="009A4969"/>
    <w:rsid w:val="009B1466"/>
    <w:rsid w:val="009B6973"/>
    <w:rsid w:val="009C0510"/>
    <w:rsid w:val="009C3663"/>
    <w:rsid w:val="009D098F"/>
    <w:rsid w:val="009D4547"/>
    <w:rsid w:val="009D5A49"/>
    <w:rsid w:val="009D5E38"/>
    <w:rsid w:val="009D602F"/>
    <w:rsid w:val="009D68D0"/>
    <w:rsid w:val="009E17AF"/>
    <w:rsid w:val="009E350D"/>
    <w:rsid w:val="009F0D42"/>
    <w:rsid w:val="009F1029"/>
    <w:rsid w:val="009F1B82"/>
    <w:rsid w:val="009F34A4"/>
    <w:rsid w:val="009F3988"/>
    <w:rsid w:val="00A003D0"/>
    <w:rsid w:val="00A073FD"/>
    <w:rsid w:val="00A11AB3"/>
    <w:rsid w:val="00A150C7"/>
    <w:rsid w:val="00A2307A"/>
    <w:rsid w:val="00A32B5B"/>
    <w:rsid w:val="00A462C6"/>
    <w:rsid w:val="00A47871"/>
    <w:rsid w:val="00A519A2"/>
    <w:rsid w:val="00A51BDC"/>
    <w:rsid w:val="00A535B7"/>
    <w:rsid w:val="00A5709F"/>
    <w:rsid w:val="00A616C4"/>
    <w:rsid w:val="00A61F20"/>
    <w:rsid w:val="00A64796"/>
    <w:rsid w:val="00A66CD4"/>
    <w:rsid w:val="00A70883"/>
    <w:rsid w:val="00A76889"/>
    <w:rsid w:val="00A77AEB"/>
    <w:rsid w:val="00A81F0A"/>
    <w:rsid w:val="00A85C7A"/>
    <w:rsid w:val="00A86042"/>
    <w:rsid w:val="00A9159C"/>
    <w:rsid w:val="00AA36F9"/>
    <w:rsid w:val="00AA444A"/>
    <w:rsid w:val="00AA686A"/>
    <w:rsid w:val="00AB1528"/>
    <w:rsid w:val="00AD3D62"/>
    <w:rsid w:val="00AD6BD4"/>
    <w:rsid w:val="00AE1B18"/>
    <w:rsid w:val="00AE1D83"/>
    <w:rsid w:val="00AE2DFB"/>
    <w:rsid w:val="00AE3061"/>
    <w:rsid w:val="00AE5021"/>
    <w:rsid w:val="00AF15BA"/>
    <w:rsid w:val="00AF1C32"/>
    <w:rsid w:val="00AF65C6"/>
    <w:rsid w:val="00B04BB6"/>
    <w:rsid w:val="00B11AE3"/>
    <w:rsid w:val="00B121A6"/>
    <w:rsid w:val="00B300B8"/>
    <w:rsid w:val="00B32A28"/>
    <w:rsid w:val="00B32CA3"/>
    <w:rsid w:val="00B33904"/>
    <w:rsid w:val="00B3605D"/>
    <w:rsid w:val="00B3751E"/>
    <w:rsid w:val="00B427FE"/>
    <w:rsid w:val="00B51737"/>
    <w:rsid w:val="00B6102A"/>
    <w:rsid w:val="00B6167A"/>
    <w:rsid w:val="00B62ED0"/>
    <w:rsid w:val="00B64196"/>
    <w:rsid w:val="00B64E2E"/>
    <w:rsid w:val="00B661EC"/>
    <w:rsid w:val="00B66A7A"/>
    <w:rsid w:val="00B70266"/>
    <w:rsid w:val="00B71B04"/>
    <w:rsid w:val="00B74304"/>
    <w:rsid w:val="00B82F05"/>
    <w:rsid w:val="00B87142"/>
    <w:rsid w:val="00B8750E"/>
    <w:rsid w:val="00B92374"/>
    <w:rsid w:val="00B924C8"/>
    <w:rsid w:val="00B95E33"/>
    <w:rsid w:val="00B973B5"/>
    <w:rsid w:val="00B97FD1"/>
    <w:rsid w:val="00BA0EE8"/>
    <w:rsid w:val="00BA6367"/>
    <w:rsid w:val="00BB1062"/>
    <w:rsid w:val="00BB28C3"/>
    <w:rsid w:val="00BB28EF"/>
    <w:rsid w:val="00BB5DEE"/>
    <w:rsid w:val="00BC002E"/>
    <w:rsid w:val="00BC393F"/>
    <w:rsid w:val="00BC75FC"/>
    <w:rsid w:val="00BD59BD"/>
    <w:rsid w:val="00BD5A98"/>
    <w:rsid w:val="00BE5B3F"/>
    <w:rsid w:val="00BF351F"/>
    <w:rsid w:val="00BF3F50"/>
    <w:rsid w:val="00BF6F37"/>
    <w:rsid w:val="00C02924"/>
    <w:rsid w:val="00C032AA"/>
    <w:rsid w:val="00C04344"/>
    <w:rsid w:val="00C12EFE"/>
    <w:rsid w:val="00C17FE4"/>
    <w:rsid w:val="00C201EF"/>
    <w:rsid w:val="00C21897"/>
    <w:rsid w:val="00C276EE"/>
    <w:rsid w:val="00C36ABA"/>
    <w:rsid w:val="00C43146"/>
    <w:rsid w:val="00C43757"/>
    <w:rsid w:val="00C43BCE"/>
    <w:rsid w:val="00C47CF1"/>
    <w:rsid w:val="00C52006"/>
    <w:rsid w:val="00C53AB4"/>
    <w:rsid w:val="00C542F1"/>
    <w:rsid w:val="00C572B3"/>
    <w:rsid w:val="00C57CA1"/>
    <w:rsid w:val="00C61B82"/>
    <w:rsid w:val="00C6300B"/>
    <w:rsid w:val="00C6426B"/>
    <w:rsid w:val="00C6478B"/>
    <w:rsid w:val="00C87194"/>
    <w:rsid w:val="00C90629"/>
    <w:rsid w:val="00C90C51"/>
    <w:rsid w:val="00C94FB2"/>
    <w:rsid w:val="00CA3ED6"/>
    <w:rsid w:val="00CA7CF4"/>
    <w:rsid w:val="00CB0F37"/>
    <w:rsid w:val="00CB1135"/>
    <w:rsid w:val="00CB3C08"/>
    <w:rsid w:val="00CB590B"/>
    <w:rsid w:val="00CC02C5"/>
    <w:rsid w:val="00CC2BC6"/>
    <w:rsid w:val="00CC3AAB"/>
    <w:rsid w:val="00CD324E"/>
    <w:rsid w:val="00CD4A28"/>
    <w:rsid w:val="00CD54BD"/>
    <w:rsid w:val="00CD6C36"/>
    <w:rsid w:val="00CE2586"/>
    <w:rsid w:val="00CE6781"/>
    <w:rsid w:val="00CF05D7"/>
    <w:rsid w:val="00CF1E33"/>
    <w:rsid w:val="00CF34A6"/>
    <w:rsid w:val="00CF3F93"/>
    <w:rsid w:val="00CF4F7B"/>
    <w:rsid w:val="00D020F3"/>
    <w:rsid w:val="00D04515"/>
    <w:rsid w:val="00D065AD"/>
    <w:rsid w:val="00D22831"/>
    <w:rsid w:val="00D3447C"/>
    <w:rsid w:val="00D37322"/>
    <w:rsid w:val="00D404B7"/>
    <w:rsid w:val="00D44509"/>
    <w:rsid w:val="00D448CB"/>
    <w:rsid w:val="00D47226"/>
    <w:rsid w:val="00D47ED5"/>
    <w:rsid w:val="00D543EF"/>
    <w:rsid w:val="00D60CB4"/>
    <w:rsid w:val="00D61779"/>
    <w:rsid w:val="00D636C7"/>
    <w:rsid w:val="00D73DB6"/>
    <w:rsid w:val="00D809E5"/>
    <w:rsid w:val="00D81948"/>
    <w:rsid w:val="00D90819"/>
    <w:rsid w:val="00D93291"/>
    <w:rsid w:val="00D9501F"/>
    <w:rsid w:val="00DB50D5"/>
    <w:rsid w:val="00DC06EB"/>
    <w:rsid w:val="00DC5537"/>
    <w:rsid w:val="00DD11EE"/>
    <w:rsid w:val="00DD52A0"/>
    <w:rsid w:val="00DE0689"/>
    <w:rsid w:val="00DE5590"/>
    <w:rsid w:val="00DE62CA"/>
    <w:rsid w:val="00DE6364"/>
    <w:rsid w:val="00DF1D9E"/>
    <w:rsid w:val="00DF3DA3"/>
    <w:rsid w:val="00DF5DA4"/>
    <w:rsid w:val="00E0207A"/>
    <w:rsid w:val="00E06492"/>
    <w:rsid w:val="00E065CE"/>
    <w:rsid w:val="00E06A00"/>
    <w:rsid w:val="00E13E03"/>
    <w:rsid w:val="00E14C7A"/>
    <w:rsid w:val="00E17B02"/>
    <w:rsid w:val="00E22B99"/>
    <w:rsid w:val="00E24A9D"/>
    <w:rsid w:val="00E258D9"/>
    <w:rsid w:val="00E27D5E"/>
    <w:rsid w:val="00E35B8C"/>
    <w:rsid w:val="00E439CA"/>
    <w:rsid w:val="00E46DDB"/>
    <w:rsid w:val="00E473F3"/>
    <w:rsid w:val="00E5219B"/>
    <w:rsid w:val="00E56905"/>
    <w:rsid w:val="00E64BE4"/>
    <w:rsid w:val="00E760F1"/>
    <w:rsid w:val="00E85565"/>
    <w:rsid w:val="00E87F91"/>
    <w:rsid w:val="00E94BC6"/>
    <w:rsid w:val="00EA0563"/>
    <w:rsid w:val="00EA0590"/>
    <w:rsid w:val="00EA198F"/>
    <w:rsid w:val="00EA2EA1"/>
    <w:rsid w:val="00EA3CB9"/>
    <w:rsid w:val="00EA59EB"/>
    <w:rsid w:val="00EA67F3"/>
    <w:rsid w:val="00EB48F8"/>
    <w:rsid w:val="00ED078E"/>
    <w:rsid w:val="00ED0C60"/>
    <w:rsid w:val="00ED3D26"/>
    <w:rsid w:val="00ED5218"/>
    <w:rsid w:val="00EE1D9D"/>
    <w:rsid w:val="00EF0BCB"/>
    <w:rsid w:val="00EF0E74"/>
    <w:rsid w:val="00EF2549"/>
    <w:rsid w:val="00F00E8A"/>
    <w:rsid w:val="00F16242"/>
    <w:rsid w:val="00F17FCB"/>
    <w:rsid w:val="00F20521"/>
    <w:rsid w:val="00F226CC"/>
    <w:rsid w:val="00F2691E"/>
    <w:rsid w:val="00F279DD"/>
    <w:rsid w:val="00F3242E"/>
    <w:rsid w:val="00F33650"/>
    <w:rsid w:val="00F348F9"/>
    <w:rsid w:val="00F37E4B"/>
    <w:rsid w:val="00F4144E"/>
    <w:rsid w:val="00F41B00"/>
    <w:rsid w:val="00F43CF9"/>
    <w:rsid w:val="00F473CB"/>
    <w:rsid w:val="00F50245"/>
    <w:rsid w:val="00F63DDA"/>
    <w:rsid w:val="00F67029"/>
    <w:rsid w:val="00F70858"/>
    <w:rsid w:val="00F71BBC"/>
    <w:rsid w:val="00F72DCD"/>
    <w:rsid w:val="00F7397F"/>
    <w:rsid w:val="00F75949"/>
    <w:rsid w:val="00F75CF4"/>
    <w:rsid w:val="00F866CD"/>
    <w:rsid w:val="00F941F0"/>
    <w:rsid w:val="00F97FF5"/>
    <w:rsid w:val="00FA0105"/>
    <w:rsid w:val="00FA75A6"/>
    <w:rsid w:val="00FA7CE6"/>
    <w:rsid w:val="00FB1313"/>
    <w:rsid w:val="00FC2238"/>
    <w:rsid w:val="00FC2459"/>
    <w:rsid w:val="00FC268E"/>
    <w:rsid w:val="00FC2BFD"/>
    <w:rsid w:val="00FC309D"/>
    <w:rsid w:val="00FC460F"/>
    <w:rsid w:val="00FC47E0"/>
    <w:rsid w:val="00FD1C42"/>
    <w:rsid w:val="00FD1E96"/>
    <w:rsid w:val="00FD1FE7"/>
    <w:rsid w:val="00FD6442"/>
    <w:rsid w:val="00FE15F6"/>
    <w:rsid w:val="00FE1E5C"/>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0C8D5"/>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FE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215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2F8C-C6CE-40E6-B93D-38EABB8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2022-04-06T09:57:00Z</dcterms:created>
  <dcterms:modified xsi:type="dcterms:W3CDTF">2022-04-06T09:57:00Z</dcterms:modified>
</cp:coreProperties>
</file>