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645D"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3961E7" w14:paraId="56D97D85" w14:textId="77777777" w:rsidTr="00FE1E5C">
        <w:trPr>
          <w:cantSplit/>
        </w:trPr>
        <w:tc>
          <w:tcPr>
            <w:tcW w:w="786" w:type="pct"/>
            <w:shd w:val="clear" w:color="auto" w:fill="auto"/>
          </w:tcPr>
          <w:p w14:paraId="337D0BCB"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5F3A3393" w14:textId="77777777" w:rsidR="005473CF" w:rsidRPr="003961E7" w:rsidRDefault="00B32CA3" w:rsidP="00B32CA3">
            <w:pPr>
              <w:keepLines/>
              <w:spacing w:before="120"/>
              <w:ind w:left="567" w:hanging="567"/>
              <w:rPr>
                <w:rFonts w:ascii="Arial" w:hAnsi="Arial" w:cs="Arial"/>
                <w:b/>
                <w:szCs w:val="22"/>
                <w:lang w:val="fr-FR"/>
              </w:rPr>
            </w:pPr>
            <w:r>
              <w:rPr>
                <w:rFonts w:ascii="Arial" w:hAnsi="Arial" w:cs="Arial"/>
                <w:b/>
                <w:bCs/>
                <w:szCs w:val="22"/>
                <w:lang w:val="es"/>
              </w:rPr>
              <w:t>24.</w:t>
            </w:r>
            <w:r>
              <w:rPr>
                <w:rFonts w:ascii="Arial" w:hAnsi="Arial" w:cs="Arial"/>
                <w:b/>
                <w:bCs/>
                <w:szCs w:val="22"/>
                <w:lang w:val="es"/>
              </w:rPr>
              <w:tab/>
              <w:t>Porcentaje de Estados Partes comprometidos de manera activa con otros Estados Partes en la cooperación para la salvaguardia</w:t>
            </w:r>
          </w:p>
        </w:tc>
      </w:tr>
      <w:tr w:rsidR="005B0FE5" w:rsidRPr="003961E7" w14:paraId="5D9FAE78" w14:textId="77777777" w:rsidTr="00FE1E5C">
        <w:trPr>
          <w:cantSplit/>
        </w:trPr>
        <w:tc>
          <w:tcPr>
            <w:tcW w:w="786" w:type="pct"/>
            <w:vMerge w:val="restart"/>
            <w:shd w:val="clear" w:color="auto" w:fill="auto"/>
          </w:tcPr>
          <w:p w14:paraId="70B13F77"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5ADCA480" w14:textId="77777777" w:rsidR="005B0FE5" w:rsidRPr="003961E7"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cuatro factores de ámbito nacional que cada Estado Parte supervisa y notifica:</w:t>
            </w:r>
          </w:p>
        </w:tc>
      </w:tr>
      <w:tr w:rsidR="00B32CA3" w:rsidRPr="00F866CD" w14:paraId="0BBCD4E9" w14:textId="77777777" w:rsidTr="00FE1E5C">
        <w:trPr>
          <w:cantSplit/>
        </w:trPr>
        <w:tc>
          <w:tcPr>
            <w:tcW w:w="786" w:type="pct"/>
            <w:vMerge/>
            <w:shd w:val="clear" w:color="auto" w:fill="auto"/>
          </w:tcPr>
          <w:p w14:paraId="51F527FB" w14:textId="77777777" w:rsidR="00B32CA3" w:rsidRPr="003961E7" w:rsidRDefault="00B32CA3" w:rsidP="00B32CA3">
            <w:pPr>
              <w:spacing w:before="120"/>
              <w:rPr>
                <w:rFonts w:ascii="Arial" w:hAnsi="Arial" w:cs="Arial"/>
                <w:b/>
                <w:szCs w:val="22"/>
                <w:lang w:val="fr-FR"/>
              </w:rPr>
            </w:pPr>
          </w:p>
        </w:tc>
        <w:tc>
          <w:tcPr>
            <w:tcW w:w="3418" w:type="pct"/>
            <w:shd w:val="clear" w:color="auto" w:fill="auto"/>
            <w:vAlign w:val="center"/>
          </w:tcPr>
          <w:p w14:paraId="450BA1B9" w14:textId="77777777" w:rsidR="00B32CA3" w:rsidRPr="003961E7" w:rsidRDefault="00B32CA3" w:rsidP="00B32CA3">
            <w:pPr>
              <w:numPr>
                <w:ilvl w:val="1"/>
                <w:numId w:val="75"/>
              </w:numPr>
              <w:spacing w:before="60" w:after="60"/>
              <w:ind w:left="567" w:hanging="567"/>
              <w:rPr>
                <w:rFonts w:ascii="Arial" w:eastAsia="Calibri" w:hAnsi="Arial" w:cs="Arial"/>
                <w:vanish/>
                <w:sz w:val="20"/>
                <w:szCs w:val="20"/>
                <w:lang w:val="fr-FR"/>
              </w:rPr>
            </w:pPr>
            <w:r>
              <w:rPr>
                <w:rFonts w:ascii="Arial" w:eastAsia="Calibri" w:hAnsi="Arial" w:cs="Arial"/>
                <w:sz w:val="20"/>
                <w:szCs w:val="20"/>
                <w:lang w:val="es"/>
              </w:rPr>
              <w:t xml:space="preserve">La cooperación bilateral, multilateral, regional o internacional se lleva a cabo para aplicar medidas de salvaguardia del PCI en general. </w:t>
            </w:r>
          </w:p>
        </w:tc>
        <w:tc>
          <w:tcPr>
            <w:tcW w:w="796" w:type="pct"/>
            <w:shd w:val="clear" w:color="auto" w:fill="auto"/>
            <w:vAlign w:val="center"/>
          </w:tcPr>
          <w:p w14:paraId="6A48125E" w14:textId="77777777" w:rsidR="00B32CA3" w:rsidRDefault="00B32CA3" w:rsidP="00B32CA3">
            <w:pPr>
              <w:spacing w:before="60" w:after="60"/>
              <w:rPr>
                <w:rFonts w:ascii="Arial" w:hAnsi="Arial" w:cs="Arial"/>
                <w:sz w:val="20"/>
                <w:szCs w:val="20"/>
              </w:rPr>
            </w:pPr>
            <w:r>
              <w:rPr>
                <w:rFonts w:ascii="Arial" w:hAnsi="Arial" w:cs="Arial"/>
                <w:sz w:val="20"/>
                <w:szCs w:val="20"/>
                <w:lang w:val="es"/>
              </w:rPr>
              <w:t>Artículo 19</w:t>
            </w:r>
          </w:p>
          <w:p w14:paraId="69F58A05" w14:textId="77777777" w:rsidR="00B32CA3" w:rsidRDefault="00B32CA3" w:rsidP="00B32CA3">
            <w:pPr>
              <w:spacing w:before="60" w:after="60"/>
              <w:rPr>
                <w:rFonts w:ascii="Arial" w:hAnsi="Arial" w:cs="Arial"/>
                <w:sz w:val="20"/>
                <w:szCs w:val="20"/>
              </w:rPr>
            </w:pPr>
            <w:r>
              <w:rPr>
                <w:rFonts w:ascii="Arial" w:hAnsi="Arial" w:cs="Arial"/>
                <w:sz w:val="20"/>
                <w:szCs w:val="20"/>
                <w:lang w:val="es"/>
              </w:rPr>
              <w:t>DO 86</w:t>
            </w:r>
          </w:p>
        </w:tc>
      </w:tr>
      <w:tr w:rsidR="00B32CA3" w:rsidRPr="00F866CD" w14:paraId="57B32301" w14:textId="77777777" w:rsidTr="00FE1E5C">
        <w:trPr>
          <w:cantSplit/>
        </w:trPr>
        <w:tc>
          <w:tcPr>
            <w:tcW w:w="786" w:type="pct"/>
            <w:vMerge/>
            <w:shd w:val="clear" w:color="auto" w:fill="auto"/>
          </w:tcPr>
          <w:p w14:paraId="6640A21E"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589850EF" w14:textId="77777777" w:rsidR="00B32CA3" w:rsidRPr="003961E7" w:rsidRDefault="00B32CA3" w:rsidP="00B32CA3">
            <w:pPr>
              <w:numPr>
                <w:ilvl w:val="1"/>
                <w:numId w:val="75"/>
              </w:numPr>
              <w:spacing w:before="60" w:after="60"/>
              <w:ind w:left="567" w:hanging="567"/>
              <w:rPr>
                <w:rFonts w:ascii="Arial" w:eastAsia="Calibri" w:hAnsi="Arial" w:cs="Arial"/>
                <w:sz w:val="20"/>
                <w:szCs w:val="20"/>
                <w:lang w:val="fr-FR"/>
              </w:rPr>
            </w:pPr>
            <w:r>
              <w:rPr>
                <w:rFonts w:ascii="Arial" w:eastAsia="Calibri" w:hAnsi="Arial" w:cs="Arial"/>
                <w:sz w:val="20"/>
                <w:szCs w:val="20"/>
                <w:lang w:val="es"/>
              </w:rPr>
              <w:t>La cooperación bilateral, multilateral, regional o internacional se lleva a cabo para aplicar medidas de salvaguardia de elementos específicos del PCI, en especial aquellos que estén en peligro, se encuentren en territorios de más de un Estado y que sean elementos transfronterizos.</w:t>
            </w:r>
          </w:p>
        </w:tc>
        <w:tc>
          <w:tcPr>
            <w:tcW w:w="796" w:type="pct"/>
            <w:shd w:val="clear" w:color="auto" w:fill="auto"/>
            <w:vAlign w:val="center"/>
          </w:tcPr>
          <w:p w14:paraId="6665BA36" w14:textId="77777777" w:rsidR="00B32CA3" w:rsidRDefault="00435CBC" w:rsidP="00B32CA3">
            <w:pPr>
              <w:spacing w:before="60" w:after="60"/>
              <w:rPr>
                <w:rFonts w:ascii="Arial" w:hAnsi="Arial" w:cs="Arial"/>
                <w:sz w:val="20"/>
                <w:szCs w:val="20"/>
              </w:rPr>
            </w:pPr>
            <w:r>
              <w:rPr>
                <w:rFonts w:ascii="Arial" w:hAnsi="Arial" w:cs="Arial"/>
                <w:sz w:val="20"/>
                <w:szCs w:val="20"/>
                <w:lang w:val="es"/>
              </w:rPr>
              <w:t>Artículo 19</w:t>
            </w:r>
          </w:p>
          <w:p w14:paraId="67A59E34" w14:textId="77777777" w:rsidR="00830ABE" w:rsidRDefault="00830ABE" w:rsidP="00B32CA3">
            <w:pPr>
              <w:spacing w:before="60" w:after="60"/>
              <w:rPr>
                <w:rFonts w:ascii="Arial" w:hAnsi="Arial" w:cs="Arial"/>
                <w:sz w:val="20"/>
                <w:szCs w:val="20"/>
              </w:rPr>
            </w:pPr>
            <w:r>
              <w:rPr>
                <w:rFonts w:ascii="Arial" w:hAnsi="Arial" w:cs="Arial"/>
                <w:sz w:val="20"/>
                <w:szCs w:val="20"/>
                <w:lang w:val="es"/>
              </w:rPr>
              <w:t>DO 13,</w:t>
            </w:r>
            <w:r>
              <w:rPr>
                <w:rFonts w:ascii="Arial" w:hAnsi="Arial" w:cs="Arial"/>
                <w:sz w:val="20"/>
                <w:szCs w:val="20"/>
                <w:lang w:val="es"/>
              </w:rPr>
              <w:br/>
              <w:t>DO 14,</w:t>
            </w:r>
            <w:r>
              <w:rPr>
                <w:rFonts w:ascii="Arial" w:hAnsi="Arial" w:cs="Arial"/>
                <w:sz w:val="20"/>
                <w:szCs w:val="20"/>
                <w:lang w:val="es"/>
              </w:rPr>
              <w:br/>
              <w:t>DO 15</w:t>
            </w:r>
          </w:p>
        </w:tc>
      </w:tr>
      <w:tr w:rsidR="00B32CA3" w:rsidRPr="00F866CD" w14:paraId="7184E5CF" w14:textId="77777777" w:rsidTr="00FE1E5C">
        <w:trPr>
          <w:cantSplit/>
        </w:trPr>
        <w:tc>
          <w:tcPr>
            <w:tcW w:w="786" w:type="pct"/>
            <w:vMerge/>
            <w:shd w:val="clear" w:color="auto" w:fill="auto"/>
          </w:tcPr>
          <w:p w14:paraId="0E52CFB5"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19F70D47" w14:textId="77777777" w:rsidR="00B32CA3" w:rsidRPr="003961E7" w:rsidRDefault="00B32CA3" w:rsidP="00B32CA3">
            <w:pPr>
              <w:numPr>
                <w:ilvl w:val="1"/>
                <w:numId w:val="75"/>
              </w:numPr>
              <w:spacing w:before="60" w:after="60"/>
              <w:ind w:left="567" w:hanging="567"/>
              <w:rPr>
                <w:rFonts w:ascii="Arial" w:eastAsia="Calibri" w:hAnsi="Arial" w:cs="Arial"/>
                <w:sz w:val="20"/>
                <w:szCs w:val="20"/>
                <w:lang w:val="fr-FR"/>
              </w:rPr>
            </w:pPr>
            <w:r>
              <w:rPr>
                <w:rFonts w:ascii="Arial" w:eastAsia="Calibri" w:hAnsi="Arial" w:cs="Arial"/>
                <w:sz w:val="20"/>
                <w:szCs w:val="20"/>
                <w:lang w:val="es"/>
              </w:rPr>
              <w:t>La información y las experiencias sobre el PCI y su salvaguardia, incluidas las buenas prácticas para la salvaguardia que los Estados Partes intercambien.</w:t>
            </w:r>
          </w:p>
        </w:tc>
        <w:tc>
          <w:tcPr>
            <w:tcW w:w="796" w:type="pct"/>
            <w:shd w:val="clear" w:color="auto" w:fill="auto"/>
            <w:vAlign w:val="center"/>
          </w:tcPr>
          <w:p w14:paraId="35C50AF3" w14:textId="77777777" w:rsidR="00B32CA3" w:rsidRDefault="00B32CA3" w:rsidP="00B32CA3">
            <w:pPr>
              <w:spacing w:before="60" w:after="60"/>
              <w:rPr>
                <w:rFonts w:ascii="Arial" w:hAnsi="Arial" w:cs="Arial"/>
                <w:sz w:val="20"/>
                <w:szCs w:val="20"/>
              </w:rPr>
            </w:pPr>
            <w:r>
              <w:rPr>
                <w:rFonts w:ascii="Arial" w:hAnsi="Arial" w:cs="Arial"/>
                <w:sz w:val="20"/>
                <w:szCs w:val="20"/>
                <w:lang w:val="es"/>
              </w:rPr>
              <w:t>Artículo 19</w:t>
            </w:r>
          </w:p>
          <w:p w14:paraId="6341E1EB" w14:textId="77777777" w:rsidR="00B32CA3" w:rsidRDefault="00B32CA3" w:rsidP="00B32CA3">
            <w:pPr>
              <w:spacing w:before="60" w:after="60"/>
              <w:rPr>
                <w:rFonts w:ascii="Arial" w:hAnsi="Arial" w:cs="Arial"/>
                <w:sz w:val="20"/>
                <w:szCs w:val="20"/>
              </w:rPr>
            </w:pPr>
            <w:r>
              <w:rPr>
                <w:rFonts w:ascii="Arial" w:hAnsi="Arial" w:cs="Arial"/>
                <w:sz w:val="20"/>
                <w:szCs w:val="20"/>
                <w:lang w:val="es"/>
              </w:rPr>
              <w:t xml:space="preserve">DO 156, </w:t>
            </w:r>
            <w:r>
              <w:rPr>
                <w:rFonts w:ascii="Arial" w:hAnsi="Arial" w:cs="Arial"/>
                <w:sz w:val="20"/>
                <w:szCs w:val="20"/>
                <w:lang w:val="es"/>
              </w:rPr>
              <w:br/>
              <w:t>DO 193</w:t>
            </w:r>
          </w:p>
        </w:tc>
      </w:tr>
      <w:tr w:rsidR="00B32CA3" w:rsidRPr="00F866CD" w14:paraId="749328BA" w14:textId="77777777" w:rsidTr="00FE1E5C">
        <w:trPr>
          <w:cantSplit/>
        </w:trPr>
        <w:tc>
          <w:tcPr>
            <w:tcW w:w="786" w:type="pct"/>
            <w:vMerge/>
            <w:shd w:val="clear" w:color="auto" w:fill="auto"/>
          </w:tcPr>
          <w:p w14:paraId="1271368E" w14:textId="77777777" w:rsidR="00B32CA3" w:rsidRPr="00F866CD" w:rsidRDefault="00B32CA3" w:rsidP="00B32CA3">
            <w:pPr>
              <w:spacing w:before="120"/>
              <w:rPr>
                <w:rFonts w:ascii="Arial" w:hAnsi="Arial" w:cs="Arial"/>
                <w:b/>
                <w:szCs w:val="22"/>
              </w:rPr>
            </w:pPr>
          </w:p>
        </w:tc>
        <w:tc>
          <w:tcPr>
            <w:tcW w:w="3418" w:type="pct"/>
            <w:shd w:val="clear" w:color="auto" w:fill="auto"/>
            <w:vAlign w:val="center"/>
          </w:tcPr>
          <w:p w14:paraId="1C469EE9" w14:textId="77777777" w:rsidR="00B32CA3" w:rsidRPr="003961E7" w:rsidRDefault="00B32CA3" w:rsidP="00B32CA3">
            <w:pPr>
              <w:numPr>
                <w:ilvl w:val="1"/>
                <w:numId w:val="75"/>
              </w:numPr>
              <w:spacing w:before="60" w:after="60"/>
              <w:ind w:left="567" w:hanging="567"/>
              <w:rPr>
                <w:rFonts w:ascii="Arial" w:eastAsia="Calibri" w:hAnsi="Arial" w:cs="Arial"/>
                <w:sz w:val="20"/>
                <w:szCs w:val="20"/>
                <w:lang w:val="fr-FR"/>
              </w:rPr>
            </w:pPr>
            <w:r>
              <w:rPr>
                <w:rFonts w:ascii="Arial" w:eastAsia="Calibri" w:hAnsi="Arial" w:cs="Arial"/>
                <w:sz w:val="20"/>
                <w:szCs w:val="20"/>
                <w:lang w:val="es"/>
              </w:rPr>
              <w:t>La documentación sobre un elemento del PCI presente en su territorio que el Estado Parte comparta con otro Estado.</w:t>
            </w:r>
          </w:p>
        </w:tc>
        <w:tc>
          <w:tcPr>
            <w:tcW w:w="796" w:type="pct"/>
            <w:shd w:val="clear" w:color="auto" w:fill="auto"/>
            <w:vAlign w:val="center"/>
          </w:tcPr>
          <w:p w14:paraId="5C4B0265" w14:textId="77777777" w:rsidR="00B32CA3" w:rsidRDefault="00B32CA3" w:rsidP="00B32CA3">
            <w:pPr>
              <w:spacing w:before="60" w:after="60"/>
              <w:rPr>
                <w:rFonts w:ascii="Arial" w:hAnsi="Arial" w:cs="Arial"/>
                <w:sz w:val="20"/>
                <w:szCs w:val="20"/>
              </w:rPr>
            </w:pPr>
            <w:r>
              <w:rPr>
                <w:rFonts w:ascii="Arial" w:hAnsi="Arial" w:cs="Arial"/>
                <w:sz w:val="20"/>
                <w:szCs w:val="20"/>
                <w:lang w:val="es"/>
              </w:rPr>
              <w:t>Artículo 19</w:t>
            </w:r>
          </w:p>
          <w:p w14:paraId="44A7CDE8" w14:textId="77777777" w:rsidR="00B32CA3" w:rsidRDefault="00B32CA3" w:rsidP="00B32CA3">
            <w:pPr>
              <w:spacing w:before="60" w:after="60"/>
              <w:rPr>
                <w:rFonts w:ascii="Arial" w:hAnsi="Arial" w:cs="Arial"/>
                <w:sz w:val="20"/>
                <w:szCs w:val="20"/>
              </w:rPr>
            </w:pPr>
            <w:r>
              <w:rPr>
                <w:rFonts w:ascii="Arial" w:hAnsi="Arial" w:cs="Arial"/>
                <w:sz w:val="20"/>
                <w:szCs w:val="20"/>
                <w:lang w:val="es"/>
              </w:rPr>
              <w:t>DO 87</w:t>
            </w:r>
          </w:p>
        </w:tc>
      </w:tr>
      <w:tr w:rsidR="005473CF" w:rsidRPr="003961E7" w14:paraId="5A03C59C" w14:textId="77777777" w:rsidTr="00FE1E5C">
        <w:trPr>
          <w:cantSplit/>
        </w:trPr>
        <w:tc>
          <w:tcPr>
            <w:tcW w:w="786" w:type="pct"/>
            <w:shd w:val="clear" w:color="auto" w:fill="auto"/>
          </w:tcPr>
          <w:p w14:paraId="4C8E538B" w14:textId="77777777" w:rsidR="005473CF" w:rsidRPr="003961E7"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0B27CB99" w14:textId="77777777" w:rsidR="005473CF" w:rsidRPr="003961E7"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Como todos los indicadores, este también apoya la meta 11.4 de los ODS, que se centra en «redoblar los esfuerzos para proteger y salvaguardar el patrimonio cultural y natural del mundo».</w:t>
            </w:r>
          </w:p>
          <w:p w14:paraId="10BA66BB" w14:textId="27A2E03C" w:rsidR="005473CF" w:rsidRPr="003961E7" w:rsidRDefault="005473CF" w:rsidP="00E17B02">
            <w:pPr>
              <w:keepLines/>
              <w:spacing w:before="120"/>
              <w:jc w:val="both"/>
              <w:rPr>
                <w:rFonts w:ascii="Arial" w:hAnsi="Arial" w:cs="Arial"/>
                <w:b/>
                <w:szCs w:val="22"/>
                <w:lang w:val="fr-FR"/>
              </w:rPr>
            </w:pPr>
            <w:r>
              <w:rPr>
                <w:rFonts w:ascii="Arial" w:hAnsi="Arial" w:cs="Arial"/>
                <w:b/>
                <w:bCs/>
                <w:szCs w:val="22"/>
                <w:lang w:val="es"/>
              </w:rPr>
              <w:t>Relación con otros indicadores:</w:t>
            </w:r>
            <w:r>
              <w:rPr>
                <w:rFonts w:ascii="Arial" w:hAnsi="Arial" w:cs="Arial"/>
                <w:szCs w:val="22"/>
                <w:lang w:val="es"/>
              </w:rPr>
              <w:t xml:space="preserve"> Muchos otros indicadores se han centrado en los esfuerzos de un Estado para salvaguardar el PCI presente en su territorio; no obstante, el indicador 24 se refiere especialmente a su cooperación con otros países para salvaguardar el PCI en general y los elementos específicos del PCI presentes en los territorios de más de un Estado, así como los elementos transfronterizos. Así pues, complementa los indicadores 9 y 10 en lo que se refiere a la documentación, y el indicador 19, que aborda las buenas prácticas de salvaguardia. Dado que la salvaguardia del PCI abarca la mayoría de los indicadores, las actividades que aquí se examinan son, por consiguiente, complementarias a aquellos esfuerzos que se realizan a nivel nacional. El indicador 25 está relacionado con las instituciones y los actores que llevan a cabo actividades de cooperación internacional para la salvaguardia, incluidas las que aquí se describen.</w:t>
            </w:r>
          </w:p>
        </w:tc>
      </w:tr>
      <w:tr w:rsidR="00896177" w:rsidRPr="003961E7" w14:paraId="046DA3CA" w14:textId="77777777" w:rsidTr="00FE1E5C">
        <w:trPr>
          <w:cantSplit/>
        </w:trPr>
        <w:tc>
          <w:tcPr>
            <w:tcW w:w="786" w:type="pct"/>
            <w:shd w:val="clear" w:color="auto" w:fill="auto"/>
          </w:tcPr>
          <w:p w14:paraId="5DC0DBEB"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4AC1B5F0" w14:textId="748AAF4E" w:rsidR="00704766" w:rsidRPr="003961E7" w:rsidRDefault="00435CBC" w:rsidP="00D3447C">
            <w:pPr>
              <w:keepLines/>
              <w:spacing w:before="120"/>
              <w:jc w:val="both"/>
              <w:rPr>
                <w:rFonts w:asciiTheme="minorBidi" w:hAnsiTheme="minorBidi" w:cstheme="minorBidi"/>
                <w:szCs w:val="22"/>
                <w:lang w:val="fr-FR"/>
              </w:rPr>
            </w:pPr>
            <w:r>
              <w:rPr>
                <w:rFonts w:asciiTheme="minorBidi" w:hAnsiTheme="minorBidi" w:cstheme="minorBidi"/>
                <w:szCs w:val="22"/>
                <w:lang w:val="es"/>
              </w:rPr>
              <w:t>Uno de los cuatro objetivos de la Convención es «proveer la cooperación y la asistencia internacionales» (Artículo 1 d)). La Convención define además la cooperación internacional para incluir, entre otras acciones «el intercambio de información y de experiencias [e] iniciativas comunes» (Artículo 19). Los Estados «se comprometen a cooperar en los planos bilateral, subregional, regional e internacional» (Artículo 19) y, por lo tanto, sus acciones de cooperación internacional están en consonancia con los principios fundamentales de la Convención. La cooperación bilateral y multilateral entre los Estados también refleja el espíritu de cooperación de la Convención.</w:t>
            </w:r>
          </w:p>
        </w:tc>
      </w:tr>
      <w:tr w:rsidR="00704766" w:rsidRPr="00F866CD" w14:paraId="3442167F" w14:textId="77777777" w:rsidTr="00FE1E5C">
        <w:trPr>
          <w:cantSplit/>
        </w:trPr>
        <w:tc>
          <w:tcPr>
            <w:tcW w:w="786" w:type="pct"/>
            <w:shd w:val="clear" w:color="auto" w:fill="auto"/>
          </w:tcPr>
          <w:p w14:paraId="62D6799B"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59040E17" w14:textId="77777777" w:rsidR="00704766" w:rsidRDefault="00AE5021"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Regional</w:t>
            </w:r>
          </w:p>
          <w:p w14:paraId="0B9D7FF2" w14:textId="77777777" w:rsidR="00AE5021" w:rsidRPr="00F866CD" w:rsidRDefault="00AE5021"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Elementos del PCI</w:t>
            </w:r>
          </w:p>
        </w:tc>
      </w:tr>
    </w:tbl>
    <w:p w14:paraId="6665C6B9"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69859713" w14:textId="77777777" w:rsidR="0054175C" w:rsidRPr="003961E7"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3961E7" w14:paraId="69223C72" w14:textId="77777777" w:rsidTr="003961E7">
        <w:tc>
          <w:tcPr>
            <w:tcW w:w="767" w:type="pct"/>
            <w:shd w:val="clear" w:color="auto" w:fill="auto"/>
          </w:tcPr>
          <w:p w14:paraId="45019502" w14:textId="77777777" w:rsidR="002C28BA" w:rsidRPr="00F866CD" w:rsidRDefault="002C28BA" w:rsidP="006B0DB6">
            <w:pPr>
              <w:spacing w:before="120"/>
              <w:rPr>
                <w:rFonts w:ascii="Arial" w:hAnsi="Arial" w:cs="Arial"/>
                <w:b/>
                <w:szCs w:val="22"/>
              </w:rPr>
            </w:pPr>
            <w:r>
              <w:rPr>
                <w:rFonts w:ascii="Arial" w:hAnsi="Arial" w:cs="Arial"/>
                <w:b/>
                <w:bCs/>
                <w:szCs w:val="22"/>
                <w:lang w:val="es"/>
              </w:rPr>
              <w:lastRenderedPageBreak/>
              <w:t>Ventajas del seguimiento</w:t>
            </w:r>
          </w:p>
        </w:tc>
        <w:tc>
          <w:tcPr>
            <w:tcW w:w="4233" w:type="pct"/>
            <w:shd w:val="clear" w:color="auto" w:fill="auto"/>
          </w:tcPr>
          <w:p w14:paraId="68BE5726" w14:textId="457AD89E" w:rsidR="002C28BA" w:rsidRPr="003961E7" w:rsidRDefault="00D543EF" w:rsidP="00110A9D">
            <w:pPr>
              <w:keepLines/>
              <w:spacing w:before="120"/>
              <w:jc w:val="both"/>
              <w:rPr>
                <w:rFonts w:ascii="Arial" w:hAnsi="Arial" w:cs="Arial"/>
                <w:bCs/>
                <w:szCs w:val="22"/>
                <w:lang w:val="fr-FR"/>
              </w:rPr>
            </w:pPr>
            <w:r>
              <w:rPr>
                <w:rFonts w:ascii="Arial" w:hAnsi="Arial" w:cs="Arial"/>
                <w:szCs w:val="22"/>
                <w:lang w:val="es"/>
              </w:rPr>
              <w:t>El seguimiento de este indicador puede ayudar a cada Estado a evaluar la medida en que está aprovechando las oportunidades de cooperación con otros Estados, además de las medidas de salvaguardia que él mismo emprende. Además, puede ayudar a identificar nuevas oportunidades, aún no aprovechadas, para dicha cooperación. A nivel mundial, el seguimiento de este indicador puede poner de relieve la multiplicidad de acciones bilaterales y multilaterales emprendidas en el espíritu de la Convención, pero que se desarrollan con independencia de los órganos rectores de esta.</w:t>
            </w:r>
          </w:p>
        </w:tc>
      </w:tr>
      <w:tr w:rsidR="0054175C" w:rsidRPr="003961E7" w14:paraId="4ACB3F92" w14:textId="77777777" w:rsidTr="003961E7">
        <w:tc>
          <w:tcPr>
            <w:tcW w:w="767" w:type="pct"/>
            <w:shd w:val="clear" w:color="auto" w:fill="auto"/>
          </w:tcPr>
          <w:p w14:paraId="6175D3FA" w14:textId="77777777" w:rsidR="0054175C" w:rsidRPr="003961E7"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0052139D" w14:textId="32E202CC" w:rsidR="0054175C" w:rsidRPr="003961E7" w:rsidRDefault="00033A90" w:rsidP="0054175C">
            <w:pPr>
              <w:spacing w:before="120"/>
              <w:jc w:val="both"/>
              <w:rPr>
                <w:rFonts w:ascii="Arial" w:hAnsi="Arial" w:cs="Arial"/>
                <w:szCs w:val="22"/>
                <w:lang w:val="fr-FR"/>
              </w:rPr>
            </w:pPr>
            <w:r>
              <w:rPr>
                <w:rFonts w:ascii="Arial" w:hAnsi="Arial" w:cs="Arial"/>
                <w:szCs w:val="22"/>
                <w:lang w:val="es"/>
              </w:rPr>
              <w:t>Los encargados del seguimiento y la presentación de informes tal vez deseen realizar consultas a la oficina de cooperación internacional del Ministerio de Cultura y a otros ministerios competentes, como el Ministerio de Asuntos Exteriores, el cual, podría mantener registros de la cooperación bilateral y multilateral con otros Estados. Si el Estado cuenta con un órgano consultivo o un mecanismo de coordinación, sus miembros también deben ser consultados sobre la cooperación internacional en la que podrían participar. Asimismo, se podría contactar con las instituciones de documentación pertinentes para conocer los intercambios de documentación con otros países.</w:t>
            </w:r>
          </w:p>
          <w:p w14:paraId="67C70FD3"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5AB70EC8" w14:textId="77777777" w:rsidR="0054175C" w:rsidRDefault="005F2EBF" w:rsidP="00BE5B3F">
            <w:pPr>
              <w:pStyle w:val="ListParagraph"/>
              <w:numPr>
                <w:ilvl w:val="0"/>
                <w:numId w:val="73"/>
              </w:numPr>
              <w:spacing w:before="120"/>
              <w:jc w:val="both"/>
              <w:rPr>
                <w:rFonts w:ascii="Arial" w:hAnsi="Arial" w:cs="Arial"/>
              </w:rPr>
            </w:pPr>
            <w:r>
              <w:rPr>
                <w:rFonts w:ascii="Arial" w:hAnsi="Arial" w:cs="Arial"/>
                <w:lang w:val="es"/>
              </w:rPr>
              <w:t>Informes y registros de una oficina de cooperación internacional del Ministerio de Cultura y otros ministerios competentes, como el Ministerio de Asuntos Exteriores</w:t>
            </w:r>
          </w:p>
          <w:p w14:paraId="3BBF03EB" w14:textId="77777777" w:rsidR="005F2EBF" w:rsidRPr="003961E7" w:rsidRDefault="005F2EBF" w:rsidP="00BE5B3F">
            <w:pPr>
              <w:pStyle w:val="ListParagraph"/>
              <w:numPr>
                <w:ilvl w:val="0"/>
                <w:numId w:val="73"/>
              </w:numPr>
              <w:spacing w:before="120"/>
              <w:jc w:val="both"/>
              <w:rPr>
                <w:rFonts w:ascii="Arial" w:hAnsi="Arial" w:cs="Arial"/>
                <w:lang w:val="fr-FR"/>
              </w:rPr>
            </w:pPr>
            <w:r>
              <w:rPr>
                <w:rFonts w:ascii="Arial" w:hAnsi="Arial" w:cs="Arial"/>
                <w:lang w:val="es"/>
              </w:rPr>
              <w:t>Informes y registros de archivos y otras instituciones de documentación</w:t>
            </w:r>
          </w:p>
          <w:p w14:paraId="2A06327A" w14:textId="77777777" w:rsidR="00CB3C08" w:rsidRPr="003961E7" w:rsidRDefault="00CB3C08" w:rsidP="00BE5B3F">
            <w:pPr>
              <w:pStyle w:val="ListParagraph"/>
              <w:numPr>
                <w:ilvl w:val="0"/>
                <w:numId w:val="73"/>
              </w:numPr>
              <w:spacing w:before="120"/>
              <w:jc w:val="both"/>
              <w:rPr>
                <w:rFonts w:ascii="Arial" w:hAnsi="Arial" w:cs="Arial"/>
                <w:lang w:val="fr-FR"/>
              </w:rPr>
            </w:pPr>
            <w:r>
              <w:rPr>
                <w:rFonts w:ascii="Arial" w:hAnsi="Arial" w:cs="Arial"/>
                <w:lang w:val="es"/>
              </w:rPr>
              <w:t>Redes y asociaciones profesionales de actores de salvaguardia del PCI</w:t>
            </w:r>
          </w:p>
        </w:tc>
      </w:tr>
    </w:tbl>
    <w:p w14:paraId="1407850E"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82B0D" w14:textId="77777777" w:rsidR="00315322" w:rsidRDefault="00315322" w:rsidP="002938F2">
      <w:r>
        <w:separator/>
      </w:r>
    </w:p>
    <w:p w14:paraId="43987A19" w14:textId="77777777" w:rsidR="00315322" w:rsidRDefault="00315322"/>
  </w:endnote>
  <w:endnote w:type="continuationSeparator" w:id="0">
    <w:p w14:paraId="11B68FBA" w14:textId="77777777" w:rsidR="00315322" w:rsidRDefault="00315322" w:rsidP="002938F2">
      <w:r>
        <w:continuationSeparator/>
      </w:r>
    </w:p>
    <w:p w14:paraId="23B49CC0" w14:textId="77777777" w:rsidR="00315322" w:rsidRDefault="00315322"/>
  </w:endnote>
  <w:endnote w:type="continuationNotice" w:id="1">
    <w:p w14:paraId="69D3FD2A" w14:textId="77777777" w:rsidR="00315322" w:rsidRDefault="003153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B126" w14:textId="0988B536" w:rsidR="00C04344" w:rsidRPr="000A0709" w:rsidRDefault="00683E73"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94D7" w14:textId="77777777" w:rsidR="00315322" w:rsidRDefault="00315322" w:rsidP="002938F2">
      <w:r>
        <w:separator/>
      </w:r>
    </w:p>
  </w:footnote>
  <w:footnote w:type="continuationSeparator" w:id="0">
    <w:p w14:paraId="0AB0F2E9" w14:textId="77777777" w:rsidR="00315322" w:rsidRDefault="00315322" w:rsidP="002938F2">
      <w:r>
        <w:continuationSeparator/>
      </w:r>
    </w:p>
    <w:p w14:paraId="41639BD4" w14:textId="77777777" w:rsidR="00315322" w:rsidRDefault="00315322"/>
  </w:footnote>
  <w:footnote w:type="continuationNotice" w:id="1">
    <w:p w14:paraId="1CF11976" w14:textId="77777777" w:rsidR="00315322" w:rsidRDefault="003153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605B" w14:textId="77777777" w:rsidR="00FE1E5C" w:rsidRDefault="00FE1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2"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4"/>
  </w:num>
  <w:num w:numId="5">
    <w:abstractNumId w:val="45"/>
  </w:num>
  <w:num w:numId="6">
    <w:abstractNumId w:val="4"/>
  </w:num>
  <w:num w:numId="7">
    <w:abstractNumId w:val="15"/>
  </w:num>
  <w:num w:numId="8">
    <w:abstractNumId w:val="24"/>
  </w:num>
  <w:num w:numId="9">
    <w:abstractNumId w:val="48"/>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3"/>
  </w:num>
  <w:num w:numId="42">
    <w:abstractNumId w:val="50"/>
  </w:num>
  <w:num w:numId="43">
    <w:abstractNumId w:val="28"/>
  </w:num>
  <w:num w:numId="44">
    <w:abstractNumId w:val="12"/>
  </w:num>
  <w:num w:numId="45">
    <w:abstractNumId w:val="51"/>
  </w:num>
  <w:num w:numId="46">
    <w:abstractNumId w:val="5"/>
  </w:num>
  <w:num w:numId="47">
    <w:abstractNumId w:val="35"/>
  </w:num>
  <w:num w:numId="48">
    <w:abstractNumId w:val="55"/>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7"/>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49"/>
  </w:num>
  <w:num w:numId="73">
    <w:abstractNumId w:val="7"/>
  </w:num>
  <w:num w:numId="74">
    <w:abstractNumId w:val="34"/>
  </w:num>
  <w:num w:numId="75">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32CA3"/>
    <w:rsid w:val="000016A4"/>
    <w:rsid w:val="000019DB"/>
    <w:rsid w:val="000047CC"/>
    <w:rsid w:val="00005BA5"/>
    <w:rsid w:val="00005BFA"/>
    <w:rsid w:val="00006F66"/>
    <w:rsid w:val="000105E6"/>
    <w:rsid w:val="00010E2D"/>
    <w:rsid w:val="000120FD"/>
    <w:rsid w:val="00013A65"/>
    <w:rsid w:val="0001506E"/>
    <w:rsid w:val="00015B9D"/>
    <w:rsid w:val="0001601A"/>
    <w:rsid w:val="00021831"/>
    <w:rsid w:val="00022C19"/>
    <w:rsid w:val="00031A37"/>
    <w:rsid w:val="00033A90"/>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0A9D"/>
    <w:rsid w:val="00111957"/>
    <w:rsid w:val="0011334A"/>
    <w:rsid w:val="00115830"/>
    <w:rsid w:val="00116489"/>
    <w:rsid w:val="0011750D"/>
    <w:rsid w:val="00121B41"/>
    <w:rsid w:val="001301DF"/>
    <w:rsid w:val="00132E6D"/>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D6E47"/>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1889"/>
    <w:rsid w:val="002539EA"/>
    <w:rsid w:val="002542FD"/>
    <w:rsid w:val="00254B4E"/>
    <w:rsid w:val="00254CA1"/>
    <w:rsid w:val="0026007A"/>
    <w:rsid w:val="002638C0"/>
    <w:rsid w:val="00265135"/>
    <w:rsid w:val="00265E42"/>
    <w:rsid w:val="00266B45"/>
    <w:rsid w:val="0027198B"/>
    <w:rsid w:val="00273658"/>
    <w:rsid w:val="00281AA4"/>
    <w:rsid w:val="00282A9D"/>
    <w:rsid w:val="00282AAC"/>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15322"/>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961E7"/>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5CBC"/>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3FC9"/>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EBF"/>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0936"/>
    <w:rsid w:val="006736EC"/>
    <w:rsid w:val="00673D90"/>
    <w:rsid w:val="00676C1E"/>
    <w:rsid w:val="00683E73"/>
    <w:rsid w:val="00686D60"/>
    <w:rsid w:val="00691869"/>
    <w:rsid w:val="006A0D86"/>
    <w:rsid w:val="006A49AE"/>
    <w:rsid w:val="006A56C0"/>
    <w:rsid w:val="006C0911"/>
    <w:rsid w:val="006C737A"/>
    <w:rsid w:val="006D332C"/>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84E82"/>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0ABE"/>
    <w:rsid w:val="00832357"/>
    <w:rsid w:val="0083488D"/>
    <w:rsid w:val="008466C3"/>
    <w:rsid w:val="00846809"/>
    <w:rsid w:val="00851458"/>
    <w:rsid w:val="00861A47"/>
    <w:rsid w:val="008707FF"/>
    <w:rsid w:val="008724E5"/>
    <w:rsid w:val="008757CD"/>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2272"/>
    <w:rsid w:val="00946D71"/>
    <w:rsid w:val="009577E1"/>
    <w:rsid w:val="00971CA1"/>
    <w:rsid w:val="0097349C"/>
    <w:rsid w:val="009814C2"/>
    <w:rsid w:val="00982FFD"/>
    <w:rsid w:val="00985265"/>
    <w:rsid w:val="00985856"/>
    <w:rsid w:val="00992DAB"/>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32B5B"/>
    <w:rsid w:val="00A462C6"/>
    <w:rsid w:val="00A519A2"/>
    <w:rsid w:val="00A51BDC"/>
    <w:rsid w:val="00A535B7"/>
    <w:rsid w:val="00A5709F"/>
    <w:rsid w:val="00A616C4"/>
    <w:rsid w:val="00A61F20"/>
    <w:rsid w:val="00A64796"/>
    <w:rsid w:val="00A66CD4"/>
    <w:rsid w:val="00A70883"/>
    <w:rsid w:val="00A76889"/>
    <w:rsid w:val="00A77AEB"/>
    <w:rsid w:val="00A81F0A"/>
    <w:rsid w:val="00A85C7A"/>
    <w:rsid w:val="00A86042"/>
    <w:rsid w:val="00AA36F9"/>
    <w:rsid w:val="00AA444A"/>
    <w:rsid w:val="00AB1528"/>
    <w:rsid w:val="00AD6BD4"/>
    <w:rsid w:val="00AE1B18"/>
    <w:rsid w:val="00AE1D83"/>
    <w:rsid w:val="00AE2DFB"/>
    <w:rsid w:val="00AE3061"/>
    <w:rsid w:val="00AE5021"/>
    <w:rsid w:val="00AF15BA"/>
    <w:rsid w:val="00AF1C32"/>
    <w:rsid w:val="00AF65C6"/>
    <w:rsid w:val="00B11AE3"/>
    <w:rsid w:val="00B121A6"/>
    <w:rsid w:val="00B300B8"/>
    <w:rsid w:val="00B32A28"/>
    <w:rsid w:val="00B32CA3"/>
    <w:rsid w:val="00B33904"/>
    <w:rsid w:val="00B3751E"/>
    <w:rsid w:val="00B427FE"/>
    <w:rsid w:val="00B51737"/>
    <w:rsid w:val="00B6102A"/>
    <w:rsid w:val="00B6167A"/>
    <w:rsid w:val="00B62ED0"/>
    <w:rsid w:val="00B64196"/>
    <w:rsid w:val="00B64E2E"/>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32AA"/>
    <w:rsid w:val="00C04344"/>
    <w:rsid w:val="00C17FE4"/>
    <w:rsid w:val="00C201EF"/>
    <w:rsid w:val="00C21897"/>
    <w:rsid w:val="00C276EE"/>
    <w:rsid w:val="00C36ABA"/>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3C08"/>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3447C"/>
    <w:rsid w:val="00D404B7"/>
    <w:rsid w:val="00D44509"/>
    <w:rsid w:val="00D448CB"/>
    <w:rsid w:val="00D47226"/>
    <w:rsid w:val="00D47ED5"/>
    <w:rsid w:val="00D543EF"/>
    <w:rsid w:val="00D61779"/>
    <w:rsid w:val="00D73DB6"/>
    <w:rsid w:val="00D809E5"/>
    <w:rsid w:val="00D81948"/>
    <w:rsid w:val="00D90819"/>
    <w:rsid w:val="00D93291"/>
    <w:rsid w:val="00D9501F"/>
    <w:rsid w:val="00DB50D5"/>
    <w:rsid w:val="00DC06EB"/>
    <w:rsid w:val="00DC5537"/>
    <w:rsid w:val="00DD11EE"/>
    <w:rsid w:val="00DD52A0"/>
    <w:rsid w:val="00DE5590"/>
    <w:rsid w:val="00DE6364"/>
    <w:rsid w:val="00DF1D9E"/>
    <w:rsid w:val="00DF3DA3"/>
    <w:rsid w:val="00DF5DA4"/>
    <w:rsid w:val="00E06492"/>
    <w:rsid w:val="00E065CE"/>
    <w:rsid w:val="00E06A00"/>
    <w:rsid w:val="00E13E03"/>
    <w:rsid w:val="00E17B02"/>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78E"/>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60F"/>
    <w:rsid w:val="00FC47E0"/>
    <w:rsid w:val="00FD1C42"/>
    <w:rsid w:val="00FD1E96"/>
    <w:rsid w:val="00FD1FE7"/>
    <w:rsid w:val="00FD6442"/>
    <w:rsid w:val="00FE15F6"/>
    <w:rsid w:val="00FE1E5C"/>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0C8D5"/>
  <w15:docId w15:val="{3D6E37AA-9837-4B84-82BD-756EAD49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FE1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22153">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1972-6D35-4A21-B580-10B9CBF5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2019-07-24T15:05:00Z</dcterms:created>
  <dcterms:modified xsi:type="dcterms:W3CDTF">2019-12-06T17:21:00Z</dcterms:modified>
</cp:coreProperties>
</file>