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E645D" w14:textId="77777777" w:rsidR="000A0709" w:rsidRPr="00F866CD" w:rsidRDefault="003B31BE" w:rsidP="00886B71">
      <w:pPr>
        <w:pageBreakBefore/>
        <w:jc w:val="center"/>
        <w:rPr>
          <w:rFonts w:ascii="Arial" w:hAnsi="Arial" w:cs="Arial"/>
          <w:b/>
          <w:bCs/>
          <w:sz w:val="24"/>
          <w:szCs w:val="28"/>
        </w:rPr>
      </w:pPr>
      <w:r>
        <w:rPr>
          <w:rFonts w:ascii="Arial" w:hAnsi="Arial" w:cs="Arial"/>
          <w:b/>
          <w:bCs/>
          <w:sz w:val="24"/>
          <w:szCs w:val="28"/>
          <w:lang w:val="fr"/>
        </w:rPr>
        <w:t>Aperçu et justification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1"/>
        <w:gridCol w:w="6483"/>
        <w:gridCol w:w="1434"/>
      </w:tblGrid>
      <w:tr w:rsidR="005473CF" w:rsidRPr="00110744" w14:paraId="56D97D85" w14:textId="77777777" w:rsidTr="00FE1E5C">
        <w:trPr>
          <w:cantSplit/>
        </w:trPr>
        <w:tc>
          <w:tcPr>
            <w:tcW w:w="786" w:type="pct"/>
            <w:shd w:val="clear" w:color="auto" w:fill="auto"/>
          </w:tcPr>
          <w:p w14:paraId="337D0BCB" w14:textId="77777777" w:rsidR="005473CF" w:rsidRPr="00F866CD" w:rsidRDefault="005B0FE5" w:rsidP="00DA2ECC">
            <w:pPr>
              <w:spacing w:before="120"/>
              <w:rPr>
                <w:rFonts w:ascii="Arial" w:hAnsi="Arial" w:cs="Arial"/>
                <w:b/>
                <w:szCs w:val="22"/>
              </w:rPr>
            </w:pPr>
            <w:r>
              <w:rPr>
                <w:rFonts w:ascii="Arial" w:hAnsi="Arial" w:cs="Arial"/>
                <w:b/>
                <w:bCs/>
                <w:szCs w:val="22"/>
                <w:lang w:val="fr"/>
              </w:rPr>
              <w:t>Indicateur</w:t>
            </w:r>
          </w:p>
        </w:tc>
        <w:tc>
          <w:tcPr>
            <w:tcW w:w="4214" w:type="pct"/>
            <w:gridSpan w:val="2"/>
            <w:shd w:val="clear" w:color="auto" w:fill="auto"/>
          </w:tcPr>
          <w:p w14:paraId="5F3A3393" w14:textId="77777777" w:rsidR="005473CF" w:rsidRPr="000B4C82" w:rsidRDefault="00B32CA3" w:rsidP="00B32CA3">
            <w:pPr>
              <w:keepLines/>
              <w:spacing w:before="120"/>
              <w:ind w:left="567" w:hanging="567"/>
              <w:rPr>
                <w:rFonts w:ascii="Arial" w:hAnsi="Arial" w:cs="Arial"/>
                <w:b/>
                <w:szCs w:val="22"/>
                <w:lang w:val="fr-FR"/>
              </w:rPr>
            </w:pPr>
            <w:r>
              <w:rPr>
                <w:rFonts w:ascii="Arial" w:hAnsi="Arial" w:cs="Arial"/>
                <w:b/>
                <w:bCs/>
                <w:szCs w:val="22"/>
                <w:lang w:val="fr"/>
              </w:rPr>
              <w:t>24.</w:t>
            </w:r>
            <w:r>
              <w:rPr>
                <w:rFonts w:ascii="Arial" w:hAnsi="Arial" w:cs="Arial"/>
                <w:b/>
                <w:bCs/>
                <w:szCs w:val="22"/>
                <w:lang w:val="fr"/>
              </w:rPr>
              <w:tab/>
              <w:t>Pourcentage des États parties activement engagés dans la coopération au service de la sauvegarde avec d’autres États parties</w:t>
            </w:r>
          </w:p>
        </w:tc>
      </w:tr>
      <w:tr w:rsidR="005B0FE5" w:rsidRPr="00110744" w14:paraId="5D9FAE78" w14:textId="77777777" w:rsidTr="00FE1E5C">
        <w:trPr>
          <w:cantSplit/>
        </w:trPr>
        <w:tc>
          <w:tcPr>
            <w:tcW w:w="786" w:type="pct"/>
            <w:vMerge w:val="restart"/>
            <w:shd w:val="clear" w:color="auto" w:fill="auto"/>
          </w:tcPr>
          <w:p w14:paraId="70B13F77" w14:textId="32DB97F8" w:rsidR="005B0FE5" w:rsidRPr="00F866CD" w:rsidRDefault="005B0FE5" w:rsidP="00DA2ECC">
            <w:pPr>
              <w:spacing w:before="120"/>
              <w:rPr>
                <w:rFonts w:ascii="Arial" w:hAnsi="Arial" w:cs="Arial"/>
                <w:b/>
                <w:szCs w:val="22"/>
              </w:rPr>
            </w:pPr>
            <w:r>
              <w:rPr>
                <w:rFonts w:ascii="Arial" w:hAnsi="Arial" w:cs="Arial"/>
                <w:b/>
                <w:bCs/>
                <w:szCs w:val="22"/>
                <w:lang w:val="fr"/>
              </w:rPr>
              <w:t>Facteurs d'</w:t>
            </w:r>
            <w:r w:rsidR="00931CC2" w:rsidRPr="00931CC2">
              <w:rPr>
                <w:rFonts w:ascii="Arial" w:hAnsi="Arial" w:cs="Arial"/>
                <w:b/>
                <w:bCs/>
                <w:szCs w:val="22"/>
                <w:lang w:val="fr"/>
              </w:rPr>
              <w:t>appréciation</w:t>
            </w:r>
          </w:p>
        </w:tc>
        <w:tc>
          <w:tcPr>
            <w:tcW w:w="4214" w:type="pct"/>
            <w:gridSpan w:val="2"/>
            <w:shd w:val="clear" w:color="auto" w:fill="auto"/>
          </w:tcPr>
          <w:p w14:paraId="5ADCA480" w14:textId="77777777" w:rsidR="005B0FE5" w:rsidRPr="000B4C82" w:rsidRDefault="005B0FE5" w:rsidP="00946D71">
            <w:pPr>
              <w:keepLines/>
              <w:spacing w:before="120"/>
              <w:jc w:val="both"/>
              <w:rPr>
                <w:rFonts w:ascii="Arial" w:hAnsi="Arial" w:cs="Arial"/>
                <w:b/>
                <w:szCs w:val="22"/>
                <w:lang w:val="fr-FR"/>
              </w:rPr>
            </w:pPr>
            <w:r>
              <w:rPr>
                <w:rFonts w:ascii="Arial" w:hAnsi="Arial" w:cs="Arial"/>
                <w:szCs w:val="22"/>
                <w:lang w:val="fr"/>
              </w:rPr>
              <w:t>Cet indicateur est évalué sur la base de quatre facteurs nationaux suivis et rapportés par chaque État partie :</w:t>
            </w:r>
          </w:p>
        </w:tc>
      </w:tr>
      <w:tr w:rsidR="00B32CA3" w:rsidRPr="00F866CD" w14:paraId="0BBCD4E9" w14:textId="77777777" w:rsidTr="00FE1E5C">
        <w:trPr>
          <w:cantSplit/>
        </w:trPr>
        <w:tc>
          <w:tcPr>
            <w:tcW w:w="786" w:type="pct"/>
            <w:vMerge/>
            <w:shd w:val="clear" w:color="auto" w:fill="auto"/>
          </w:tcPr>
          <w:p w14:paraId="51F527FB" w14:textId="77777777" w:rsidR="00B32CA3" w:rsidRPr="000B4C82" w:rsidRDefault="00B32CA3" w:rsidP="00B32CA3">
            <w:pPr>
              <w:spacing w:before="120"/>
              <w:rPr>
                <w:rFonts w:ascii="Arial" w:hAnsi="Arial" w:cs="Arial"/>
                <w:b/>
                <w:szCs w:val="22"/>
                <w:lang w:val="fr-FR"/>
              </w:rPr>
            </w:pPr>
          </w:p>
        </w:tc>
        <w:tc>
          <w:tcPr>
            <w:tcW w:w="3418" w:type="pct"/>
            <w:shd w:val="clear" w:color="auto" w:fill="auto"/>
            <w:vAlign w:val="center"/>
          </w:tcPr>
          <w:p w14:paraId="450BA1B9" w14:textId="77777777" w:rsidR="00B32CA3" w:rsidRPr="000B4C82" w:rsidRDefault="00B32CA3" w:rsidP="00B32CA3">
            <w:pPr>
              <w:numPr>
                <w:ilvl w:val="1"/>
                <w:numId w:val="75"/>
              </w:numPr>
              <w:spacing w:before="60" w:after="60"/>
              <w:ind w:left="567" w:hanging="567"/>
              <w:rPr>
                <w:rFonts w:ascii="Arial" w:eastAsia="Calibri" w:hAnsi="Arial" w:cs="Arial"/>
                <w:vanish/>
                <w:sz w:val="20"/>
                <w:szCs w:val="20"/>
                <w:lang w:val="fr-FR"/>
              </w:rPr>
            </w:pPr>
            <w:r>
              <w:rPr>
                <w:rFonts w:ascii="Arial" w:eastAsia="Calibri" w:hAnsi="Arial" w:cs="Arial"/>
                <w:sz w:val="20"/>
                <w:szCs w:val="20"/>
                <w:lang w:val="fr"/>
              </w:rPr>
              <w:t xml:space="preserve">Une coopération bilatérale, multilatérale, régionale ou internationale est entreprise pour mettre en œuvre des mesures de sauvegarde du PCI en général. </w:t>
            </w:r>
          </w:p>
        </w:tc>
        <w:tc>
          <w:tcPr>
            <w:tcW w:w="796" w:type="pct"/>
            <w:shd w:val="clear" w:color="auto" w:fill="auto"/>
            <w:vAlign w:val="center"/>
          </w:tcPr>
          <w:p w14:paraId="6A48125E" w14:textId="77777777" w:rsidR="00B32CA3" w:rsidRDefault="00B32CA3" w:rsidP="00B32CA3">
            <w:pPr>
              <w:spacing w:before="60" w:after="60"/>
              <w:rPr>
                <w:rFonts w:ascii="Arial" w:hAnsi="Arial" w:cs="Arial"/>
                <w:sz w:val="20"/>
                <w:szCs w:val="20"/>
              </w:rPr>
            </w:pPr>
            <w:r>
              <w:rPr>
                <w:rFonts w:ascii="Arial" w:hAnsi="Arial" w:cs="Arial"/>
                <w:sz w:val="20"/>
                <w:szCs w:val="20"/>
                <w:lang w:val="fr"/>
              </w:rPr>
              <w:t>Article 19</w:t>
            </w:r>
          </w:p>
          <w:p w14:paraId="69F58A05" w14:textId="77777777" w:rsidR="00B32CA3" w:rsidRDefault="00B32CA3" w:rsidP="00B32CA3">
            <w:pPr>
              <w:spacing w:before="60" w:after="60"/>
              <w:rPr>
                <w:rFonts w:ascii="Arial" w:hAnsi="Arial" w:cs="Arial"/>
                <w:sz w:val="20"/>
                <w:szCs w:val="20"/>
              </w:rPr>
            </w:pPr>
            <w:r>
              <w:rPr>
                <w:rFonts w:ascii="Arial" w:hAnsi="Arial" w:cs="Arial"/>
                <w:sz w:val="20"/>
                <w:szCs w:val="20"/>
                <w:lang w:val="fr"/>
              </w:rPr>
              <w:t>DO 86</w:t>
            </w:r>
          </w:p>
        </w:tc>
      </w:tr>
      <w:tr w:rsidR="00B32CA3" w:rsidRPr="00F866CD" w14:paraId="57B32301" w14:textId="77777777" w:rsidTr="00FE1E5C">
        <w:trPr>
          <w:cantSplit/>
        </w:trPr>
        <w:tc>
          <w:tcPr>
            <w:tcW w:w="786" w:type="pct"/>
            <w:vMerge/>
            <w:shd w:val="clear" w:color="auto" w:fill="auto"/>
          </w:tcPr>
          <w:p w14:paraId="6640A21E" w14:textId="77777777" w:rsidR="00B32CA3" w:rsidRPr="00F866CD" w:rsidRDefault="00B32CA3" w:rsidP="00B32CA3">
            <w:pPr>
              <w:spacing w:before="120"/>
              <w:rPr>
                <w:rFonts w:ascii="Arial" w:hAnsi="Arial" w:cs="Arial"/>
                <w:b/>
                <w:szCs w:val="22"/>
              </w:rPr>
            </w:pPr>
          </w:p>
        </w:tc>
        <w:tc>
          <w:tcPr>
            <w:tcW w:w="3418" w:type="pct"/>
            <w:shd w:val="clear" w:color="auto" w:fill="auto"/>
            <w:vAlign w:val="center"/>
          </w:tcPr>
          <w:p w14:paraId="589850EF" w14:textId="2D61DF16" w:rsidR="00B32CA3" w:rsidRPr="000B4C82" w:rsidRDefault="00B32CA3" w:rsidP="00B32CA3">
            <w:pPr>
              <w:numPr>
                <w:ilvl w:val="1"/>
                <w:numId w:val="75"/>
              </w:numPr>
              <w:spacing w:before="60" w:after="60"/>
              <w:ind w:left="567" w:hanging="567"/>
              <w:rPr>
                <w:rFonts w:ascii="Arial" w:eastAsia="Calibri" w:hAnsi="Arial" w:cs="Arial"/>
                <w:sz w:val="20"/>
                <w:szCs w:val="20"/>
                <w:lang w:val="fr-FR"/>
              </w:rPr>
            </w:pPr>
            <w:r>
              <w:rPr>
                <w:rFonts w:ascii="Arial" w:eastAsia="Calibri" w:hAnsi="Arial" w:cs="Arial"/>
                <w:sz w:val="20"/>
                <w:szCs w:val="20"/>
                <w:lang w:val="fr"/>
              </w:rPr>
              <w:t xml:space="preserve">Une coopération bilatérale, multilatérale, régionale ou internationale est entreprise pour mettre en œuvre des mesures de sauvegarde pour des éléments spécifiques du PCI, notamment ceux en danger, ceux présents sur les territoires de plusieurs </w:t>
            </w:r>
            <w:r w:rsidR="00734A10">
              <w:rPr>
                <w:rFonts w:ascii="Arial" w:eastAsia="Calibri" w:hAnsi="Arial" w:cs="Arial"/>
                <w:sz w:val="20"/>
                <w:szCs w:val="20"/>
                <w:lang w:val="fr"/>
              </w:rPr>
              <w:t>États</w:t>
            </w:r>
            <w:r>
              <w:rPr>
                <w:rFonts w:ascii="Arial" w:eastAsia="Calibri" w:hAnsi="Arial" w:cs="Arial"/>
                <w:sz w:val="20"/>
                <w:szCs w:val="20"/>
                <w:lang w:val="fr"/>
              </w:rPr>
              <w:t xml:space="preserve"> et les éléments transfrontaliers.</w:t>
            </w:r>
          </w:p>
        </w:tc>
        <w:tc>
          <w:tcPr>
            <w:tcW w:w="796" w:type="pct"/>
            <w:shd w:val="clear" w:color="auto" w:fill="auto"/>
            <w:vAlign w:val="center"/>
          </w:tcPr>
          <w:p w14:paraId="6665BA36" w14:textId="77777777" w:rsidR="00B32CA3" w:rsidRDefault="00435CBC" w:rsidP="00B32CA3">
            <w:pPr>
              <w:spacing w:before="60" w:after="60"/>
              <w:rPr>
                <w:rFonts w:ascii="Arial" w:hAnsi="Arial" w:cs="Arial"/>
                <w:sz w:val="20"/>
                <w:szCs w:val="20"/>
              </w:rPr>
            </w:pPr>
            <w:r>
              <w:rPr>
                <w:rFonts w:ascii="Arial" w:hAnsi="Arial" w:cs="Arial"/>
                <w:sz w:val="20"/>
                <w:szCs w:val="20"/>
                <w:lang w:val="fr"/>
              </w:rPr>
              <w:t>Article 19</w:t>
            </w:r>
          </w:p>
          <w:p w14:paraId="67A59E34" w14:textId="77777777" w:rsidR="00830ABE" w:rsidRDefault="00830ABE" w:rsidP="00B32CA3">
            <w:pPr>
              <w:spacing w:before="60" w:after="60"/>
              <w:rPr>
                <w:rFonts w:ascii="Arial" w:hAnsi="Arial" w:cs="Arial"/>
                <w:sz w:val="20"/>
                <w:szCs w:val="20"/>
              </w:rPr>
            </w:pPr>
            <w:r>
              <w:rPr>
                <w:rFonts w:ascii="Arial" w:hAnsi="Arial" w:cs="Arial"/>
                <w:sz w:val="20"/>
                <w:szCs w:val="20"/>
                <w:lang w:val="fr"/>
              </w:rPr>
              <w:t>DO 13,</w:t>
            </w:r>
            <w:r>
              <w:rPr>
                <w:rFonts w:ascii="Arial" w:hAnsi="Arial" w:cs="Arial"/>
                <w:sz w:val="20"/>
                <w:szCs w:val="20"/>
                <w:lang w:val="fr"/>
              </w:rPr>
              <w:br/>
              <w:t>DO 14,</w:t>
            </w:r>
            <w:r>
              <w:rPr>
                <w:rFonts w:ascii="Arial" w:hAnsi="Arial" w:cs="Arial"/>
                <w:sz w:val="20"/>
                <w:szCs w:val="20"/>
                <w:lang w:val="fr"/>
              </w:rPr>
              <w:br/>
              <w:t>DO 15</w:t>
            </w:r>
          </w:p>
        </w:tc>
      </w:tr>
      <w:tr w:rsidR="00B32CA3" w:rsidRPr="00F866CD" w14:paraId="7184E5CF" w14:textId="77777777" w:rsidTr="00FE1E5C">
        <w:trPr>
          <w:cantSplit/>
        </w:trPr>
        <w:tc>
          <w:tcPr>
            <w:tcW w:w="786" w:type="pct"/>
            <w:vMerge/>
            <w:shd w:val="clear" w:color="auto" w:fill="auto"/>
          </w:tcPr>
          <w:p w14:paraId="0E52CFB5" w14:textId="77777777" w:rsidR="00B32CA3" w:rsidRPr="00F866CD" w:rsidRDefault="00B32CA3" w:rsidP="00B32CA3">
            <w:pPr>
              <w:spacing w:before="120"/>
              <w:rPr>
                <w:rFonts w:ascii="Arial" w:hAnsi="Arial" w:cs="Arial"/>
                <w:b/>
                <w:szCs w:val="22"/>
              </w:rPr>
            </w:pPr>
          </w:p>
        </w:tc>
        <w:tc>
          <w:tcPr>
            <w:tcW w:w="3418" w:type="pct"/>
            <w:shd w:val="clear" w:color="auto" w:fill="auto"/>
            <w:vAlign w:val="center"/>
          </w:tcPr>
          <w:p w14:paraId="19F70D47" w14:textId="77777777" w:rsidR="00B32CA3" w:rsidRPr="000B4C82" w:rsidRDefault="00B32CA3" w:rsidP="00B32CA3">
            <w:pPr>
              <w:numPr>
                <w:ilvl w:val="1"/>
                <w:numId w:val="75"/>
              </w:numPr>
              <w:spacing w:before="60" w:after="60"/>
              <w:ind w:left="567" w:hanging="567"/>
              <w:rPr>
                <w:rFonts w:ascii="Arial" w:eastAsia="Calibri" w:hAnsi="Arial" w:cs="Arial"/>
                <w:sz w:val="20"/>
                <w:szCs w:val="20"/>
                <w:lang w:val="fr-FR"/>
              </w:rPr>
            </w:pPr>
            <w:r>
              <w:rPr>
                <w:rFonts w:ascii="Arial" w:eastAsia="Calibri" w:hAnsi="Arial" w:cs="Arial"/>
                <w:sz w:val="20"/>
                <w:szCs w:val="20"/>
                <w:lang w:val="fr"/>
              </w:rPr>
              <w:t>Des informations et des expériences sur le PCI et sa sauvegarde, y compris sur des bonnes pratiques de sauvegarde, sont échangées avec d’autres États parties.</w:t>
            </w:r>
          </w:p>
        </w:tc>
        <w:tc>
          <w:tcPr>
            <w:tcW w:w="796" w:type="pct"/>
            <w:shd w:val="clear" w:color="auto" w:fill="auto"/>
            <w:vAlign w:val="center"/>
          </w:tcPr>
          <w:p w14:paraId="35C50AF3" w14:textId="77777777" w:rsidR="00B32CA3" w:rsidRDefault="00B32CA3" w:rsidP="00B32CA3">
            <w:pPr>
              <w:spacing w:before="60" w:after="60"/>
              <w:rPr>
                <w:rFonts w:ascii="Arial" w:hAnsi="Arial" w:cs="Arial"/>
                <w:sz w:val="20"/>
                <w:szCs w:val="20"/>
              </w:rPr>
            </w:pPr>
            <w:r>
              <w:rPr>
                <w:rFonts w:ascii="Arial" w:hAnsi="Arial" w:cs="Arial"/>
                <w:sz w:val="20"/>
                <w:szCs w:val="20"/>
                <w:lang w:val="fr"/>
              </w:rPr>
              <w:t>Article 19</w:t>
            </w:r>
          </w:p>
          <w:p w14:paraId="6341E1EB" w14:textId="77777777" w:rsidR="00B32CA3" w:rsidRDefault="00B32CA3" w:rsidP="00B32CA3">
            <w:pPr>
              <w:spacing w:before="60" w:after="60"/>
              <w:rPr>
                <w:rFonts w:ascii="Arial" w:hAnsi="Arial" w:cs="Arial"/>
                <w:sz w:val="20"/>
                <w:szCs w:val="20"/>
              </w:rPr>
            </w:pPr>
            <w:r>
              <w:rPr>
                <w:rFonts w:ascii="Arial" w:hAnsi="Arial" w:cs="Arial"/>
                <w:sz w:val="20"/>
                <w:szCs w:val="20"/>
                <w:lang w:val="fr"/>
              </w:rPr>
              <w:t xml:space="preserve">DO 156, </w:t>
            </w:r>
            <w:r>
              <w:rPr>
                <w:rFonts w:ascii="Arial" w:hAnsi="Arial" w:cs="Arial"/>
                <w:sz w:val="20"/>
                <w:szCs w:val="20"/>
                <w:lang w:val="fr"/>
              </w:rPr>
              <w:br/>
              <w:t>DO 193</w:t>
            </w:r>
          </w:p>
        </w:tc>
      </w:tr>
      <w:tr w:rsidR="00B32CA3" w:rsidRPr="00F866CD" w14:paraId="749328BA" w14:textId="77777777" w:rsidTr="00FE1E5C">
        <w:trPr>
          <w:cantSplit/>
        </w:trPr>
        <w:tc>
          <w:tcPr>
            <w:tcW w:w="786" w:type="pct"/>
            <w:vMerge/>
            <w:shd w:val="clear" w:color="auto" w:fill="auto"/>
          </w:tcPr>
          <w:p w14:paraId="1271368E" w14:textId="77777777" w:rsidR="00B32CA3" w:rsidRPr="00F866CD" w:rsidRDefault="00B32CA3" w:rsidP="00B32CA3">
            <w:pPr>
              <w:spacing w:before="120"/>
              <w:rPr>
                <w:rFonts w:ascii="Arial" w:hAnsi="Arial" w:cs="Arial"/>
                <w:b/>
                <w:szCs w:val="22"/>
              </w:rPr>
            </w:pPr>
          </w:p>
        </w:tc>
        <w:tc>
          <w:tcPr>
            <w:tcW w:w="3418" w:type="pct"/>
            <w:shd w:val="clear" w:color="auto" w:fill="auto"/>
            <w:vAlign w:val="center"/>
          </w:tcPr>
          <w:p w14:paraId="1C469EE9" w14:textId="77777777" w:rsidR="00B32CA3" w:rsidRPr="000B4C82" w:rsidRDefault="00B32CA3" w:rsidP="00B32CA3">
            <w:pPr>
              <w:numPr>
                <w:ilvl w:val="1"/>
                <w:numId w:val="75"/>
              </w:numPr>
              <w:spacing w:before="60" w:after="60"/>
              <w:ind w:left="567" w:hanging="567"/>
              <w:rPr>
                <w:rFonts w:ascii="Arial" w:eastAsia="Calibri" w:hAnsi="Arial" w:cs="Arial"/>
                <w:sz w:val="20"/>
                <w:szCs w:val="20"/>
                <w:lang w:val="fr-FR"/>
              </w:rPr>
            </w:pPr>
            <w:r>
              <w:rPr>
                <w:rFonts w:ascii="Arial" w:eastAsia="Calibri" w:hAnsi="Arial" w:cs="Arial"/>
                <w:sz w:val="20"/>
                <w:szCs w:val="20"/>
                <w:lang w:val="fr"/>
              </w:rPr>
              <w:t>La documentation sur un élément du PCI présent sur le territoire d’un autre État partie est partagée avec celui-ci.</w:t>
            </w:r>
          </w:p>
        </w:tc>
        <w:tc>
          <w:tcPr>
            <w:tcW w:w="796" w:type="pct"/>
            <w:shd w:val="clear" w:color="auto" w:fill="auto"/>
            <w:vAlign w:val="center"/>
          </w:tcPr>
          <w:p w14:paraId="5C4B0265" w14:textId="77777777" w:rsidR="00B32CA3" w:rsidRDefault="00B32CA3" w:rsidP="00B32CA3">
            <w:pPr>
              <w:spacing w:before="60" w:after="60"/>
              <w:rPr>
                <w:rFonts w:ascii="Arial" w:hAnsi="Arial" w:cs="Arial"/>
                <w:sz w:val="20"/>
                <w:szCs w:val="20"/>
              </w:rPr>
            </w:pPr>
            <w:r>
              <w:rPr>
                <w:rFonts w:ascii="Arial" w:hAnsi="Arial" w:cs="Arial"/>
                <w:sz w:val="20"/>
                <w:szCs w:val="20"/>
                <w:lang w:val="fr"/>
              </w:rPr>
              <w:t>Article 19</w:t>
            </w:r>
          </w:p>
          <w:p w14:paraId="44A7CDE8" w14:textId="77777777" w:rsidR="00B32CA3" w:rsidRDefault="00B32CA3" w:rsidP="00B32CA3">
            <w:pPr>
              <w:spacing w:before="60" w:after="60"/>
              <w:rPr>
                <w:rFonts w:ascii="Arial" w:hAnsi="Arial" w:cs="Arial"/>
                <w:sz w:val="20"/>
                <w:szCs w:val="20"/>
              </w:rPr>
            </w:pPr>
            <w:r>
              <w:rPr>
                <w:rFonts w:ascii="Arial" w:hAnsi="Arial" w:cs="Arial"/>
                <w:sz w:val="20"/>
                <w:szCs w:val="20"/>
                <w:lang w:val="fr"/>
              </w:rPr>
              <w:t>DO 87</w:t>
            </w:r>
          </w:p>
        </w:tc>
      </w:tr>
      <w:tr w:rsidR="005473CF" w:rsidRPr="00110744" w14:paraId="5A03C59C" w14:textId="77777777" w:rsidTr="00FE1E5C">
        <w:trPr>
          <w:cantSplit/>
        </w:trPr>
        <w:tc>
          <w:tcPr>
            <w:tcW w:w="786" w:type="pct"/>
            <w:shd w:val="clear" w:color="auto" w:fill="auto"/>
          </w:tcPr>
          <w:p w14:paraId="4C8E538B" w14:textId="77777777" w:rsidR="005473CF" w:rsidRPr="000B4C82" w:rsidRDefault="005473CF" w:rsidP="005473CF">
            <w:pPr>
              <w:spacing w:before="120"/>
              <w:rPr>
                <w:rFonts w:ascii="Arial" w:hAnsi="Arial" w:cs="Arial"/>
                <w:b/>
                <w:szCs w:val="22"/>
                <w:lang w:val="fr-FR"/>
              </w:rPr>
            </w:pPr>
            <w:r>
              <w:rPr>
                <w:rFonts w:ascii="Arial" w:hAnsi="Arial" w:cs="Arial"/>
                <w:b/>
                <w:bCs/>
                <w:szCs w:val="22"/>
                <w:lang w:val="fr"/>
              </w:rPr>
              <w:t>Relation avec les ODD et autres indicateurs</w:t>
            </w:r>
          </w:p>
        </w:tc>
        <w:tc>
          <w:tcPr>
            <w:tcW w:w="4214" w:type="pct"/>
            <w:gridSpan w:val="2"/>
            <w:shd w:val="clear" w:color="auto" w:fill="auto"/>
          </w:tcPr>
          <w:p w14:paraId="0B27CB99" w14:textId="1EB8083D" w:rsidR="005473CF" w:rsidRPr="000B4C82" w:rsidRDefault="005473CF" w:rsidP="005473CF">
            <w:pPr>
              <w:keepLines/>
              <w:spacing w:before="120"/>
              <w:jc w:val="both"/>
              <w:rPr>
                <w:rFonts w:ascii="Arial" w:hAnsi="Arial" w:cs="Arial"/>
                <w:szCs w:val="22"/>
                <w:lang w:val="fr-FR"/>
              </w:rPr>
            </w:pPr>
            <w:r>
              <w:rPr>
                <w:rFonts w:ascii="Arial" w:hAnsi="Arial" w:cs="Arial"/>
                <w:b/>
                <w:bCs/>
                <w:szCs w:val="22"/>
                <w:lang w:val="fr"/>
              </w:rPr>
              <w:t xml:space="preserve">Objectifs de développement durable : </w:t>
            </w:r>
            <w:r>
              <w:rPr>
                <w:rFonts w:ascii="Arial" w:hAnsi="Arial" w:cs="Arial"/>
                <w:szCs w:val="22"/>
                <w:lang w:val="fr"/>
              </w:rPr>
              <w:t>Comme tous les indicateurs, le présent indicateur soutient l</w:t>
            </w:r>
            <w:r w:rsidR="00240A95">
              <w:rPr>
                <w:rFonts w:ascii="Arial" w:hAnsi="Arial" w:cs="Arial"/>
                <w:szCs w:val="22"/>
                <w:lang w:val="fr"/>
              </w:rPr>
              <w:t>a cible</w:t>
            </w:r>
            <w:r>
              <w:rPr>
                <w:rFonts w:ascii="Arial" w:hAnsi="Arial" w:cs="Arial"/>
                <w:szCs w:val="22"/>
                <w:lang w:val="fr"/>
              </w:rPr>
              <w:t xml:space="preserve"> 11.4 des ODD, « Renforcer les efforts pour protéger et sauvegarder le patrimoine culturel et naturel mondial. ».</w:t>
            </w:r>
          </w:p>
          <w:p w14:paraId="10BA66BB" w14:textId="27A2E03C" w:rsidR="005473CF" w:rsidRPr="000B4C82" w:rsidRDefault="005473CF" w:rsidP="00E17B02">
            <w:pPr>
              <w:keepLines/>
              <w:spacing w:before="120"/>
              <w:jc w:val="both"/>
              <w:rPr>
                <w:rFonts w:ascii="Arial" w:hAnsi="Arial" w:cs="Arial"/>
                <w:b/>
                <w:szCs w:val="22"/>
                <w:lang w:val="fr-FR"/>
              </w:rPr>
            </w:pPr>
            <w:r>
              <w:rPr>
                <w:rFonts w:ascii="Arial" w:hAnsi="Arial" w:cs="Arial"/>
                <w:b/>
                <w:bCs/>
                <w:szCs w:val="22"/>
                <w:lang w:val="fr"/>
              </w:rPr>
              <w:t>Relation avec d'autres indicateurs :</w:t>
            </w:r>
            <w:r>
              <w:rPr>
                <w:rFonts w:ascii="Arial" w:hAnsi="Arial" w:cs="Arial"/>
                <w:szCs w:val="22"/>
                <w:lang w:val="fr"/>
              </w:rPr>
              <w:t xml:space="preserve"> Lorsque de nombreux autres indicateurs sont axés sur les efforts déployés au sein d'un État pour la sauvegarde du PCI présent sur son territoire, l'indicateur actuel porte en particulier sur sa coopération avec d'autres pays pour la sauvegarde du PCI en général et des éléments spécifiques du PCI présents sur les territoires de plusieurs États ainsi que des éléments transfrontaliers. Il complète donc les indicateurs 9 et 10 en ce qui concerne la documentation ainsi que l'indicateur 19, qui concerne les bonnes pratiques de sauvegarde. Étant donné que la sauvegarde du PCI couvre la plupart des indicateurs, les activités couvertes ici sont donc complémentaires de ces efforts nationaux. L'indicateur 25 concerne les institutions et les acteurs qui mènent des activités de coopération internationale en matière de sauvegarde, y compris celles décrites ici.</w:t>
            </w:r>
          </w:p>
        </w:tc>
      </w:tr>
      <w:tr w:rsidR="00896177" w:rsidRPr="00110744" w14:paraId="046DA3CA" w14:textId="77777777" w:rsidTr="00FE1E5C">
        <w:trPr>
          <w:cantSplit/>
        </w:trPr>
        <w:tc>
          <w:tcPr>
            <w:tcW w:w="786" w:type="pct"/>
            <w:shd w:val="clear" w:color="auto" w:fill="auto"/>
          </w:tcPr>
          <w:p w14:paraId="5DC0DBEB" w14:textId="77777777" w:rsidR="00896177" w:rsidRPr="00F866CD" w:rsidRDefault="002C28BA" w:rsidP="00A7283F">
            <w:pPr>
              <w:spacing w:before="120"/>
              <w:rPr>
                <w:rFonts w:ascii="Arial" w:hAnsi="Arial" w:cs="Arial"/>
                <w:b/>
                <w:szCs w:val="22"/>
              </w:rPr>
            </w:pPr>
            <w:r>
              <w:rPr>
                <w:rFonts w:ascii="Arial" w:hAnsi="Arial" w:cs="Arial"/>
                <w:b/>
                <w:bCs/>
                <w:szCs w:val="22"/>
                <w:lang w:val="fr"/>
              </w:rPr>
              <w:t>Justification de l'action</w:t>
            </w:r>
          </w:p>
        </w:tc>
        <w:tc>
          <w:tcPr>
            <w:tcW w:w="4214" w:type="pct"/>
            <w:gridSpan w:val="2"/>
            <w:shd w:val="clear" w:color="auto" w:fill="auto"/>
          </w:tcPr>
          <w:p w14:paraId="4AC1B5F0" w14:textId="1520DD4F" w:rsidR="00704766" w:rsidRPr="000B4C82" w:rsidRDefault="00435CBC" w:rsidP="00D3447C">
            <w:pPr>
              <w:keepLines/>
              <w:spacing w:before="120"/>
              <w:jc w:val="both"/>
              <w:rPr>
                <w:rFonts w:asciiTheme="minorBidi" w:hAnsiTheme="minorBidi" w:cstheme="minorBidi"/>
                <w:szCs w:val="22"/>
                <w:lang w:val="fr-FR"/>
              </w:rPr>
            </w:pPr>
            <w:r>
              <w:rPr>
                <w:rFonts w:asciiTheme="minorBidi" w:hAnsiTheme="minorBidi" w:cstheme="minorBidi"/>
                <w:szCs w:val="22"/>
                <w:lang w:val="fr"/>
              </w:rPr>
              <w:t xml:space="preserve">L'un des quatre </w:t>
            </w:r>
            <w:r w:rsidR="00382529">
              <w:rPr>
                <w:rFonts w:asciiTheme="minorBidi" w:hAnsiTheme="minorBidi" w:cstheme="minorBidi"/>
                <w:szCs w:val="22"/>
                <w:lang w:val="fr"/>
              </w:rPr>
              <w:t xml:space="preserve">buts </w:t>
            </w:r>
            <w:r>
              <w:rPr>
                <w:rFonts w:asciiTheme="minorBidi" w:hAnsiTheme="minorBidi" w:cstheme="minorBidi"/>
                <w:szCs w:val="22"/>
                <w:lang w:val="fr"/>
              </w:rPr>
              <w:t>de la Convention est « d'assurer la coopération et l’assistance internationales. » (Article 1(d)). La Convention définit en outre la coopération internationale comme « l’échange d’informations et d’expériences, des initiatives communes », entre autres choses (Article 19). Les États « s’engagent, à cette fin, à coopérer aux niveaux bilatéral, sous-régional, régional et international » (Article 19), et leurs actions de coopération internationale sont donc conformes aux principes fondamentaux de la Convention. La coopération bilatérale et multilatérale entre les États reflète également l'esprit de coopération de la Convention.</w:t>
            </w:r>
          </w:p>
        </w:tc>
      </w:tr>
      <w:tr w:rsidR="00704766" w:rsidRPr="00F866CD" w14:paraId="3442167F" w14:textId="77777777" w:rsidTr="00FE1E5C">
        <w:trPr>
          <w:cantSplit/>
        </w:trPr>
        <w:tc>
          <w:tcPr>
            <w:tcW w:w="786" w:type="pct"/>
            <w:shd w:val="clear" w:color="auto" w:fill="auto"/>
          </w:tcPr>
          <w:p w14:paraId="62D6799B" w14:textId="77777777" w:rsidR="00704766" w:rsidRPr="00F866CD" w:rsidRDefault="00704766" w:rsidP="00BE5B3F">
            <w:pPr>
              <w:spacing w:before="120" w:after="60"/>
              <w:jc w:val="both"/>
              <w:rPr>
                <w:rFonts w:asciiTheme="minorBidi" w:hAnsiTheme="minorBidi" w:cstheme="minorBidi"/>
                <w:b/>
                <w:szCs w:val="22"/>
              </w:rPr>
            </w:pPr>
            <w:r>
              <w:rPr>
                <w:rFonts w:asciiTheme="minorBidi" w:hAnsiTheme="minorBidi" w:cstheme="minorBidi"/>
                <w:b/>
                <w:bCs/>
                <w:szCs w:val="22"/>
                <w:lang w:val="fr"/>
              </w:rPr>
              <w:t>Termes clés</w:t>
            </w:r>
          </w:p>
        </w:tc>
        <w:tc>
          <w:tcPr>
            <w:tcW w:w="4214" w:type="pct"/>
            <w:gridSpan w:val="2"/>
            <w:shd w:val="clear" w:color="auto" w:fill="auto"/>
          </w:tcPr>
          <w:p w14:paraId="59040E17" w14:textId="77777777" w:rsidR="00704766" w:rsidRDefault="00AE5021"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Régional</w:t>
            </w:r>
          </w:p>
          <w:p w14:paraId="0B9D7FF2" w14:textId="77777777" w:rsidR="00AE5021" w:rsidRPr="00F866CD" w:rsidRDefault="00AE5021"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Éléments du PCI</w:t>
            </w:r>
          </w:p>
        </w:tc>
      </w:tr>
    </w:tbl>
    <w:p w14:paraId="6665C6B9" w14:textId="77777777" w:rsidR="0054175C" w:rsidRPr="00F866CD" w:rsidRDefault="0054175C" w:rsidP="0054175C">
      <w:pPr>
        <w:jc w:val="center"/>
        <w:rPr>
          <w:rFonts w:ascii="Arial" w:hAnsi="Arial" w:cs="Arial"/>
          <w:b/>
          <w:sz w:val="24"/>
        </w:rPr>
        <w:sectPr w:rsidR="0054175C" w:rsidRPr="00F866CD" w:rsidSect="000F25BA">
          <w:footerReference w:type="default" r:id="rId8"/>
          <w:pgSz w:w="11906" w:h="16838" w:code="9"/>
          <w:pgMar w:top="1418" w:right="1134" w:bottom="1134" w:left="1134" w:header="397" w:footer="284" w:gutter="0"/>
          <w:cols w:space="708"/>
          <w:docGrid w:linePitch="360"/>
        </w:sectPr>
      </w:pPr>
    </w:p>
    <w:p w14:paraId="69859713" w14:textId="77777777" w:rsidR="0054175C" w:rsidRPr="000B4C82" w:rsidRDefault="0054175C" w:rsidP="00704766">
      <w:pPr>
        <w:jc w:val="center"/>
        <w:rPr>
          <w:rFonts w:ascii="Arial" w:hAnsi="Arial" w:cs="Arial"/>
          <w:b/>
          <w:sz w:val="24"/>
          <w:lang w:val="fr-FR"/>
        </w:rPr>
      </w:pPr>
      <w:r>
        <w:rPr>
          <w:rFonts w:ascii="Arial" w:hAnsi="Arial" w:cs="Arial"/>
          <w:b/>
          <w:bCs/>
          <w:sz w:val="24"/>
          <w:lang w:val="fr"/>
        </w:rPr>
        <w:t>Orientations spécifiques sur le suivi et l'établissement de rapports périodiques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8"/>
        <w:gridCol w:w="8190"/>
      </w:tblGrid>
      <w:tr w:rsidR="009C0510" w:rsidRPr="00110744" w14:paraId="69223C72" w14:textId="77777777" w:rsidTr="006E6AC6">
        <w:tc>
          <w:tcPr>
            <w:tcW w:w="747" w:type="pct"/>
            <w:shd w:val="clear" w:color="auto" w:fill="auto"/>
          </w:tcPr>
          <w:p w14:paraId="45019502" w14:textId="77777777" w:rsidR="002C28BA" w:rsidRPr="00F866CD" w:rsidRDefault="002C28BA" w:rsidP="006B0DB6">
            <w:pPr>
              <w:spacing w:before="120"/>
              <w:rPr>
                <w:rFonts w:ascii="Arial" w:hAnsi="Arial" w:cs="Arial"/>
                <w:b/>
                <w:szCs w:val="22"/>
              </w:rPr>
            </w:pPr>
            <w:r>
              <w:rPr>
                <w:rFonts w:ascii="Arial" w:hAnsi="Arial" w:cs="Arial"/>
                <w:b/>
                <w:bCs/>
                <w:szCs w:val="22"/>
                <w:lang w:val="fr"/>
              </w:rPr>
              <w:lastRenderedPageBreak/>
              <w:t>Avantages du suivi</w:t>
            </w:r>
          </w:p>
        </w:tc>
        <w:tc>
          <w:tcPr>
            <w:tcW w:w="4253" w:type="pct"/>
            <w:shd w:val="clear" w:color="auto" w:fill="auto"/>
          </w:tcPr>
          <w:p w14:paraId="68BE5726" w14:textId="457AD89E" w:rsidR="002C28BA" w:rsidRPr="000B4C82" w:rsidRDefault="00D543EF" w:rsidP="00110A9D">
            <w:pPr>
              <w:keepLines/>
              <w:spacing w:before="120"/>
              <w:jc w:val="both"/>
              <w:rPr>
                <w:rFonts w:ascii="Arial" w:hAnsi="Arial" w:cs="Arial"/>
                <w:bCs/>
                <w:szCs w:val="22"/>
                <w:lang w:val="fr-FR"/>
              </w:rPr>
            </w:pPr>
            <w:r>
              <w:rPr>
                <w:rFonts w:ascii="Arial" w:hAnsi="Arial" w:cs="Arial"/>
                <w:szCs w:val="22"/>
                <w:lang w:val="fr"/>
              </w:rPr>
              <w:t>Le suivi de cet indicateur peut aider chaque État à évaluer dans quelle mesure il tire parti des possibilités de coopération avec d'autres États, en plus des mesures de sauvegarde qu'il prend lui-même. Le suivi peut également l'aider à identifier d'autres possibilités, non encore exploitées, pour une telle coopération. Au niveau mondial, le suivi de cet indicateur peut mettre en évidence la multiplicité des actions bilatérales et multilatérales entreprises dans l'esprit de la Convention mais menées indépendamment des organes directeurs de la Convention.</w:t>
            </w:r>
          </w:p>
        </w:tc>
      </w:tr>
      <w:tr w:rsidR="0054175C" w:rsidRPr="00110744" w14:paraId="4ACB3F92" w14:textId="77777777" w:rsidTr="006E6AC6">
        <w:tc>
          <w:tcPr>
            <w:tcW w:w="747" w:type="pct"/>
            <w:shd w:val="clear" w:color="auto" w:fill="auto"/>
          </w:tcPr>
          <w:p w14:paraId="6175D3FA" w14:textId="77777777" w:rsidR="0054175C" w:rsidRPr="000B4C82" w:rsidRDefault="0054175C" w:rsidP="0054175C">
            <w:pPr>
              <w:spacing w:before="120"/>
              <w:rPr>
                <w:rFonts w:ascii="Arial" w:hAnsi="Arial" w:cs="Arial"/>
                <w:b/>
                <w:szCs w:val="22"/>
                <w:lang w:val="fr-FR"/>
              </w:rPr>
            </w:pPr>
            <w:r>
              <w:rPr>
                <w:rFonts w:ascii="Arial" w:hAnsi="Arial" w:cs="Arial"/>
                <w:b/>
                <w:bCs/>
                <w:szCs w:val="22"/>
                <w:lang w:val="fr"/>
              </w:rPr>
              <w:t>Sources et collecte des données</w:t>
            </w:r>
          </w:p>
        </w:tc>
        <w:tc>
          <w:tcPr>
            <w:tcW w:w="4253" w:type="pct"/>
            <w:shd w:val="clear" w:color="auto" w:fill="auto"/>
          </w:tcPr>
          <w:p w14:paraId="0052139D" w14:textId="32E202CC" w:rsidR="0054175C" w:rsidRPr="000B4C82" w:rsidRDefault="00033A90" w:rsidP="0054175C">
            <w:pPr>
              <w:spacing w:before="120"/>
              <w:jc w:val="both"/>
              <w:rPr>
                <w:rFonts w:ascii="Arial" w:hAnsi="Arial" w:cs="Arial"/>
                <w:szCs w:val="22"/>
                <w:lang w:val="fr-FR"/>
              </w:rPr>
            </w:pPr>
            <w:r>
              <w:rPr>
                <w:rFonts w:ascii="Arial" w:hAnsi="Arial" w:cs="Arial"/>
                <w:szCs w:val="22"/>
                <w:lang w:val="fr"/>
              </w:rPr>
              <w:t>Les responsables du suivi et de l'établissement des rapports voudront peut-être consulter le bureau de la coopération internationale du Ministère de la Culture et d'autres ministères d'exécution, notamment le Ministère des Affaires étrangères, qui peut tenir des registres de la coopération bilatérale et multilatérale avec d'autres États. Si l'État dispose d'un conseil consultatif ou d'un mécanisme de coordination, ses membres devraient également être consultés sur la coopération internationale à laquelle ils pourraient être associés. Les institutions de documentation pertinentes peuvent également être contactées pour connaître les échanges de documentation avec d'autres pays.</w:t>
            </w:r>
          </w:p>
          <w:p w14:paraId="67C70FD3" w14:textId="77777777" w:rsidR="0054175C" w:rsidRPr="00F866CD" w:rsidRDefault="00BE5B3F" w:rsidP="00704766">
            <w:pPr>
              <w:keepNext/>
              <w:spacing w:before="120" w:after="60"/>
              <w:jc w:val="both"/>
              <w:rPr>
                <w:rFonts w:ascii="Arial" w:hAnsi="Arial" w:cs="Arial"/>
                <w:b/>
                <w:szCs w:val="22"/>
              </w:rPr>
            </w:pPr>
            <w:r>
              <w:rPr>
                <w:rFonts w:ascii="Arial" w:hAnsi="Arial" w:cs="Arial"/>
                <w:b/>
                <w:bCs/>
                <w:szCs w:val="22"/>
                <w:lang w:val="fr"/>
              </w:rPr>
              <w:t>Sources de données possibles</w:t>
            </w:r>
          </w:p>
          <w:p w14:paraId="5AB70EC8" w14:textId="77777777" w:rsidR="0054175C" w:rsidRPr="000B4C82" w:rsidRDefault="005F2EBF" w:rsidP="00BE5B3F">
            <w:pPr>
              <w:pStyle w:val="Paragraphedeliste"/>
              <w:numPr>
                <w:ilvl w:val="0"/>
                <w:numId w:val="73"/>
              </w:numPr>
              <w:spacing w:before="120"/>
              <w:jc w:val="both"/>
              <w:rPr>
                <w:rFonts w:ascii="Arial" w:hAnsi="Arial" w:cs="Arial"/>
                <w:lang w:val="fr-FR"/>
              </w:rPr>
            </w:pPr>
            <w:r>
              <w:rPr>
                <w:rFonts w:ascii="Arial" w:hAnsi="Arial" w:cs="Arial"/>
                <w:lang w:val="fr"/>
              </w:rPr>
              <w:t>Rapports et dossiers d'un bureau de coopération internationale du Ministère de la Culture et d'autres ministères techniques, y compris le Ministère des Affaires étrangères</w:t>
            </w:r>
          </w:p>
          <w:p w14:paraId="3BBF03EB" w14:textId="77777777" w:rsidR="005F2EBF" w:rsidRPr="000B4C82" w:rsidRDefault="005F2EBF" w:rsidP="00BE5B3F">
            <w:pPr>
              <w:pStyle w:val="Paragraphedeliste"/>
              <w:numPr>
                <w:ilvl w:val="0"/>
                <w:numId w:val="73"/>
              </w:numPr>
              <w:spacing w:before="120"/>
              <w:jc w:val="both"/>
              <w:rPr>
                <w:rFonts w:ascii="Arial" w:hAnsi="Arial" w:cs="Arial"/>
                <w:lang w:val="fr-FR"/>
              </w:rPr>
            </w:pPr>
            <w:r>
              <w:rPr>
                <w:rFonts w:ascii="Arial" w:hAnsi="Arial" w:cs="Arial"/>
                <w:lang w:val="fr"/>
              </w:rPr>
              <w:t>Rapports et dossiers d'archives et d'autres institutions de documentation</w:t>
            </w:r>
          </w:p>
          <w:p w14:paraId="2A06327A" w14:textId="77777777" w:rsidR="00CB3C08" w:rsidRPr="000B4C82" w:rsidRDefault="00CB3C08" w:rsidP="00BE5B3F">
            <w:pPr>
              <w:pStyle w:val="Paragraphedeliste"/>
              <w:numPr>
                <w:ilvl w:val="0"/>
                <w:numId w:val="73"/>
              </w:numPr>
              <w:spacing w:before="120"/>
              <w:jc w:val="both"/>
              <w:rPr>
                <w:rFonts w:ascii="Arial" w:hAnsi="Arial" w:cs="Arial"/>
                <w:lang w:val="fr-FR"/>
              </w:rPr>
            </w:pPr>
            <w:r>
              <w:rPr>
                <w:rFonts w:ascii="Arial" w:hAnsi="Arial" w:cs="Arial"/>
                <w:lang w:val="fr"/>
              </w:rPr>
              <w:t>Réseaux et associations professionnelles d'acteurs de la sauvegarde du PCI</w:t>
            </w:r>
          </w:p>
        </w:tc>
      </w:tr>
    </w:tbl>
    <w:p w14:paraId="1407850E" w14:textId="438A7414" w:rsidR="00320242" w:rsidRDefault="00320242" w:rsidP="00A5709F">
      <w:pPr>
        <w:rPr>
          <w:rFonts w:ascii="Arial" w:hAnsi="Arial" w:cs="Arial"/>
        </w:rPr>
      </w:pPr>
    </w:p>
    <w:p w14:paraId="3193FF21" w14:textId="15AF62FE" w:rsidR="002C333F" w:rsidRDefault="002C333F" w:rsidP="00A5709F">
      <w:pPr>
        <w:rPr>
          <w:rFonts w:ascii="Arial" w:hAnsi="Arial" w:cs="Arial"/>
        </w:rPr>
      </w:pPr>
    </w:p>
    <w:p w14:paraId="04756120" w14:textId="261BBA9B" w:rsidR="002C333F" w:rsidRDefault="002C333F" w:rsidP="00A5709F">
      <w:pPr>
        <w:rPr>
          <w:rFonts w:ascii="Arial" w:hAnsi="Arial" w:cs="Arial"/>
        </w:rPr>
      </w:pPr>
    </w:p>
    <w:p w14:paraId="10D285B5" w14:textId="77777777" w:rsidR="002C333F" w:rsidRPr="00F866CD" w:rsidRDefault="002C333F" w:rsidP="00A5709F">
      <w:pPr>
        <w:rPr>
          <w:rFonts w:ascii="Arial" w:hAnsi="Arial" w:cs="Arial"/>
        </w:rPr>
      </w:pPr>
    </w:p>
    <w:sectPr w:rsidR="002C333F" w:rsidRPr="00F866CD"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F8A32" w14:textId="77777777" w:rsidR="00406308" w:rsidRDefault="00406308" w:rsidP="002938F2">
      <w:r>
        <w:separator/>
      </w:r>
    </w:p>
    <w:p w14:paraId="78957AD3" w14:textId="77777777" w:rsidR="00406308" w:rsidRDefault="00406308"/>
  </w:endnote>
  <w:endnote w:type="continuationSeparator" w:id="0">
    <w:p w14:paraId="2709A188" w14:textId="77777777" w:rsidR="00406308" w:rsidRDefault="00406308" w:rsidP="002938F2">
      <w:r>
        <w:continuationSeparator/>
      </w:r>
    </w:p>
    <w:p w14:paraId="3786B7B9" w14:textId="77777777" w:rsidR="00406308" w:rsidRDefault="00406308"/>
  </w:endnote>
  <w:endnote w:type="continuationNotice" w:id="1">
    <w:p w14:paraId="12B5D41B" w14:textId="77777777" w:rsidR="00406308" w:rsidRDefault="004063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9B126" w14:textId="0988B536" w:rsidR="00C04344" w:rsidRPr="000A0709" w:rsidRDefault="00683E73" w:rsidP="000A0709">
    <w:pPr>
      <w:pStyle w:val="Pieddepage"/>
      <w:jc w:val="center"/>
      <w:rPr>
        <w:rFonts w:ascii="Arial" w:hAnsi="Arial"/>
      </w:rPr>
    </w:pPr>
    <w:r>
      <w:rPr>
        <w:rFonts w:ascii="Arial" w:hAnsi="Arial" w:cs="Arial"/>
        <w:lang w:val="fr"/>
      </w:rPr>
      <w:fldChar w:fldCharType="begin"/>
    </w:r>
    <w:r>
      <w:rPr>
        <w:rFonts w:ascii="Arial" w:hAnsi="Arial" w:cs="Arial"/>
        <w:lang w:val="fr"/>
      </w:rPr>
      <w:instrText xml:space="preserve"> PAGE   \* MERGEFORMAT </w:instrText>
    </w:r>
    <w:r>
      <w:rPr>
        <w:rFonts w:ascii="Arial" w:hAnsi="Arial" w:cs="Arial"/>
        <w:lang w:val="fr"/>
      </w:rPr>
      <w:fldChar w:fldCharType="separate"/>
    </w:r>
    <w:r>
      <w:rPr>
        <w:rFonts w:ascii="Arial" w:hAnsi="Arial" w:cs="Arial"/>
        <w:noProof/>
        <w:lang w:val="fr"/>
      </w:rPr>
      <w:t>1</w:t>
    </w:r>
    <w:r>
      <w:rPr>
        <w:rFonts w:ascii="Arial" w:hAnsi="Arial" w:cs="Arial"/>
        <w:noProof/>
        <w:lang w:val="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A0CD1" w14:textId="77777777" w:rsidR="00406308" w:rsidRDefault="00406308" w:rsidP="002938F2">
      <w:r>
        <w:separator/>
      </w:r>
    </w:p>
  </w:footnote>
  <w:footnote w:type="continuationSeparator" w:id="0">
    <w:p w14:paraId="06FD2B88" w14:textId="77777777" w:rsidR="00406308" w:rsidRDefault="00406308" w:rsidP="002938F2">
      <w:r>
        <w:continuationSeparator/>
      </w:r>
    </w:p>
    <w:p w14:paraId="397BB681" w14:textId="77777777" w:rsidR="00406308" w:rsidRDefault="00406308"/>
  </w:footnote>
  <w:footnote w:type="continuationNotice" w:id="1">
    <w:p w14:paraId="7F011D7D" w14:textId="77777777" w:rsidR="00406308" w:rsidRDefault="0040630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2"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3"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3"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6"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7"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9"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2"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4"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6"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8"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2"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4"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2"/>
  </w:num>
  <w:num w:numId="2">
    <w:abstractNumId w:val="25"/>
  </w:num>
  <w:num w:numId="3">
    <w:abstractNumId w:val="11"/>
  </w:num>
  <w:num w:numId="4">
    <w:abstractNumId w:val="54"/>
  </w:num>
  <w:num w:numId="5">
    <w:abstractNumId w:val="45"/>
  </w:num>
  <w:num w:numId="6">
    <w:abstractNumId w:val="4"/>
  </w:num>
  <w:num w:numId="7">
    <w:abstractNumId w:val="15"/>
  </w:num>
  <w:num w:numId="8">
    <w:abstractNumId w:val="24"/>
  </w:num>
  <w:num w:numId="9">
    <w:abstractNumId w:val="48"/>
  </w:num>
  <w:num w:numId="10">
    <w:abstractNumId w:val="24"/>
  </w:num>
  <w:num w:numId="11">
    <w:abstractNumId w:val="24"/>
  </w:num>
  <w:num w:numId="12">
    <w:abstractNumId w:val="24"/>
  </w:num>
  <w:num w:numId="13">
    <w:abstractNumId w:val="24"/>
  </w:num>
  <w:num w:numId="14">
    <w:abstractNumId w:val="24"/>
  </w:num>
  <w:num w:numId="15">
    <w:abstractNumId w:val="24"/>
  </w:num>
  <w:num w:numId="16">
    <w:abstractNumId w:val="22"/>
  </w:num>
  <w:num w:numId="17">
    <w:abstractNumId w:val="38"/>
  </w:num>
  <w:num w:numId="18">
    <w:abstractNumId w:val="24"/>
  </w:num>
  <w:num w:numId="19">
    <w:abstractNumId w:val="24"/>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52"/>
  </w:num>
  <w:num w:numId="27">
    <w:abstractNumId w:val="24"/>
  </w:num>
  <w:num w:numId="28">
    <w:abstractNumId w:val="24"/>
  </w:num>
  <w:num w:numId="29">
    <w:abstractNumId w:val="24"/>
  </w:num>
  <w:num w:numId="30">
    <w:abstractNumId w:val="24"/>
  </w:num>
  <w:num w:numId="31">
    <w:abstractNumId w:val="10"/>
  </w:num>
  <w:num w:numId="32">
    <w:abstractNumId w:val="8"/>
  </w:num>
  <w:num w:numId="33">
    <w:abstractNumId w:val="16"/>
  </w:num>
  <w:num w:numId="34">
    <w:abstractNumId w:val="46"/>
  </w:num>
  <w:num w:numId="35">
    <w:abstractNumId w:val="20"/>
  </w:num>
  <w:num w:numId="36">
    <w:abstractNumId w:val="40"/>
  </w:num>
  <w:num w:numId="37">
    <w:abstractNumId w:val="17"/>
  </w:num>
  <w:num w:numId="38">
    <w:abstractNumId w:val="9"/>
  </w:num>
  <w:num w:numId="39">
    <w:abstractNumId w:val="6"/>
  </w:num>
  <w:num w:numId="40">
    <w:abstractNumId w:val="19"/>
  </w:num>
  <w:num w:numId="41">
    <w:abstractNumId w:val="53"/>
  </w:num>
  <w:num w:numId="42">
    <w:abstractNumId w:val="50"/>
  </w:num>
  <w:num w:numId="43">
    <w:abstractNumId w:val="28"/>
  </w:num>
  <w:num w:numId="44">
    <w:abstractNumId w:val="12"/>
  </w:num>
  <w:num w:numId="45">
    <w:abstractNumId w:val="51"/>
  </w:num>
  <w:num w:numId="46">
    <w:abstractNumId w:val="5"/>
  </w:num>
  <w:num w:numId="47">
    <w:abstractNumId w:val="35"/>
  </w:num>
  <w:num w:numId="48">
    <w:abstractNumId w:val="55"/>
  </w:num>
  <w:num w:numId="49">
    <w:abstractNumId w:val="31"/>
  </w:num>
  <w:num w:numId="50">
    <w:abstractNumId w:val="29"/>
  </w:num>
  <w:num w:numId="51">
    <w:abstractNumId w:val="26"/>
  </w:num>
  <w:num w:numId="52">
    <w:abstractNumId w:val="37"/>
  </w:num>
  <w:num w:numId="53">
    <w:abstractNumId w:val="14"/>
  </w:num>
  <w:num w:numId="54">
    <w:abstractNumId w:val="1"/>
  </w:num>
  <w:num w:numId="55">
    <w:abstractNumId w:val="33"/>
  </w:num>
  <w:num w:numId="56">
    <w:abstractNumId w:val="39"/>
  </w:num>
  <w:num w:numId="57">
    <w:abstractNumId w:val="0"/>
  </w:num>
  <w:num w:numId="58">
    <w:abstractNumId w:val="3"/>
  </w:num>
  <w:num w:numId="59">
    <w:abstractNumId w:val="43"/>
  </w:num>
  <w:num w:numId="60">
    <w:abstractNumId w:val="2"/>
  </w:num>
  <w:num w:numId="61">
    <w:abstractNumId w:val="30"/>
  </w:num>
  <w:num w:numId="62">
    <w:abstractNumId w:val="21"/>
  </w:num>
  <w:num w:numId="63">
    <w:abstractNumId w:val="47"/>
  </w:num>
  <w:num w:numId="64">
    <w:abstractNumId w:val="18"/>
  </w:num>
  <w:num w:numId="65">
    <w:abstractNumId w:val="23"/>
  </w:num>
  <w:num w:numId="66">
    <w:abstractNumId w:val="44"/>
  </w:num>
  <w:num w:numId="67">
    <w:abstractNumId w:val="36"/>
  </w:num>
  <w:num w:numId="68">
    <w:abstractNumId w:val="13"/>
  </w:num>
  <w:num w:numId="69">
    <w:abstractNumId w:val="41"/>
  </w:num>
  <w:num w:numId="70">
    <w:abstractNumId w:val="32"/>
  </w:num>
  <w:num w:numId="71">
    <w:abstractNumId w:val="27"/>
  </w:num>
  <w:num w:numId="72">
    <w:abstractNumId w:val="49"/>
  </w:num>
  <w:num w:numId="73">
    <w:abstractNumId w:val="7"/>
  </w:num>
  <w:num w:numId="74">
    <w:abstractNumId w:val="34"/>
  </w:num>
  <w:num w:numId="75">
    <w:abstractNumId w:val="23"/>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4096" w:nlCheck="1" w:checkStyle="0"/>
  <w:activeWritingStyle w:appName="MSWord" w:lang="fr-FR"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CA3"/>
    <w:rsid w:val="000016A4"/>
    <w:rsid w:val="000019DB"/>
    <w:rsid w:val="000047CC"/>
    <w:rsid w:val="00005BA5"/>
    <w:rsid w:val="00005BFA"/>
    <w:rsid w:val="00006F66"/>
    <w:rsid w:val="000105E6"/>
    <w:rsid w:val="00010E2D"/>
    <w:rsid w:val="000120FD"/>
    <w:rsid w:val="00013A65"/>
    <w:rsid w:val="0001506E"/>
    <w:rsid w:val="00015B9D"/>
    <w:rsid w:val="0001601A"/>
    <w:rsid w:val="00021831"/>
    <w:rsid w:val="00022C19"/>
    <w:rsid w:val="00031A37"/>
    <w:rsid w:val="00033A90"/>
    <w:rsid w:val="00036843"/>
    <w:rsid w:val="00047E58"/>
    <w:rsid w:val="00054FDC"/>
    <w:rsid w:val="000632E2"/>
    <w:rsid w:val="0007203D"/>
    <w:rsid w:val="000729D2"/>
    <w:rsid w:val="00073D20"/>
    <w:rsid w:val="00074E7D"/>
    <w:rsid w:val="000755E1"/>
    <w:rsid w:val="0007681B"/>
    <w:rsid w:val="000769F1"/>
    <w:rsid w:val="00083694"/>
    <w:rsid w:val="00085541"/>
    <w:rsid w:val="00092AE6"/>
    <w:rsid w:val="00093063"/>
    <w:rsid w:val="000A0709"/>
    <w:rsid w:val="000A0F0D"/>
    <w:rsid w:val="000A112A"/>
    <w:rsid w:val="000A21DA"/>
    <w:rsid w:val="000A34CE"/>
    <w:rsid w:val="000B4C82"/>
    <w:rsid w:val="000B7CB8"/>
    <w:rsid w:val="000C03BF"/>
    <w:rsid w:val="000C15BD"/>
    <w:rsid w:val="000C65E4"/>
    <w:rsid w:val="000C7EE0"/>
    <w:rsid w:val="000D1EBC"/>
    <w:rsid w:val="000D260B"/>
    <w:rsid w:val="000D345F"/>
    <w:rsid w:val="000D7375"/>
    <w:rsid w:val="000E2EE7"/>
    <w:rsid w:val="000F25BA"/>
    <w:rsid w:val="000F2B3F"/>
    <w:rsid w:val="000F7E6F"/>
    <w:rsid w:val="00106B72"/>
    <w:rsid w:val="00106D19"/>
    <w:rsid w:val="00110744"/>
    <w:rsid w:val="00110A9D"/>
    <w:rsid w:val="00111957"/>
    <w:rsid w:val="0011334A"/>
    <w:rsid w:val="00115830"/>
    <w:rsid w:val="00116489"/>
    <w:rsid w:val="0011750D"/>
    <w:rsid w:val="00121B41"/>
    <w:rsid w:val="001301DF"/>
    <w:rsid w:val="00132E6D"/>
    <w:rsid w:val="001412DE"/>
    <w:rsid w:val="00142D78"/>
    <w:rsid w:val="00144A4D"/>
    <w:rsid w:val="00151351"/>
    <w:rsid w:val="00156788"/>
    <w:rsid w:val="001609A1"/>
    <w:rsid w:val="00162554"/>
    <w:rsid w:val="00163F68"/>
    <w:rsid w:val="00173B50"/>
    <w:rsid w:val="00173E0E"/>
    <w:rsid w:val="00174B39"/>
    <w:rsid w:val="00183F6C"/>
    <w:rsid w:val="00194802"/>
    <w:rsid w:val="00194AEB"/>
    <w:rsid w:val="001A431C"/>
    <w:rsid w:val="001A5519"/>
    <w:rsid w:val="001A7C3A"/>
    <w:rsid w:val="001B5C26"/>
    <w:rsid w:val="001C08BC"/>
    <w:rsid w:val="001C56BA"/>
    <w:rsid w:val="001C6D7D"/>
    <w:rsid w:val="001D00B5"/>
    <w:rsid w:val="001D3B29"/>
    <w:rsid w:val="001D59C8"/>
    <w:rsid w:val="001D6E47"/>
    <w:rsid w:val="001E4EEB"/>
    <w:rsid w:val="001E6026"/>
    <w:rsid w:val="001F3696"/>
    <w:rsid w:val="001F37CA"/>
    <w:rsid w:val="0020163D"/>
    <w:rsid w:val="00203AD7"/>
    <w:rsid w:val="002042CC"/>
    <w:rsid w:val="00204B37"/>
    <w:rsid w:val="002074D6"/>
    <w:rsid w:val="00210CBC"/>
    <w:rsid w:val="002119C5"/>
    <w:rsid w:val="00222AF2"/>
    <w:rsid w:val="00223C3B"/>
    <w:rsid w:val="00224346"/>
    <w:rsid w:val="0022597C"/>
    <w:rsid w:val="00226582"/>
    <w:rsid w:val="00230F77"/>
    <w:rsid w:val="00232E4E"/>
    <w:rsid w:val="00234AE4"/>
    <w:rsid w:val="00237935"/>
    <w:rsid w:val="00237E43"/>
    <w:rsid w:val="00240A95"/>
    <w:rsid w:val="00245E26"/>
    <w:rsid w:val="00251889"/>
    <w:rsid w:val="002539EA"/>
    <w:rsid w:val="002542FD"/>
    <w:rsid w:val="00254B4E"/>
    <w:rsid w:val="00254CA1"/>
    <w:rsid w:val="0026007A"/>
    <w:rsid w:val="002638C0"/>
    <w:rsid w:val="00265135"/>
    <w:rsid w:val="00265E42"/>
    <w:rsid w:val="00266B45"/>
    <w:rsid w:val="0027198B"/>
    <w:rsid w:val="00273658"/>
    <w:rsid w:val="00281AA4"/>
    <w:rsid w:val="00282A9D"/>
    <w:rsid w:val="00282AAC"/>
    <w:rsid w:val="00286C0C"/>
    <w:rsid w:val="00287687"/>
    <w:rsid w:val="00290D5F"/>
    <w:rsid w:val="002938F2"/>
    <w:rsid w:val="00293CCC"/>
    <w:rsid w:val="002A195D"/>
    <w:rsid w:val="002B43D6"/>
    <w:rsid w:val="002B6B98"/>
    <w:rsid w:val="002C28BA"/>
    <w:rsid w:val="002C333F"/>
    <w:rsid w:val="002C3B8F"/>
    <w:rsid w:val="002C444C"/>
    <w:rsid w:val="002C5021"/>
    <w:rsid w:val="002C5280"/>
    <w:rsid w:val="002C5C29"/>
    <w:rsid w:val="002D396D"/>
    <w:rsid w:val="002D71D4"/>
    <w:rsid w:val="002E113D"/>
    <w:rsid w:val="002F17E1"/>
    <w:rsid w:val="003043A9"/>
    <w:rsid w:val="0030454E"/>
    <w:rsid w:val="00315322"/>
    <w:rsid w:val="00320242"/>
    <w:rsid w:val="00322A3A"/>
    <w:rsid w:val="00324A32"/>
    <w:rsid w:val="00325D6E"/>
    <w:rsid w:val="00334977"/>
    <w:rsid w:val="00337194"/>
    <w:rsid w:val="00342EE8"/>
    <w:rsid w:val="00344D78"/>
    <w:rsid w:val="00346517"/>
    <w:rsid w:val="00351CCB"/>
    <w:rsid w:val="0035648A"/>
    <w:rsid w:val="00362B41"/>
    <w:rsid w:val="00363995"/>
    <w:rsid w:val="00364E5E"/>
    <w:rsid w:val="00370E9B"/>
    <w:rsid w:val="00377E4B"/>
    <w:rsid w:val="00382529"/>
    <w:rsid w:val="00383BA9"/>
    <w:rsid w:val="003845B0"/>
    <w:rsid w:val="00385B34"/>
    <w:rsid w:val="00386C08"/>
    <w:rsid w:val="00387D88"/>
    <w:rsid w:val="0039446E"/>
    <w:rsid w:val="003A260A"/>
    <w:rsid w:val="003A2BC4"/>
    <w:rsid w:val="003B31BE"/>
    <w:rsid w:val="003B504D"/>
    <w:rsid w:val="003C7065"/>
    <w:rsid w:val="003D2E0D"/>
    <w:rsid w:val="003D5113"/>
    <w:rsid w:val="003D5BFC"/>
    <w:rsid w:val="003D6E10"/>
    <w:rsid w:val="003E0C0F"/>
    <w:rsid w:val="003E0E28"/>
    <w:rsid w:val="003E19D5"/>
    <w:rsid w:val="003E76A8"/>
    <w:rsid w:val="003F5B90"/>
    <w:rsid w:val="00404856"/>
    <w:rsid w:val="00406308"/>
    <w:rsid w:val="00406ED7"/>
    <w:rsid w:val="004108B6"/>
    <w:rsid w:val="0041110F"/>
    <w:rsid w:val="0041300C"/>
    <w:rsid w:val="00414B68"/>
    <w:rsid w:val="00430ED2"/>
    <w:rsid w:val="00434773"/>
    <w:rsid w:val="00435CBC"/>
    <w:rsid w:val="004367F5"/>
    <w:rsid w:val="004458C9"/>
    <w:rsid w:val="00447C66"/>
    <w:rsid w:val="00462F38"/>
    <w:rsid w:val="00471B34"/>
    <w:rsid w:val="00474AFE"/>
    <w:rsid w:val="00477E66"/>
    <w:rsid w:val="00480809"/>
    <w:rsid w:val="004831C7"/>
    <w:rsid w:val="00486A5E"/>
    <w:rsid w:val="00493F92"/>
    <w:rsid w:val="004A0C2B"/>
    <w:rsid w:val="004A610E"/>
    <w:rsid w:val="004C20E2"/>
    <w:rsid w:val="004E056C"/>
    <w:rsid w:val="004E2817"/>
    <w:rsid w:val="004E2AE8"/>
    <w:rsid w:val="004E418A"/>
    <w:rsid w:val="005016FB"/>
    <w:rsid w:val="00504256"/>
    <w:rsid w:val="00511D17"/>
    <w:rsid w:val="005157E2"/>
    <w:rsid w:val="0051699F"/>
    <w:rsid w:val="00516DE3"/>
    <w:rsid w:val="005300BF"/>
    <w:rsid w:val="00532631"/>
    <w:rsid w:val="005414A1"/>
    <w:rsid w:val="0054175C"/>
    <w:rsid w:val="005473CF"/>
    <w:rsid w:val="00570355"/>
    <w:rsid w:val="00574530"/>
    <w:rsid w:val="00581423"/>
    <w:rsid w:val="00582F4C"/>
    <w:rsid w:val="0058407A"/>
    <w:rsid w:val="00594539"/>
    <w:rsid w:val="005A1BCE"/>
    <w:rsid w:val="005A3FC9"/>
    <w:rsid w:val="005A65BD"/>
    <w:rsid w:val="005A7D00"/>
    <w:rsid w:val="005B0FE5"/>
    <w:rsid w:val="005B357C"/>
    <w:rsid w:val="005B4A0B"/>
    <w:rsid w:val="005B53C6"/>
    <w:rsid w:val="005C0015"/>
    <w:rsid w:val="005C0052"/>
    <w:rsid w:val="005C05F4"/>
    <w:rsid w:val="005C0660"/>
    <w:rsid w:val="005C44A6"/>
    <w:rsid w:val="005C7D6A"/>
    <w:rsid w:val="005D2DDA"/>
    <w:rsid w:val="005E3A3E"/>
    <w:rsid w:val="005E6A2B"/>
    <w:rsid w:val="005E7C7C"/>
    <w:rsid w:val="005F2EBF"/>
    <w:rsid w:val="00601DD6"/>
    <w:rsid w:val="006032AE"/>
    <w:rsid w:val="00603F71"/>
    <w:rsid w:val="00605202"/>
    <w:rsid w:val="00621092"/>
    <w:rsid w:val="00621208"/>
    <w:rsid w:val="00632B30"/>
    <w:rsid w:val="006340A1"/>
    <w:rsid w:val="00636760"/>
    <w:rsid w:val="00644B92"/>
    <w:rsid w:val="00645B77"/>
    <w:rsid w:val="0065099D"/>
    <w:rsid w:val="006515C9"/>
    <w:rsid w:val="00651944"/>
    <w:rsid w:val="00652318"/>
    <w:rsid w:val="00652484"/>
    <w:rsid w:val="00653314"/>
    <w:rsid w:val="0067005F"/>
    <w:rsid w:val="0067015A"/>
    <w:rsid w:val="00670936"/>
    <w:rsid w:val="006736EC"/>
    <w:rsid w:val="00673D90"/>
    <w:rsid w:val="00676C1E"/>
    <w:rsid w:val="00683E73"/>
    <w:rsid w:val="00686D60"/>
    <w:rsid w:val="00691869"/>
    <w:rsid w:val="006A0D86"/>
    <w:rsid w:val="006A49AE"/>
    <w:rsid w:val="006A56C0"/>
    <w:rsid w:val="006C0911"/>
    <w:rsid w:val="006C737A"/>
    <w:rsid w:val="006D332C"/>
    <w:rsid w:val="006D46FB"/>
    <w:rsid w:val="006E29C0"/>
    <w:rsid w:val="006E6AC6"/>
    <w:rsid w:val="006E752A"/>
    <w:rsid w:val="006E7CF0"/>
    <w:rsid w:val="006F3E83"/>
    <w:rsid w:val="006F4B83"/>
    <w:rsid w:val="006F7F47"/>
    <w:rsid w:val="00701458"/>
    <w:rsid w:val="00701D7E"/>
    <w:rsid w:val="00704766"/>
    <w:rsid w:val="007119B8"/>
    <w:rsid w:val="0072415E"/>
    <w:rsid w:val="007247D7"/>
    <w:rsid w:val="007250E3"/>
    <w:rsid w:val="007277C8"/>
    <w:rsid w:val="00732057"/>
    <w:rsid w:val="00734A10"/>
    <w:rsid w:val="007368A2"/>
    <w:rsid w:val="007418AE"/>
    <w:rsid w:val="00742DD1"/>
    <w:rsid w:val="0074360F"/>
    <w:rsid w:val="00746204"/>
    <w:rsid w:val="00747715"/>
    <w:rsid w:val="00747F86"/>
    <w:rsid w:val="00750138"/>
    <w:rsid w:val="00753DA3"/>
    <w:rsid w:val="007610D3"/>
    <w:rsid w:val="007629DB"/>
    <w:rsid w:val="00764F50"/>
    <w:rsid w:val="00767871"/>
    <w:rsid w:val="00770A92"/>
    <w:rsid w:val="00774D9C"/>
    <w:rsid w:val="00776A63"/>
    <w:rsid w:val="00784E82"/>
    <w:rsid w:val="00790C65"/>
    <w:rsid w:val="0079316B"/>
    <w:rsid w:val="007A0565"/>
    <w:rsid w:val="007A0EAA"/>
    <w:rsid w:val="007A1247"/>
    <w:rsid w:val="007A1E0A"/>
    <w:rsid w:val="007A6F91"/>
    <w:rsid w:val="007A7D45"/>
    <w:rsid w:val="007B4ADA"/>
    <w:rsid w:val="007C105C"/>
    <w:rsid w:val="007C1B00"/>
    <w:rsid w:val="007D0F1D"/>
    <w:rsid w:val="007D2881"/>
    <w:rsid w:val="007D31CE"/>
    <w:rsid w:val="007D3AD8"/>
    <w:rsid w:val="007D5BB7"/>
    <w:rsid w:val="007D6A69"/>
    <w:rsid w:val="007E0621"/>
    <w:rsid w:val="007E4E37"/>
    <w:rsid w:val="007F4B07"/>
    <w:rsid w:val="008029A6"/>
    <w:rsid w:val="008147BA"/>
    <w:rsid w:val="008269B0"/>
    <w:rsid w:val="0083067E"/>
    <w:rsid w:val="00830ABE"/>
    <w:rsid w:val="00832357"/>
    <w:rsid w:val="0083488D"/>
    <w:rsid w:val="008466C3"/>
    <w:rsid w:val="00846809"/>
    <w:rsid w:val="00851458"/>
    <w:rsid w:val="00861A47"/>
    <w:rsid w:val="008707FF"/>
    <w:rsid w:val="008724E5"/>
    <w:rsid w:val="008757CD"/>
    <w:rsid w:val="00877AC5"/>
    <w:rsid w:val="00877F27"/>
    <w:rsid w:val="0088173A"/>
    <w:rsid w:val="00881EB9"/>
    <w:rsid w:val="008848E9"/>
    <w:rsid w:val="00884C09"/>
    <w:rsid w:val="00885596"/>
    <w:rsid w:val="00885B33"/>
    <w:rsid w:val="00886B71"/>
    <w:rsid w:val="0089499E"/>
    <w:rsid w:val="00896177"/>
    <w:rsid w:val="008A0BE3"/>
    <w:rsid w:val="008A2566"/>
    <w:rsid w:val="008A6663"/>
    <w:rsid w:val="008B6B4C"/>
    <w:rsid w:val="008B7346"/>
    <w:rsid w:val="008C7F60"/>
    <w:rsid w:val="008D3BF7"/>
    <w:rsid w:val="008E0DAA"/>
    <w:rsid w:val="008E194D"/>
    <w:rsid w:val="008F16C6"/>
    <w:rsid w:val="008F2A76"/>
    <w:rsid w:val="008F34A1"/>
    <w:rsid w:val="008F4F13"/>
    <w:rsid w:val="008F5052"/>
    <w:rsid w:val="008F5193"/>
    <w:rsid w:val="0090187D"/>
    <w:rsid w:val="00903C3D"/>
    <w:rsid w:val="0090710F"/>
    <w:rsid w:val="00910B12"/>
    <w:rsid w:val="00911179"/>
    <w:rsid w:val="009121CE"/>
    <w:rsid w:val="009127D8"/>
    <w:rsid w:val="00916F7B"/>
    <w:rsid w:val="00917A4D"/>
    <w:rsid w:val="00921F65"/>
    <w:rsid w:val="0092574C"/>
    <w:rsid w:val="00931CC2"/>
    <w:rsid w:val="009342E8"/>
    <w:rsid w:val="009357B4"/>
    <w:rsid w:val="00942272"/>
    <w:rsid w:val="00946D71"/>
    <w:rsid w:val="009577E1"/>
    <w:rsid w:val="00971CA1"/>
    <w:rsid w:val="0097349C"/>
    <w:rsid w:val="009814C2"/>
    <w:rsid w:val="00982FFD"/>
    <w:rsid w:val="00985265"/>
    <w:rsid w:val="00985856"/>
    <w:rsid w:val="00991A58"/>
    <w:rsid w:val="00992DAB"/>
    <w:rsid w:val="009A4969"/>
    <w:rsid w:val="009B1466"/>
    <w:rsid w:val="009B6973"/>
    <w:rsid w:val="009C0510"/>
    <w:rsid w:val="009C3663"/>
    <w:rsid w:val="009D098F"/>
    <w:rsid w:val="009D4547"/>
    <w:rsid w:val="009D5A49"/>
    <w:rsid w:val="009D5E38"/>
    <w:rsid w:val="009D602F"/>
    <w:rsid w:val="009D68D0"/>
    <w:rsid w:val="009E17AF"/>
    <w:rsid w:val="009F0D42"/>
    <w:rsid w:val="009F1B82"/>
    <w:rsid w:val="009F34A4"/>
    <w:rsid w:val="009F3988"/>
    <w:rsid w:val="00A003D0"/>
    <w:rsid w:val="00A073FD"/>
    <w:rsid w:val="00A150C7"/>
    <w:rsid w:val="00A2307A"/>
    <w:rsid w:val="00A32B5B"/>
    <w:rsid w:val="00A462C6"/>
    <w:rsid w:val="00A519A2"/>
    <w:rsid w:val="00A51BDC"/>
    <w:rsid w:val="00A535B7"/>
    <w:rsid w:val="00A5709F"/>
    <w:rsid w:val="00A616C4"/>
    <w:rsid w:val="00A61F20"/>
    <w:rsid w:val="00A64796"/>
    <w:rsid w:val="00A66CD4"/>
    <w:rsid w:val="00A70883"/>
    <w:rsid w:val="00A76889"/>
    <w:rsid w:val="00A77AEB"/>
    <w:rsid w:val="00A81F0A"/>
    <w:rsid w:val="00A85C7A"/>
    <w:rsid w:val="00A86042"/>
    <w:rsid w:val="00AA36F9"/>
    <w:rsid w:val="00AA444A"/>
    <w:rsid w:val="00AB1528"/>
    <w:rsid w:val="00AD6BD4"/>
    <w:rsid w:val="00AE1B18"/>
    <w:rsid w:val="00AE1D83"/>
    <w:rsid w:val="00AE2DFB"/>
    <w:rsid w:val="00AE3061"/>
    <w:rsid w:val="00AE5021"/>
    <w:rsid w:val="00AF15BA"/>
    <w:rsid w:val="00AF1C32"/>
    <w:rsid w:val="00AF65C6"/>
    <w:rsid w:val="00B11AE3"/>
    <w:rsid w:val="00B121A6"/>
    <w:rsid w:val="00B300B8"/>
    <w:rsid w:val="00B32A28"/>
    <w:rsid w:val="00B32CA3"/>
    <w:rsid w:val="00B33904"/>
    <w:rsid w:val="00B3751E"/>
    <w:rsid w:val="00B427FE"/>
    <w:rsid w:val="00B51737"/>
    <w:rsid w:val="00B6102A"/>
    <w:rsid w:val="00B6167A"/>
    <w:rsid w:val="00B62ED0"/>
    <w:rsid w:val="00B64196"/>
    <w:rsid w:val="00B64E2E"/>
    <w:rsid w:val="00B66A7A"/>
    <w:rsid w:val="00B70266"/>
    <w:rsid w:val="00B74304"/>
    <w:rsid w:val="00B82F05"/>
    <w:rsid w:val="00B87142"/>
    <w:rsid w:val="00B8750E"/>
    <w:rsid w:val="00B92374"/>
    <w:rsid w:val="00B924C8"/>
    <w:rsid w:val="00B95E33"/>
    <w:rsid w:val="00B973B5"/>
    <w:rsid w:val="00B97FD1"/>
    <w:rsid w:val="00BA6367"/>
    <w:rsid w:val="00BB1062"/>
    <w:rsid w:val="00BB28EF"/>
    <w:rsid w:val="00BB5DEE"/>
    <w:rsid w:val="00BC002E"/>
    <w:rsid w:val="00BC393F"/>
    <w:rsid w:val="00BC75FC"/>
    <w:rsid w:val="00BD59BD"/>
    <w:rsid w:val="00BE5B3F"/>
    <w:rsid w:val="00BF351F"/>
    <w:rsid w:val="00BF3F50"/>
    <w:rsid w:val="00BF6F37"/>
    <w:rsid w:val="00C02924"/>
    <w:rsid w:val="00C032AA"/>
    <w:rsid w:val="00C04344"/>
    <w:rsid w:val="00C17FE4"/>
    <w:rsid w:val="00C201EF"/>
    <w:rsid w:val="00C21897"/>
    <w:rsid w:val="00C276EE"/>
    <w:rsid w:val="00C36ABA"/>
    <w:rsid w:val="00C43146"/>
    <w:rsid w:val="00C43757"/>
    <w:rsid w:val="00C43BCE"/>
    <w:rsid w:val="00C47CF1"/>
    <w:rsid w:val="00C52006"/>
    <w:rsid w:val="00C53AB4"/>
    <w:rsid w:val="00C542F1"/>
    <w:rsid w:val="00C572B3"/>
    <w:rsid w:val="00C57CA1"/>
    <w:rsid w:val="00C6300B"/>
    <w:rsid w:val="00C6426B"/>
    <w:rsid w:val="00C6478B"/>
    <w:rsid w:val="00C87194"/>
    <w:rsid w:val="00C90629"/>
    <w:rsid w:val="00C90C51"/>
    <w:rsid w:val="00CA3ED6"/>
    <w:rsid w:val="00CA7CF4"/>
    <w:rsid w:val="00CB0F37"/>
    <w:rsid w:val="00CB1135"/>
    <w:rsid w:val="00CB3C08"/>
    <w:rsid w:val="00CB590B"/>
    <w:rsid w:val="00CC02C5"/>
    <w:rsid w:val="00CC2BC6"/>
    <w:rsid w:val="00CC3AAB"/>
    <w:rsid w:val="00CD324E"/>
    <w:rsid w:val="00CD4A28"/>
    <w:rsid w:val="00CD54BD"/>
    <w:rsid w:val="00CD6C36"/>
    <w:rsid w:val="00CE2586"/>
    <w:rsid w:val="00CF05D7"/>
    <w:rsid w:val="00CF34A6"/>
    <w:rsid w:val="00CF3F93"/>
    <w:rsid w:val="00D020F3"/>
    <w:rsid w:val="00D04515"/>
    <w:rsid w:val="00D065AD"/>
    <w:rsid w:val="00D22831"/>
    <w:rsid w:val="00D3447C"/>
    <w:rsid w:val="00D404B7"/>
    <w:rsid w:val="00D44509"/>
    <w:rsid w:val="00D448CB"/>
    <w:rsid w:val="00D47226"/>
    <w:rsid w:val="00D47ED5"/>
    <w:rsid w:val="00D543EF"/>
    <w:rsid w:val="00D61779"/>
    <w:rsid w:val="00D73DB6"/>
    <w:rsid w:val="00D809E5"/>
    <w:rsid w:val="00D81948"/>
    <w:rsid w:val="00D90819"/>
    <w:rsid w:val="00D93291"/>
    <w:rsid w:val="00D9501F"/>
    <w:rsid w:val="00DB50D5"/>
    <w:rsid w:val="00DC06EB"/>
    <w:rsid w:val="00DC5537"/>
    <w:rsid w:val="00DD11EE"/>
    <w:rsid w:val="00DD52A0"/>
    <w:rsid w:val="00DE5590"/>
    <w:rsid w:val="00DE6364"/>
    <w:rsid w:val="00DF1D9E"/>
    <w:rsid w:val="00DF3DA3"/>
    <w:rsid w:val="00DF5DA4"/>
    <w:rsid w:val="00E06492"/>
    <w:rsid w:val="00E065CE"/>
    <w:rsid w:val="00E06A00"/>
    <w:rsid w:val="00E13E03"/>
    <w:rsid w:val="00E17B02"/>
    <w:rsid w:val="00E22B99"/>
    <w:rsid w:val="00E24A9D"/>
    <w:rsid w:val="00E258D9"/>
    <w:rsid w:val="00E35B8C"/>
    <w:rsid w:val="00E439CA"/>
    <w:rsid w:val="00E46DDB"/>
    <w:rsid w:val="00E473F3"/>
    <w:rsid w:val="00E5219B"/>
    <w:rsid w:val="00E56905"/>
    <w:rsid w:val="00E64BE4"/>
    <w:rsid w:val="00E85565"/>
    <w:rsid w:val="00E87F91"/>
    <w:rsid w:val="00E94BC6"/>
    <w:rsid w:val="00EA0563"/>
    <w:rsid w:val="00EA198F"/>
    <w:rsid w:val="00EA2EA1"/>
    <w:rsid w:val="00EA3CB9"/>
    <w:rsid w:val="00EA59EB"/>
    <w:rsid w:val="00EA67F3"/>
    <w:rsid w:val="00EB48F8"/>
    <w:rsid w:val="00ED078E"/>
    <w:rsid w:val="00ED0C60"/>
    <w:rsid w:val="00ED3D26"/>
    <w:rsid w:val="00ED5218"/>
    <w:rsid w:val="00EE1D9D"/>
    <w:rsid w:val="00EF0BCB"/>
    <w:rsid w:val="00EF0E74"/>
    <w:rsid w:val="00EF2549"/>
    <w:rsid w:val="00F00E8A"/>
    <w:rsid w:val="00F16242"/>
    <w:rsid w:val="00F17FCB"/>
    <w:rsid w:val="00F226CC"/>
    <w:rsid w:val="00F2691E"/>
    <w:rsid w:val="00F279DD"/>
    <w:rsid w:val="00F3242E"/>
    <w:rsid w:val="00F33650"/>
    <w:rsid w:val="00F348F9"/>
    <w:rsid w:val="00F37E4B"/>
    <w:rsid w:val="00F4144E"/>
    <w:rsid w:val="00F41B00"/>
    <w:rsid w:val="00F473CB"/>
    <w:rsid w:val="00F50245"/>
    <w:rsid w:val="00F63DDA"/>
    <w:rsid w:val="00F67029"/>
    <w:rsid w:val="00F70858"/>
    <w:rsid w:val="00F71BBC"/>
    <w:rsid w:val="00F7397F"/>
    <w:rsid w:val="00F75949"/>
    <w:rsid w:val="00F75CF4"/>
    <w:rsid w:val="00F866CD"/>
    <w:rsid w:val="00F941F0"/>
    <w:rsid w:val="00F97FF5"/>
    <w:rsid w:val="00FA7CE6"/>
    <w:rsid w:val="00FB1313"/>
    <w:rsid w:val="00FC2238"/>
    <w:rsid w:val="00FC2459"/>
    <w:rsid w:val="00FC268E"/>
    <w:rsid w:val="00FC2BFD"/>
    <w:rsid w:val="00FC309D"/>
    <w:rsid w:val="00FC460F"/>
    <w:rsid w:val="00FC47E0"/>
    <w:rsid w:val="00FD1C42"/>
    <w:rsid w:val="00FD1E96"/>
    <w:rsid w:val="00FD1FE7"/>
    <w:rsid w:val="00FD6442"/>
    <w:rsid w:val="00FE15F6"/>
    <w:rsid w:val="00FE1E5C"/>
    <w:rsid w:val="00FE1F8A"/>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0C8D5"/>
  <w15:docId w15:val="{3D6E37AA-9837-4B84-82BD-756EAD493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Titre2">
    <w:name w:val="heading 2"/>
    <w:basedOn w:val="Normal"/>
    <w:next w:val="Normal"/>
    <w:link w:val="Titre2Car"/>
    <w:uiPriority w:val="9"/>
    <w:qFormat/>
    <w:rsid w:val="00564DDB"/>
    <w:pPr>
      <w:keepNext/>
      <w:spacing w:before="240" w:after="60"/>
      <w:outlineLvl w:val="1"/>
    </w:pPr>
    <w:rPr>
      <w:rFonts w:ascii="Cambria" w:hAnsi="Cambria"/>
      <w:b/>
      <w:bCs/>
      <w:i/>
      <w:iCs/>
      <w:sz w:val="28"/>
      <w:szCs w:val="28"/>
    </w:rPr>
  </w:style>
  <w:style w:type="paragraph" w:styleId="Titre4">
    <w:name w:val="heading 4"/>
    <w:aliases w:val="GA Heading"/>
    <w:basedOn w:val="Normal"/>
    <w:next w:val="Normal"/>
    <w:link w:val="Titre4C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724E5"/>
    <w:pPr>
      <w:tabs>
        <w:tab w:val="center" w:pos="4536"/>
        <w:tab w:val="right" w:pos="9072"/>
      </w:tabs>
      <w:spacing w:after="0"/>
    </w:pPr>
  </w:style>
  <w:style w:type="character" w:customStyle="1" w:styleId="En-tteCar">
    <w:name w:val="En-tête Car"/>
    <w:link w:val="En-tte"/>
    <w:uiPriority w:val="99"/>
    <w:rsid w:val="008724E5"/>
    <w:rPr>
      <w:lang w:val="en-GB"/>
    </w:rPr>
  </w:style>
  <w:style w:type="paragraph" w:styleId="Pieddepage">
    <w:name w:val="footer"/>
    <w:basedOn w:val="Normal"/>
    <w:link w:val="PieddepageCar"/>
    <w:uiPriority w:val="99"/>
    <w:unhideWhenUsed/>
    <w:rsid w:val="008724E5"/>
    <w:pPr>
      <w:tabs>
        <w:tab w:val="center" w:pos="4536"/>
        <w:tab w:val="right" w:pos="9072"/>
      </w:tabs>
      <w:spacing w:after="0"/>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pPr>
      <w:spacing w:after="0"/>
    </w:pPr>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GA Heading Car"/>
    <w:link w:val="Titre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character" w:styleId="Marquedecommentaire">
    <w:name w:val="annotation reference"/>
    <w:uiPriority w:val="99"/>
    <w:rsid w:val="00B11AE3"/>
    <w:rPr>
      <w:sz w:val="16"/>
      <w:szCs w:val="16"/>
    </w:rPr>
  </w:style>
  <w:style w:type="paragraph" w:styleId="Commentaire">
    <w:name w:val="annotation text"/>
    <w:basedOn w:val="Normal"/>
    <w:link w:val="CommentaireCar"/>
    <w:uiPriority w:val="99"/>
    <w:rsid w:val="00B11AE3"/>
    <w:rPr>
      <w:sz w:val="20"/>
      <w:szCs w:val="20"/>
    </w:rPr>
  </w:style>
  <w:style w:type="character" w:customStyle="1" w:styleId="CommentaireCar">
    <w:name w:val="Commentaire Car"/>
    <w:link w:val="Commentaire"/>
    <w:uiPriority w:val="99"/>
    <w:rsid w:val="00B11AE3"/>
    <w:rPr>
      <w:rFonts w:ascii="Times New Roman" w:eastAsia="Times New Roman" w:hAnsi="Times New Roman"/>
      <w:lang w:val="en-GB"/>
    </w:rPr>
  </w:style>
  <w:style w:type="paragraph" w:styleId="Objetducommentaire">
    <w:name w:val="annotation subject"/>
    <w:basedOn w:val="Commentaire"/>
    <w:next w:val="Commentaire"/>
    <w:link w:val="ObjetducommentaireCar"/>
    <w:uiPriority w:val="99"/>
    <w:rsid w:val="00B11AE3"/>
    <w:rPr>
      <w:b/>
      <w:bCs/>
    </w:rPr>
  </w:style>
  <w:style w:type="character" w:customStyle="1" w:styleId="ObjetducommentaireCar">
    <w:name w:val="Objet du commentaire Car"/>
    <w:link w:val="Objetducommentaire"/>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Lienhypertexte">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Notedebasdepage">
    <w:name w:val="footnote text"/>
    <w:basedOn w:val="Normal"/>
    <w:link w:val="NotedebasdepageCar"/>
    <w:uiPriority w:val="99"/>
    <w:unhideWhenUsed/>
    <w:rsid w:val="00210CBC"/>
    <w:pPr>
      <w:spacing w:after="0"/>
    </w:pPr>
    <w:rPr>
      <w:sz w:val="20"/>
      <w:szCs w:val="20"/>
    </w:rPr>
  </w:style>
  <w:style w:type="character" w:customStyle="1" w:styleId="NotedebasdepageCar">
    <w:name w:val="Note de bas de page Car"/>
    <w:link w:val="Notedebasdepage"/>
    <w:uiPriority w:val="99"/>
    <w:rsid w:val="00210CBC"/>
    <w:rPr>
      <w:rFonts w:ascii="Times New Roman" w:eastAsia="Times New Roman" w:hAnsi="Times New Roman"/>
      <w:lang w:val="en-GB"/>
    </w:rPr>
  </w:style>
  <w:style w:type="character" w:styleId="Appelnotedebasdep">
    <w:name w:val="footnote reference"/>
    <w:uiPriority w:val="99"/>
    <w:semiHidden/>
    <w:unhideWhenUsed/>
    <w:rsid w:val="00210CBC"/>
    <w:rPr>
      <w:vertAlign w:val="superscript"/>
    </w:rPr>
  </w:style>
  <w:style w:type="character" w:styleId="Lienhypertextesuivivisit">
    <w:name w:val="FollowedHyperlink"/>
    <w:semiHidden/>
    <w:unhideWhenUsed/>
    <w:rsid w:val="00B62ED0"/>
    <w:rPr>
      <w:color w:val="800080"/>
      <w:u w:val="single"/>
    </w:rPr>
  </w:style>
  <w:style w:type="paragraph" w:styleId="R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Paragraphedeliste">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auNormal"/>
    <w:next w:val="Grilledutableau"/>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D47226"/>
    <w:pPr>
      <w:spacing w:after="0"/>
    </w:pPr>
    <w:rPr>
      <w:rFonts w:ascii="Calibri" w:eastAsia="Calibri" w:hAnsi="Calibri"/>
      <w:sz w:val="20"/>
      <w:szCs w:val="20"/>
      <w:lang w:val="en-US" w:eastAsia="en-US"/>
    </w:rPr>
  </w:style>
  <w:style w:type="character" w:customStyle="1" w:styleId="NotedefinCar">
    <w:name w:val="Note de fin Car"/>
    <w:link w:val="Notedefin"/>
    <w:uiPriority w:val="99"/>
    <w:semiHidden/>
    <w:rsid w:val="00D47226"/>
    <w:rPr>
      <w:rFonts w:ascii="Calibri" w:eastAsia="Calibri" w:hAnsi="Calibri" w:cs="Times New Roman"/>
      <w:lang w:val="en-US" w:eastAsia="en-US"/>
    </w:rPr>
  </w:style>
  <w:style w:type="character" w:styleId="Appeldenotedefin">
    <w:name w:val="endnote reference"/>
    <w:uiPriority w:val="99"/>
    <w:semiHidden/>
    <w:unhideWhenUsed/>
    <w:rsid w:val="00D47226"/>
    <w:rPr>
      <w:vertAlign w:val="superscript"/>
    </w:rPr>
  </w:style>
  <w:style w:type="character" w:customStyle="1" w:styleId="UnresolvedMention1">
    <w:name w:val="Unresolved Mention1"/>
    <w:basedOn w:val="Policepardfaut"/>
    <w:uiPriority w:val="99"/>
    <w:semiHidden/>
    <w:unhideWhenUsed/>
    <w:rsid w:val="009C0510"/>
    <w:rPr>
      <w:color w:val="605E5C"/>
      <w:shd w:val="clear" w:color="auto" w:fill="E1DFDD"/>
    </w:rPr>
  </w:style>
  <w:style w:type="character" w:customStyle="1" w:styleId="UnresolvedMention2">
    <w:name w:val="Unresolved Mention2"/>
    <w:basedOn w:val="Policepardfaut"/>
    <w:uiPriority w:val="99"/>
    <w:semiHidden/>
    <w:unhideWhenUsed/>
    <w:rsid w:val="00704766"/>
    <w:rPr>
      <w:color w:val="605E5C"/>
      <w:shd w:val="clear" w:color="auto" w:fill="E1DFDD"/>
    </w:rPr>
  </w:style>
  <w:style w:type="paragraph" w:customStyle="1" w:styleId="Footnote">
    <w:name w:val="Footnote"/>
    <w:basedOn w:val="Notedefin"/>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 w:type="character" w:customStyle="1" w:styleId="UnresolvedMention20">
    <w:name w:val="Unresolved Mention2"/>
    <w:basedOn w:val="Policepardfaut"/>
    <w:uiPriority w:val="99"/>
    <w:semiHidden/>
    <w:unhideWhenUsed/>
    <w:rsid w:val="00FE1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922153">
      <w:bodyDiv w:val="1"/>
      <w:marLeft w:val="0"/>
      <w:marRight w:val="0"/>
      <w:marTop w:val="0"/>
      <w:marBottom w:val="0"/>
      <w:divBdr>
        <w:top w:val="none" w:sz="0" w:space="0" w:color="auto"/>
        <w:left w:val="none" w:sz="0" w:space="0" w:color="auto"/>
        <w:bottom w:val="none" w:sz="0" w:space="0" w:color="auto"/>
        <w:right w:val="none" w:sz="0" w:space="0" w:color="auto"/>
      </w:divBdr>
    </w:div>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200DA-44F1-428C-9F49-EFFE5306C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Template>
  <TotalTime>1</TotalTime>
  <Pages>2</Pages>
  <Words>727</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Adelaida Shabanaj</cp:lastModifiedBy>
  <cp:revision>4</cp:revision>
  <dcterms:created xsi:type="dcterms:W3CDTF">2021-05-10T14:55:00Z</dcterms:created>
  <dcterms:modified xsi:type="dcterms:W3CDTF">2021-05-10T14:55:00Z</dcterms:modified>
</cp:coreProperties>
</file>