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DA5B3" w14:textId="60B1E798" w:rsidR="000A0709" w:rsidRPr="002D31C9" w:rsidRDefault="00170E57" w:rsidP="00BA2DE3">
      <w:pPr>
        <w:pageBreakBefore/>
        <w:bidi/>
        <w:jc w:val="center"/>
        <w:rPr>
          <w:b/>
          <w:bCs/>
          <w:sz w:val="24"/>
          <w:szCs w:val="28"/>
        </w:rPr>
      </w:pPr>
      <w:r w:rsidRPr="002D31C9">
        <w:rPr>
          <w:b/>
          <w:bCs/>
          <w:sz w:val="24"/>
          <w:szCs w:val="28"/>
          <w:rtl/>
        </w:rPr>
        <w:t>اللمحة العامة والأسس المنطقية</w:t>
      </w:r>
      <w:r w:rsidRPr="002D31C9">
        <w:rPr>
          <w:b/>
          <w:bCs/>
          <w:sz w:val="24"/>
          <w:szCs w:val="28"/>
        </w:rPr>
        <w:tab/>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6582"/>
        <w:gridCol w:w="1533"/>
      </w:tblGrid>
      <w:tr w:rsidR="005473CF" w:rsidRPr="00D92838" w14:paraId="444E6B11" w14:textId="77777777" w:rsidTr="00170E57">
        <w:trPr>
          <w:cantSplit/>
        </w:trPr>
        <w:tc>
          <w:tcPr>
            <w:tcW w:w="786" w:type="pct"/>
            <w:shd w:val="clear" w:color="auto" w:fill="auto"/>
          </w:tcPr>
          <w:p w14:paraId="726A84B0" w14:textId="330701C2" w:rsidR="005473CF" w:rsidRPr="00B01268" w:rsidRDefault="00170E57" w:rsidP="00BA2DE3">
            <w:pPr>
              <w:bidi/>
              <w:spacing w:before="120"/>
              <w:jc w:val="both"/>
              <w:rPr>
                <w:b/>
                <w:sz w:val="24"/>
              </w:rPr>
            </w:pPr>
            <w:r w:rsidRPr="00B01268">
              <w:rPr>
                <w:b/>
                <w:bCs/>
                <w:sz w:val="24"/>
                <w:rtl/>
                <w:lang w:bidi="ar-EG"/>
              </w:rPr>
              <w:t>المؤشر</w:t>
            </w:r>
          </w:p>
        </w:tc>
        <w:tc>
          <w:tcPr>
            <w:tcW w:w="4214" w:type="pct"/>
            <w:gridSpan w:val="2"/>
            <w:shd w:val="clear" w:color="auto" w:fill="auto"/>
          </w:tcPr>
          <w:p w14:paraId="7B714AC5" w14:textId="68B47D9F" w:rsidR="005473CF" w:rsidRPr="00B01268" w:rsidRDefault="001076C9" w:rsidP="00BA2DE3">
            <w:pPr>
              <w:pStyle w:val="ListParagraph"/>
              <w:keepLines/>
              <w:numPr>
                <w:ilvl w:val="0"/>
                <w:numId w:val="77"/>
              </w:numPr>
              <w:bidi/>
              <w:spacing w:before="120"/>
              <w:jc w:val="both"/>
              <w:rPr>
                <w:bCs/>
                <w:sz w:val="24"/>
                <w:szCs w:val="24"/>
              </w:rPr>
            </w:pPr>
            <w:r w:rsidRPr="00B01268">
              <w:rPr>
                <w:bCs/>
                <w:sz w:val="24"/>
                <w:szCs w:val="24"/>
                <w:rtl/>
              </w:rPr>
              <w:t>النسبة المئوية للدول الأطراف التي تشارك بنشاط في إقامة الشبكات الدولية والتعاون المؤسسي</w:t>
            </w:r>
          </w:p>
        </w:tc>
      </w:tr>
      <w:tr w:rsidR="005B0FE5" w:rsidRPr="00D92838" w14:paraId="2F8A5D43" w14:textId="77777777" w:rsidTr="00170E57">
        <w:trPr>
          <w:cantSplit/>
        </w:trPr>
        <w:tc>
          <w:tcPr>
            <w:tcW w:w="786" w:type="pct"/>
            <w:vMerge w:val="restart"/>
            <w:shd w:val="clear" w:color="auto" w:fill="auto"/>
          </w:tcPr>
          <w:p w14:paraId="0F6E3CA0" w14:textId="2707699F" w:rsidR="005B0FE5" w:rsidRPr="00B01268" w:rsidRDefault="00170E57" w:rsidP="00BA2DE3">
            <w:pPr>
              <w:bidi/>
              <w:spacing w:before="120"/>
              <w:jc w:val="both"/>
              <w:rPr>
                <w:b/>
                <w:sz w:val="24"/>
              </w:rPr>
            </w:pPr>
            <w:r w:rsidRPr="00B01268">
              <w:rPr>
                <w:b/>
                <w:bCs/>
                <w:sz w:val="24"/>
                <w:rtl/>
              </w:rPr>
              <w:t>عوامل التقييم الشامل</w:t>
            </w:r>
          </w:p>
        </w:tc>
        <w:tc>
          <w:tcPr>
            <w:tcW w:w="4214" w:type="pct"/>
            <w:gridSpan w:val="2"/>
            <w:shd w:val="clear" w:color="auto" w:fill="auto"/>
          </w:tcPr>
          <w:p w14:paraId="13188A9D" w14:textId="215338CA" w:rsidR="005B0FE5" w:rsidRPr="00B01268" w:rsidRDefault="00B33717" w:rsidP="00BA2DE3">
            <w:pPr>
              <w:keepLines/>
              <w:bidi/>
              <w:spacing w:before="120"/>
              <w:jc w:val="both"/>
              <w:rPr>
                <w:b/>
                <w:sz w:val="24"/>
              </w:rPr>
            </w:pPr>
            <w:r w:rsidRPr="00B01268">
              <w:rPr>
                <w:sz w:val="24"/>
                <w:rtl/>
              </w:rPr>
              <w:t xml:space="preserve">يتم تقييم هذا المؤشر على أساس ثلاثة عوامل على الصعيد القطري ترصدها كل دولة طرف </w:t>
            </w:r>
            <w:r w:rsidR="00AC13C1" w:rsidRPr="00B01268">
              <w:rPr>
                <w:rFonts w:hint="cs"/>
                <w:sz w:val="24"/>
                <w:rtl/>
                <w:lang w:bidi="ar-EG"/>
              </w:rPr>
              <w:t>و</w:t>
            </w:r>
            <w:r w:rsidR="00CE434D" w:rsidRPr="00B01268">
              <w:rPr>
                <w:rFonts w:hint="cs"/>
                <w:sz w:val="24"/>
                <w:rtl/>
                <w:lang w:bidi="ar-EG"/>
              </w:rPr>
              <w:t>ت</w:t>
            </w:r>
            <w:r w:rsidR="0064263C">
              <w:rPr>
                <w:rFonts w:hint="cs"/>
                <w:sz w:val="24"/>
                <w:rtl/>
                <w:lang w:bidi="ar-EG"/>
              </w:rPr>
              <w:t>عد التقرير</w:t>
            </w:r>
            <w:r w:rsidR="00CE434D" w:rsidRPr="00B01268">
              <w:rPr>
                <w:rFonts w:hint="cs"/>
                <w:sz w:val="24"/>
                <w:rtl/>
                <w:lang w:bidi="ar-EG"/>
              </w:rPr>
              <w:t xml:space="preserve"> عنها</w:t>
            </w:r>
            <w:r w:rsidRPr="00B01268">
              <w:rPr>
                <w:sz w:val="24"/>
                <w:rtl/>
              </w:rPr>
              <w:t>:</w:t>
            </w:r>
          </w:p>
        </w:tc>
      </w:tr>
      <w:tr w:rsidR="009324F1" w:rsidRPr="00D92838" w14:paraId="41172E28" w14:textId="77777777" w:rsidTr="00170E57">
        <w:trPr>
          <w:cantSplit/>
        </w:trPr>
        <w:tc>
          <w:tcPr>
            <w:tcW w:w="786" w:type="pct"/>
            <w:vMerge/>
            <w:shd w:val="clear" w:color="auto" w:fill="auto"/>
          </w:tcPr>
          <w:p w14:paraId="6A289DF7" w14:textId="77777777" w:rsidR="009324F1" w:rsidRPr="00B01268" w:rsidRDefault="009324F1" w:rsidP="00BA2DE3">
            <w:pPr>
              <w:bidi/>
              <w:spacing w:before="120"/>
              <w:jc w:val="both"/>
              <w:rPr>
                <w:b/>
                <w:sz w:val="24"/>
              </w:rPr>
            </w:pPr>
          </w:p>
        </w:tc>
        <w:tc>
          <w:tcPr>
            <w:tcW w:w="3418" w:type="pct"/>
            <w:shd w:val="clear" w:color="auto" w:fill="auto"/>
            <w:vAlign w:val="center"/>
          </w:tcPr>
          <w:p w14:paraId="31513309" w14:textId="34E3A4AB" w:rsidR="009324F1" w:rsidRPr="00B01268" w:rsidRDefault="001076C9" w:rsidP="00BA2DE3">
            <w:pPr>
              <w:keepLines/>
              <w:bidi/>
              <w:spacing w:before="120"/>
              <w:jc w:val="both"/>
              <w:rPr>
                <w:sz w:val="24"/>
              </w:rPr>
            </w:pPr>
            <w:r w:rsidRPr="00B01268">
              <w:rPr>
                <w:sz w:val="24"/>
                <w:rtl/>
              </w:rPr>
              <w:t>25-1 انخراط الدولة الطرف، كمضيف أو مستفيد، في أنشطة مراكز الفئة 2 لحفظ التراث الثقافي غير المادي.</w:t>
            </w:r>
          </w:p>
        </w:tc>
        <w:tc>
          <w:tcPr>
            <w:tcW w:w="796" w:type="pct"/>
            <w:shd w:val="clear" w:color="auto" w:fill="auto"/>
            <w:vAlign w:val="center"/>
          </w:tcPr>
          <w:p w14:paraId="131FAC06" w14:textId="27C283F5" w:rsidR="009324F1" w:rsidRPr="00B01268" w:rsidRDefault="002D31C9" w:rsidP="00BA2DE3">
            <w:pPr>
              <w:keepLines/>
              <w:bidi/>
              <w:spacing w:before="120"/>
              <w:jc w:val="both"/>
              <w:rPr>
                <w:sz w:val="24"/>
              </w:rPr>
            </w:pPr>
            <w:r w:rsidRPr="00B01268">
              <w:rPr>
                <w:sz w:val="24"/>
                <w:rtl/>
              </w:rPr>
              <w:t xml:space="preserve">التوجيه </w:t>
            </w:r>
            <w:r w:rsidR="004E4803" w:rsidRPr="00B01268">
              <w:rPr>
                <w:rFonts w:asciiTheme="majorBidi" w:hAnsiTheme="majorBidi"/>
                <w:sz w:val="24"/>
                <w:rtl/>
              </w:rPr>
              <w:t xml:space="preserve">التنفيذي </w:t>
            </w:r>
            <w:r w:rsidRPr="00B01268">
              <w:rPr>
                <w:sz w:val="24"/>
                <w:rtl/>
              </w:rPr>
              <w:t>88</w:t>
            </w:r>
          </w:p>
        </w:tc>
      </w:tr>
      <w:tr w:rsidR="009324F1" w:rsidRPr="00D92838" w14:paraId="4E56AE84" w14:textId="77777777" w:rsidTr="00170E57">
        <w:trPr>
          <w:cantSplit/>
        </w:trPr>
        <w:tc>
          <w:tcPr>
            <w:tcW w:w="786" w:type="pct"/>
            <w:vMerge/>
            <w:shd w:val="clear" w:color="auto" w:fill="auto"/>
          </w:tcPr>
          <w:p w14:paraId="3152956A" w14:textId="77777777" w:rsidR="009324F1" w:rsidRPr="00B01268" w:rsidRDefault="009324F1" w:rsidP="00BA2DE3">
            <w:pPr>
              <w:bidi/>
              <w:spacing w:before="120"/>
              <w:jc w:val="both"/>
              <w:rPr>
                <w:b/>
                <w:sz w:val="24"/>
              </w:rPr>
            </w:pPr>
          </w:p>
        </w:tc>
        <w:tc>
          <w:tcPr>
            <w:tcW w:w="3418" w:type="pct"/>
            <w:shd w:val="clear" w:color="auto" w:fill="auto"/>
            <w:vAlign w:val="center"/>
          </w:tcPr>
          <w:p w14:paraId="483AD807" w14:textId="1BBF9E06" w:rsidR="009324F1" w:rsidRPr="00B01268" w:rsidRDefault="001076C9" w:rsidP="00BA2DE3">
            <w:pPr>
              <w:keepLines/>
              <w:bidi/>
              <w:spacing w:before="120"/>
              <w:jc w:val="both"/>
              <w:rPr>
                <w:sz w:val="24"/>
              </w:rPr>
            </w:pPr>
            <w:r w:rsidRPr="00B01268">
              <w:rPr>
                <w:sz w:val="24"/>
                <w:rtl/>
              </w:rPr>
              <w:t>25-2 تعزيز الربط الشبكي الدولي بين الجماعات، والمجموعات، والأفراد، والمنظّمات غير الحكومية، والخبراء، ومراكز الخبرة، ومعاهد البحوث الناشطين في مجال التراث الثقافي غير المادي.</w:t>
            </w:r>
          </w:p>
        </w:tc>
        <w:tc>
          <w:tcPr>
            <w:tcW w:w="796" w:type="pct"/>
            <w:shd w:val="clear" w:color="auto" w:fill="auto"/>
            <w:vAlign w:val="center"/>
          </w:tcPr>
          <w:p w14:paraId="147E5A30" w14:textId="2436D8E4" w:rsidR="009324F1" w:rsidRPr="00B01268" w:rsidRDefault="002D31C9" w:rsidP="00BA2DE3">
            <w:pPr>
              <w:bidi/>
              <w:spacing w:before="60" w:after="60"/>
              <w:jc w:val="both"/>
              <w:rPr>
                <w:sz w:val="24"/>
              </w:rPr>
            </w:pPr>
            <w:r w:rsidRPr="00B01268">
              <w:rPr>
                <w:sz w:val="24"/>
                <w:rtl/>
              </w:rPr>
              <w:t xml:space="preserve">التوجيه </w:t>
            </w:r>
            <w:r w:rsidR="004E4803" w:rsidRPr="00B01268">
              <w:rPr>
                <w:rFonts w:asciiTheme="majorBidi" w:hAnsiTheme="majorBidi"/>
                <w:sz w:val="24"/>
                <w:rtl/>
              </w:rPr>
              <w:t xml:space="preserve">التنفيذي </w:t>
            </w:r>
            <w:r w:rsidRPr="00B01268">
              <w:rPr>
                <w:rFonts w:hint="cs"/>
                <w:sz w:val="24"/>
                <w:rtl/>
              </w:rPr>
              <w:t>86</w:t>
            </w:r>
          </w:p>
        </w:tc>
      </w:tr>
      <w:tr w:rsidR="009324F1" w:rsidRPr="00D92838" w14:paraId="55E6AAF8" w14:textId="77777777" w:rsidTr="00170E57">
        <w:trPr>
          <w:cantSplit/>
        </w:trPr>
        <w:tc>
          <w:tcPr>
            <w:tcW w:w="786" w:type="pct"/>
            <w:vMerge/>
            <w:shd w:val="clear" w:color="auto" w:fill="auto"/>
          </w:tcPr>
          <w:p w14:paraId="6E71D7F1" w14:textId="77777777" w:rsidR="009324F1" w:rsidRPr="00B01268" w:rsidRDefault="009324F1" w:rsidP="00BA2DE3">
            <w:pPr>
              <w:bidi/>
              <w:spacing w:before="120"/>
              <w:jc w:val="both"/>
              <w:rPr>
                <w:b/>
                <w:sz w:val="24"/>
              </w:rPr>
            </w:pPr>
          </w:p>
        </w:tc>
        <w:tc>
          <w:tcPr>
            <w:tcW w:w="3418" w:type="pct"/>
            <w:shd w:val="clear" w:color="auto" w:fill="auto"/>
            <w:vAlign w:val="center"/>
          </w:tcPr>
          <w:p w14:paraId="20761829" w14:textId="09CEC1C5" w:rsidR="009324F1" w:rsidRPr="00B01268" w:rsidRDefault="001076C9" w:rsidP="00BA2DE3">
            <w:pPr>
              <w:keepLines/>
              <w:bidi/>
              <w:spacing w:before="120"/>
              <w:jc w:val="both"/>
              <w:rPr>
                <w:sz w:val="24"/>
              </w:rPr>
            </w:pPr>
            <w:r w:rsidRPr="00B01268">
              <w:rPr>
                <w:sz w:val="24"/>
                <w:rtl/>
              </w:rPr>
              <w:t>25-3 مشاركة الدولة الطرف في الأنشطة المتّصلة بالتراث الثقافي غير المادي التابعة للهيئات الدولية والإقليمية غير اليونسكو.</w:t>
            </w:r>
          </w:p>
        </w:tc>
        <w:tc>
          <w:tcPr>
            <w:tcW w:w="796" w:type="pct"/>
            <w:shd w:val="clear" w:color="auto" w:fill="auto"/>
            <w:vAlign w:val="center"/>
          </w:tcPr>
          <w:p w14:paraId="6D89AE0A" w14:textId="70835B8A" w:rsidR="009324F1" w:rsidRPr="00B01268" w:rsidRDefault="009324F1" w:rsidP="00BA2DE3">
            <w:pPr>
              <w:keepLines/>
              <w:bidi/>
              <w:spacing w:before="120"/>
              <w:jc w:val="both"/>
              <w:rPr>
                <w:sz w:val="24"/>
              </w:rPr>
            </w:pPr>
          </w:p>
        </w:tc>
      </w:tr>
      <w:tr w:rsidR="005473CF" w:rsidRPr="00D92838" w14:paraId="10168063" w14:textId="77777777" w:rsidTr="00170E57">
        <w:trPr>
          <w:cantSplit/>
        </w:trPr>
        <w:tc>
          <w:tcPr>
            <w:tcW w:w="786" w:type="pct"/>
            <w:shd w:val="clear" w:color="auto" w:fill="auto"/>
          </w:tcPr>
          <w:p w14:paraId="0D39D752" w14:textId="6E25731D" w:rsidR="005473CF" w:rsidRPr="00B01268" w:rsidRDefault="00170E57" w:rsidP="00BA2DE3">
            <w:pPr>
              <w:bidi/>
              <w:spacing w:before="120"/>
              <w:jc w:val="both"/>
              <w:rPr>
                <w:b/>
                <w:sz w:val="24"/>
              </w:rPr>
            </w:pPr>
            <w:r w:rsidRPr="00B01268">
              <w:rPr>
                <w:b/>
                <w:bCs/>
                <w:sz w:val="24"/>
                <w:rtl/>
              </w:rPr>
              <w:t>العلاقة مع أهداف التنمية المستدامة والمؤشرات الأخرى</w:t>
            </w:r>
          </w:p>
        </w:tc>
        <w:tc>
          <w:tcPr>
            <w:tcW w:w="4214" w:type="pct"/>
            <w:gridSpan w:val="2"/>
            <w:shd w:val="clear" w:color="auto" w:fill="auto"/>
          </w:tcPr>
          <w:p w14:paraId="7F06157D" w14:textId="17E7CFC4" w:rsidR="005473CF" w:rsidRPr="00B01268" w:rsidRDefault="00BA27DF" w:rsidP="00BA2DE3">
            <w:pPr>
              <w:keepLines/>
              <w:bidi/>
              <w:spacing w:before="120"/>
              <w:jc w:val="both"/>
              <w:rPr>
                <w:sz w:val="24"/>
              </w:rPr>
            </w:pPr>
            <w:r w:rsidRPr="00B01268">
              <w:rPr>
                <w:b/>
                <w:bCs/>
                <w:sz w:val="24"/>
                <w:rtl/>
              </w:rPr>
              <w:t xml:space="preserve">أهداف التنمية المستدامة: </w:t>
            </w:r>
            <w:r w:rsidRPr="00B01268">
              <w:rPr>
                <w:sz w:val="24"/>
                <w:rtl/>
              </w:rPr>
              <w:t xml:space="preserve">يدعم هذا المؤشر الغاية 11-4 من أهداف التنمية المستدامة، </w:t>
            </w:r>
            <w:r w:rsidR="008F1B80" w:rsidRPr="00B01268">
              <w:rPr>
                <w:rFonts w:hint="cs"/>
                <w:sz w:val="24"/>
                <w:rtl/>
              </w:rPr>
              <w:t xml:space="preserve">المتعلقة </w:t>
            </w:r>
            <w:r w:rsidRPr="00B01268">
              <w:rPr>
                <w:sz w:val="24"/>
                <w:rtl/>
              </w:rPr>
              <w:t>بحماية التراث الثقافي والطبيعي العالمي</w:t>
            </w:r>
            <w:r w:rsidR="005053A6" w:rsidRPr="00B01268">
              <w:rPr>
                <w:sz w:val="24"/>
              </w:rPr>
              <w:t xml:space="preserve"> </w:t>
            </w:r>
            <w:r w:rsidR="005053A6" w:rsidRPr="00B01268">
              <w:rPr>
                <w:sz w:val="24"/>
                <w:rtl/>
              </w:rPr>
              <w:t>وصون</w:t>
            </w:r>
            <w:r w:rsidR="004E6DD7" w:rsidRPr="00B01268">
              <w:rPr>
                <w:rFonts w:hint="cs"/>
                <w:sz w:val="24"/>
                <w:rtl/>
                <w:lang w:bidi="ar-EG"/>
              </w:rPr>
              <w:t>ه</w:t>
            </w:r>
            <w:r w:rsidRPr="00B01268">
              <w:rPr>
                <w:sz w:val="24"/>
                <w:rtl/>
              </w:rPr>
              <w:t>. ويكمل الغاية 17-17 من أهداف التنمية المستدامة</w:t>
            </w:r>
            <w:r w:rsidR="008F1B80" w:rsidRPr="00B01268">
              <w:rPr>
                <w:rFonts w:hint="cs"/>
                <w:sz w:val="24"/>
                <w:rtl/>
              </w:rPr>
              <w:t xml:space="preserve"> </w:t>
            </w:r>
            <w:r w:rsidRPr="00B01268">
              <w:rPr>
                <w:sz w:val="24"/>
                <w:rtl/>
              </w:rPr>
              <w:t>التي تهدف إلى "تشجيع وتعزيز الشراكات العامة وبين القطاع العام والقطاع الخاص وشراكات المجتمع المدني الفعالة".</w:t>
            </w:r>
          </w:p>
          <w:p w14:paraId="27735F29" w14:textId="18847516" w:rsidR="005473CF" w:rsidRPr="00B01268" w:rsidRDefault="00DC748A" w:rsidP="00BA2DE3">
            <w:pPr>
              <w:keepLines/>
              <w:bidi/>
              <w:spacing w:before="120"/>
              <w:jc w:val="both"/>
              <w:rPr>
                <w:bCs/>
                <w:sz w:val="24"/>
              </w:rPr>
            </w:pPr>
            <w:r w:rsidRPr="00B01268">
              <w:rPr>
                <w:bCs/>
                <w:sz w:val="24"/>
                <w:rtl/>
              </w:rPr>
              <w:t>العلاقة بالمؤشرات الأخرى:</w:t>
            </w:r>
            <w:r w:rsidRPr="00B01268">
              <w:rPr>
                <w:b/>
                <w:sz w:val="24"/>
                <w:rtl/>
              </w:rPr>
              <w:t xml:space="preserve"> يكمل المؤشر الحالي المؤشر 24 </w:t>
            </w:r>
            <w:r w:rsidR="008F1B80" w:rsidRPr="00B01268">
              <w:rPr>
                <w:rFonts w:hint="cs"/>
                <w:b/>
                <w:sz w:val="24"/>
                <w:rtl/>
              </w:rPr>
              <w:t xml:space="preserve">المتعلق </w:t>
            </w:r>
            <w:r w:rsidRPr="00B01268">
              <w:rPr>
                <w:b/>
                <w:sz w:val="24"/>
                <w:rtl/>
              </w:rPr>
              <w:t xml:space="preserve">بالتعاون الدولي من أجل الصون. ويتحول التركيز هنا إلى المؤسسات والجهات الفاعلة الأخرى </w:t>
            </w:r>
            <w:r w:rsidR="00D57E7C" w:rsidRPr="00B01268">
              <w:rPr>
                <w:rFonts w:hint="cs"/>
                <w:b/>
                <w:sz w:val="24"/>
                <w:rtl/>
              </w:rPr>
              <w:t>التي تضطلع</w:t>
            </w:r>
            <w:r w:rsidRPr="00B01268">
              <w:rPr>
                <w:b/>
                <w:sz w:val="24"/>
                <w:rtl/>
              </w:rPr>
              <w:t xml:space="preserve"> بمثل هذه الأنشطة. قد تكون هذه المؤسسات من بين تلك المذكورة في مؤشرات أخرى، مثل المؤشر 1 (القدرات المؤسسية)، أو</w:t>
            </w:r>
            <w:r w:rsidR="003C0C86" w:rsidRPr="00B01268">
              <w:rPr>
                <w:b/>
                <w:sz w:val="24"/>
              </w:rPr>
              <w:t xml:space="preserve"> </w:t>
            </w:r>
            <w:r w:rsidRPr="00B01268">
              <w:rPr>
                <w:b/>
                <w:sz w:val="24"/>
                <w:rtl/>
              </w:rPr>
              <w:t xml:space="preserve">المؤشر 2 (مؤسسات بناء القدرات)، أو المؤشر 6 (مؤسسات التعليم ما بعد </w:t>
            </w:r>
            <w:r w:rsidR="00D57E7C" w:rsidRPr="00B01268">
              <w:rPr>
                <w:rFonts w:hint="cs"/>
                <w:b/>
                <w:sz w:val="24"/>
                <w:rtl/>
              </w:rPr>
              <w:t xml:space="preserve">المرحلة </w:t>
            </w:r>
            <w:r w:rsidRPr="00B01268">
              <w:rPr>
                <w:b/>
                <w:sz w:val="24"/>
                <w:rtl/>
              </w:rPr>
              <w:t>الثانوي</w:t>
            </w:r>
            <w:r w:rsidR="00D57E7C" w:rsidRPr="00B01268">
              <w:rPr>
                <w:rFonts w:hint="cs"/>
                <w:b/>
                <w:sz w:val="24"/>
                <w:rtl/>
              </w:rPr>
              <w:t>ة</w:t>
            </w:r>
            <w:r w:rsidRPr="00B01268">
              <w:rPr>
                <w:b/>
                <w:sz w:val="24"/>
                <w:rtl/>
              </w:rPr>
              <w:t>).</w:t>
            </w:r>
          </w:p>
        </w:tc>
      </w:tr>
      <w:tr w:rsidR="00896177" w:rsidRPr="00D92838" w14:paraId="3E8F009F" w14:textId="77777777" w:rsidTr="00170E57">
        <w:trPr>
          <w:cantSplit/>
        </w:trPr>
        <w:tc>
          <w:tcPr>
            <w:tcW w:w="786" w:type="pct"/>
            <w:shd w:val="clear" w:color="auto" w:fill="auto"/>
          </w:tcPr>
          <w:p w14:paraId="4A481D4C" w14:textId="787AA5B6" w:rsidR="00896177" w:rsidRPr="00B01268" w:rsidRDefault="00170E57" w:rsidP="00BA2DE3">
            <w:pPr>
              <w:bidi/>
              <w:spacing w:before="120"/>
              <w:jc w:val="both"/>
              <w:rPr>
                <w:b/>
                <w:sz w:val="24"/>
              </w:rPr>
            </w:pPr>
            <w:r w:rsidRPr="00B01268">
              <w:rPr>
                <w:b/>
                <w:bCs/>
                <w:sz w:val="24"/>
                <w:rtl/>
              </w:rPr>
              <w:t xml:space="preserve">الأسس المنطقية </w:t>
            </w:r>
            <w:r w:rsidR="00133B4A" w:rsidRPr="00B01268">
              <w:rPr>
                <w:rFonts w:hint="cs"/>
                <w:b/>
                <w:bCs/>
                <w:sz w:val="24"/>
                <w:rtl/>
              </w:rPr>
              <w:t>للإجراءات</w:t>
            </w:r>
          </w:p>
        </w:tc>
        <w:tc>
          <w:tcPr>
            <w:tcW w:w="4214" w:type="pct"/>
            <w:gridSpan w:val="2"/>
            <w:shd w:val="clear" w:color="auto" w:fill="auto"/>
          </w:tcPr>
          <w:p w14:paraId="4B98C373" w14:textId="76F99A54" w:rsidR="00704766" w:rsidRPr="00B01268" w:rsidRDefault="007A0563" w:rsidP="00BA2DE3">
            <w:pPr>
              <w:keepLines/>
              <w:bidi/>
              <w:spacing w:before="120"/>
              <w:jc w:val="both"/>
              <w:rPr>
                <w:sz w:val="24"/>
              </w:rPr>
            </w:pPr>
            <w:r w:rsidRPr="00B01268">
              <w:rPr>
                <w:sz w:val="24"/>
                <w:rtl/>
              </w:rPr>
              <w:t xml:space="preserve">كما ورد في المؤشر 24، يعد أحد </w:t>
            </w:r>
            <w:r w:rsidR="00AC13C1" w:rsidRPr="00B01268">
              <w:rPr>
                <w:rFonts w:hint="cs"/>
                <w:sz w:val="24"/>
                <w:rtl/>
              </w:rPr>
              <w:t>الأهداف</w:t>
            </w:r>
            <w:r w:rsidRPr="00B01268">
              <w:rPr>
                <w:sz w:val="24"/>
                <w:rtl/>
              </w:rPr>
              <w:t xml:space="preserve"> الأربعة للاتفاقية "تحقيق التعاون الدولي والمساعدة الدولية" (المادة 1(د))، وتُعرِف الاتفاقية التعاون الدولي على أنه يشمل المبادرات المشتركة، ضمن أمور أخرى (المادة 19). وتتطلب المادة 19 من الدول "أن تتعاون على المستوى الثنائي ودون الإقليمي والإقليمي والدولي". ويمكن إضفاء الطابع الرسمي على هذا التعاون من خلال </w:t>
            </w:r>
            <w:r w:rsidR="00550BFF" w:rsidRPr="00B01268">
              <w:rPr>
                <w:rFonts w:hint="cs"/>
                <w:sz w:val="24"/>
                <w:rtl/>
              </w:rPr>
              <w:t xml:space="preserve">الربط الشبكي </w:t>
            </w:r>
            <w:r w:rsidRPr="00B01268">
              <w:rPr>
                <w:sz w:val="24"/>
                <w:rtl/>
              </w:rPr>
              <w:t>والتعاون المؤسسي، كما هو موضح هنا. وعادةً ما تشارك مراكز الفئة 2 في تعزيز ال</w:t>
            </w:r>
            <w:r w:rsidR="00D96BA7" w:rsidRPr="00B01268">
              <w:rPr>
                <w:rFonts w:hint="cs"/>
                <w:sz w:val="24"/>
                <w:rtl/>
              </w:rPr>
              <w:t>شبكات</w:t>
            </w:r>
            <w:r w:rsidRPr="00B01268">
              <w:rPr>
                <w:sz w:val="24"/>
                <w:rtl/>
              </w:rPr>
              <w:t xml:space="preserve"> الدولي</w:t>
            </w:r>
            <w:r w:rsidR="00D96BA7" w:rsidRPr="00B01268">
              <w:rPr>
                <w:rFonts w:hint="cs"/>
                <w:sz w:val="24"/>
                <w:rtl/>
              </w:rPr>
              <w:t>ة</w:t>
            </w:r>
            <w:r w:rsidRPr="00B01268">
              <w:rPr>
                <w:sz w:val="24"/>
                <w:rtl/>
              </w:rPr>
              <w:t xml:space="preserve"> والإقليمي</w:t>
            </w:r>
            <w:r w:rsidR="00D96BA7" w:rsidRPr="00B01268">
              <w:rPr>
                <w:rFonts w:hint="cs"/>
                <w:sz w:val="24"/>
                <w:rtl/>
              </w:rPr>
              <w:t>ة</w:t>
            </w:r>
            <w:r w:rsidRPr="00B01268">
              <w:rPr>
                <w:sz w:val="24"/>
                <w:rtl/>
              </w:rPr>
              <w:t>، وتبادل الخبرات في مجال الصون،</w:t>
            </w:r>
            <w:r w:rsidR="00044A74" w:rsidRPr="00B01268">
              <w:rPr>
                <w:rFonts w:hint="cs"/>
                <w:sz w:val="24"/>
                <w:rtl/>
              </w:rPr>
              <w:t xml:space="preserve"> و</w:t>
            </w:r>
            <w:r w:rsidRPr="00B01268">
              <w:rPr>
                <w:sz w:val="24"/>
                <w:rtl/>
              </w:rPr>
              <w:t>لا سيما في سياق دعم برنامج بناء القدرات التابع للاتفاقية. وتشمل الإجراءات التي تتخذها وكالات الأمم المتحدة والهيئات الإقليمية الأخرى تدريجيًا التراث الثقافي غير المادي وصونه، وت</w:t>
            </w:r>
            <w:r w:rsidR="00044A74" w:rsidRPr="00B01268">
              <w:rPr>
                <w:rFonts w:hint="cs"/>
                <w:sz w:val="24"/>
                <w:rtl/>
              </w:rPr>
              <w:t>لاحظ</w:t>
            </w:r>
            <w:r w:rsidRPr="00B01268">
              <w:rPr>
                <w:sz w:val="24"/>
                <w:rtl/>
              </w:rPr>
              <w:t xml:space="preserve"> العديد من الدول أنها منتدى مهم للتعاون الدولي.</w:t>
            </w:r>
          </w:p>
        </w:tc>
      </w:tr>
      <w:tr w:rsidR="00704766" w:rsidRPr="00D92838" w14:paraId="686843AD" w14:textId="77777777" w:rsidTr="00170E57">
        <w:trPr>
          <w:cantSplit/>
        </w:trPr>
        <w:tc>
          <w:tcPr>
            <w:tcW w:w="786" w:type="pct"/>
            <w:shd w:val="clear" w:color="auto" w:fill="auto"/>
          </w:tcPr>
          <w:p w14:paraId="4EF2A622" w14:textId="77777777" w:rsidR="00170E57" w:rsidRPr="00B01268" w:rsidRDefault="00170E57" w:rsidP="00BA2DE3">
            <w:pPr>
              <w:bidi/>
              <w:spacing w:before="120" w:after="60"/>
              <w:jc w:val="both"/>
              <w:rPr>
                <w:b/>
                <w:sz w:val="24"/>
              </w:rPr>
            </w:pPr>
            <w:r w:rsidRPr="00B01268">
              <w:rPr>
                <w:b/>
                <w:bCs/>
                <w:sz w:val="24"/>
                <w:rtl/>
              </w:rPr>
              <w:t>المصطلحات الرئيسية</w:t>
            </w:r>
          </w:p>
          <w:p w14:paraId="50B7AD36" w14:textId="42584242" w:rsidR="00704766" w:rsidRPr="00B01268" w:rsidRDefault="00704766" w:rsidP="00BA2DE3">
            <w:pPr>
              <w:bidi/>
              <w:spacing w:before="120" w:after="60"/>
              <w:jc w:val="both"/>
              <w:rPr>
                <w:b/>
                <w:sz w:val="24"/>
              </w:rPr>
            </w:pPr>
          </w:p>
        </w:tc>
        <w:tc>
          <w:tcPr>
            <w:tcW w:w="4214" w:type="pct"/>
            <w:gridSpan w:val="2"/>
            <w:shd w:val="clear" w:color="auto" w:fill="auto"/>
          </w:tcPr>
          <w:p w14:paraId="0AE33A63" w14:textId="5E70E85D" w:rsidR="001B1EF0" w:rsidRPr="00B01268" w:rsidRDefault="001B1EF0" w:rsidP="00BA2DE3">
            <w:pPr>
              <w:pStyle w:val="ListParagraph"/>
              <w:numPr>
                <w:ilvl w:val="0"/>
                <w:numId w:val="71"/>
              </w:numPr>
              <w:bidi/>
              <w:spacing w:before="120"/>
              <w:jc w:val="both"/>
              <w:rPr>
                <w:rFonts w:ascii="Times New Roman" w:hAnsi="Times New Roman"/>
                <w:sz w:val="24"/>
                <w:szCs w:val="24"/>
                <w:lang w:val="en-GB"/>
              </w:rPr>
            </w:pPr>
            <w:r w:rsidRPr="00B01268">
              <w:rPr>
                <w:rFonts w:ascii="Times New Roman" w:hAnsi="Times New Roman"/>
                <w:sz w:val="24"/>
                <w:szCs w:val="24"/>
                <w:rtl/>
                <w:lang w:val="en-GB"/>
              </w:rPr>
              <w:t>مراكز الفئة 2</w:t>
            </w:r>
          </w:p>
          <w:p w14:paraId="4A439106" w14:textId="40B92BAF" w:rsidR="001B1EF0" w:rsidRPr="00B01268" w:rsidRDefault="003C7F15" w:rsidP="00BA2DE3">
            <w:pPr>
              <w:pStyle w:val="ListParagraph"/>
              <w:numPr>
                <w:ilvl w:val="0"/>
                <w:numId w:val="71"/>
              </w:numPr>
              <w:bidi/>
              <w:spacing w:before="120"/>
              <w:jc w:val="both"/>
              <w:rPr>
                <w:rFonts w:ascii="Times New Roman" w:hAnsi="Times New Roman"/>
                <w:sz w:val="24"/>
                <w:szCs w:val="24"/>
                <w:lang w:val="en-GB"/>
              </w:rPr>
            </w:pPr>
            <w:r w:rsidRPr="00B01268">
              <w:rPr>
                <w:rFonts w:ascii="Times New Roman" w:hAnsi="Times New Roman"/>
                <w:sz w:val="24"/>
                <w:szCs w:val="24"/>
                <w:rtl/>
                <w:lang w:val="en-GB"/>
              </w:rPr>
              <w:t>جماعات أو مجموعات أو</w:t>
            </w:r>
            <w:r w:rsidR="0096608A" w:rsidRPr="00B01268">
              <w:rPr>
                <w:rFonts w:ascii="Times New Roman" w:hAnsi="Times New Roman"/>
                <w:sz w:val="24"/>
                <w:szCs w:val="24"/>
                <w:rtl/>
                <w:lang w:val="en-GB"/>
              </w:rPr>
              <w:t xml:space="preserve"> أحيانًا</w:t>
            </w:r>
            <w:r w:rsidRPr="00B01268">
              <w:rPr>
                <w:rFonts w:ascii="Times New Roman" w:hAnsi="Times New Roman"/>
                <w:sz w:val="24"/>
                <w:szCs w:val="24"/>
                <w:rtl/>
                <w:lang w:val="en-GB"/>
              </w:rPr>
              <w:t xml:space="preserve"> </w:t>
            </w:r>
            <w:r w:rsidR="001B1EF0" w:rsidRPr="00B01268">
              <w:rPr>
                <w:rFonts w:ascii="Times New Roman" w:hAnsi="Times New Roman"/>
                <w:sz w:val="24"/>
                <w:szCs w:val="24"/>
                <w:rtl/>
                <w:lang w:val="en-GB"/>
              </w:rPr>
              <w:t>أفراد</w:t>
            </w:r>
          </w:p>
          <w:p w14:paraId="1D1F81B4" w14:textId="2DA8DFE7" w:rsidR="001B1EF0" w:rsidRPr="00B01268" w:rsidRDefault="00133B4A" w:rsidP="00BA2DE3">
            <w:pPr>
              <w:pStyle w:val="ListParagraph"/>
              <w:numPr>
                <w:ilvl w:val="0"/>
                <w:numId w:val="71"/>
              </w:numPr>
              <w:bidi/>
              <w:spacing w:before="120"/>
              <w:jc w:val="both"/>
              <w:rPr>
                <w:rFonts w:ascii="Times New Roman" w:hAnsi="Times New Roman"/>
                <w:sz w:val="24"/>
                <w:szCs w:val="24"/>
                <w:lang w:val="en-GB"/>
              </w:rPr>
            </w:pPr>
            <w:r w:rsidRPr="00B01268">
              <w:rPr>
                <w:rFonts w:ascii="Times New Roman" w:hAnsi="Times New Roman" w:hint="cs"/>
                <w:sz w:val="24"/>
                <w:szCs w:val="24"/>
                <w:rtl/>
                <w:lang w:val="en-GB"/>
              </w:rPr>
              <w:t>ال</w:t>
            </w:r>
            <w:r w:rsidR="003C7F15" w:rsidRPr="00B01268">
              <w:rPr>
                <w:rFonts w:ascii="Times New Roman" w:hAnsi="Times New Roman"/>
                <w:sz w:val="24"/>
                <w:szCs w:val="24"/>
                <w:rtl/>
                <w:lang w:val="en-GB"/>
              </w:rPr>
              <w:t xml:space="preserve">منظمات غير </w:t>
            </w:r>
            <w:r w:rsidRPr="00B01268">
              <w:rPr>
                <w:rFonts w:ascii="Times New Roman" w:hAnsi="Times New Roman" w:hint="cs"/>
                <w:sz w:val="24"/>
                <w:szCs w:val="24"/>
                <w:rtl/>
                <w:lang w:val="en-GB"/>
              </w:rPr>
              <w:t>ال</w:t>
            </w:r>
            <w:r w:rsidR="001B1EF0" w:rsidRPr="00B01268">
              <w:rPr>
                <w:rFonts w:ascii="Times New Roman" w:hAnsi="Times New Roman"/>
                <w:sz w:val="24"/>
                <w:szCs w:val="24"/>
                <w:rtl/>
                <w:lang w:val="en-GB"/>
              </w:rPr>
              <w:t>حكومية</w:t>
            </w:r>
          </w:p>
          <w:p w14:paraId="5CBF86CB" w14:textId="5339310F" w:rsidR="001B1EF0" w:rsidRPr="00B01268" w:rsidRDefault="003C7F15" w:rsidP="00BA2DE3">
            <w:pPr>
              <w:pStyle w:val="ListParagraph"/>
              <w:numPr>
                <w:ilvl w:val="0"/>
                <w:numId w:val="71"/>
              </w:numPr>
              <w:bidi/>
              <w:spacing w:before="120"/>
              <w:jc w:val="both"/>
              <w:rPr>
                <w:rFonts w:ascii="Times New Roman" w:hAnsi="Times New Roman"/>
                <w:sz w:val="24"/>
                <w:szCs w:val="24"/>
                <w:lang w:val="en-GB"/>
              </w:rPr>
            </w:pPr>
            <w:r w:rsidRPr="00B01268">
              <w:rPr>
                <w:rFonts w:ascii="Times New Roman" w:hAnsi="Times New Roman"/>
                <w:sz w:val="24"/>
                <w:szCs w:val="24"/>
                <w:rtl/>
                <w:lang w:val="en-GB"/>
              </w:rPr>
              <w:t xml:space="preserve">مراكز </w:t>
            </w:r>
            <w:r w:rsidR="00044A74" w:rsidRPr="00B01268">
              <w:rPr>
                <w:rFonts w:ascii="Times New Roman" w:hAnsi="Times New Roman" w:hint="cs"/>
                <w:sz w:val="24"/>
                <w:szCs w:val="24"/>
                <w:rtl/>
                <w:lang w:val="en-GB"/>
              </w:rPr>
              <w:t>ال</w:t>
            </w:r>
            <w:r w:rsidR="001B1EF0" w:rsidRPr="00B01268">
              <w:rPr>
                <w:rFonts w:ascii="Times New Roman" w:hAnsi="Times New Roman"/>
                <w:sz w:val="24"/>
                <w:szCs w:val="24"/>
                <w:rtl/>
                <w:lang w:val="en-GB"/>
              </w:rPr>
              <w:t>خبرة</w:t>
            </w:r>
          </w:p>
          <w:p w14:paraId="3AA300A0" w14:textId="5007B7E7" w:rsidR="001B1EF0" w:rsidRPr="00B01268" w:rsidRDefault="003C7F15" w:rsidP="00BA2DE3">
            <w:pPr>
              <w:pStyle w:val="ListParagraph"/>
              <w:numPr>
                <w:ilvl w:val="0"/>
                <w:numId w:val="71"/>
              </w:numPr>
              <w:bidi/>
              <w:spacing w:before="120"/>
              <w:jc w:val="both"/>
              <w:rPr>
                <w:rFonts w:ascii="Times New Roman" w:hAnsi="Times New Roman"/>
                <w:sz w:val="24"/>
                <w:szCs w:val="24"/>
                <w:lang w:val="en-GB"/>
              </w:rPr>
            </w:pPr>
            <w:r w:rsidRPr="00B01268">
              <w:rPr>
                <w:rFonts w:ascii="Times New Roman" w:hAnsi="Times New Roman"/>
                <w:sz w:val="24"/>
                <w:szCs w:val="24"/>
                <w:rtl/>
                <w:lang w:val="en-GB"/>
              </w:rPr>
              <w:t xml:space="preserve">مؤسسات </w:t>
            </w:r>
            <w:r w:rsidR="00044A74" w:rsidRPr="00B01268">
              <w:rPr>
                <w:rFonts w:ascii="Times New Roman" w:hAnsi="Times New Roman" w:hint="cs"/>
                <w:sz w:val="24"/>
                <w:szCs w:val="24"/>
                <w:rtl/>
                <w:lang w:val="en-GB"/>
              </w:rPr>
              <w:t>ال</w:t>
            </w:r>
            <w:r w:rsidR="001B1EF0" w:rsidRPr="00B01268">
              <w:rPr>
                <w:rFonts w:ascii="Times New Roman" w:hAnsi="Times New Roman"/>
                <w:sz w:val="24"/>
                <w:szCs w:val="24"/>
                <w:rtl/>
                <w:lang w:val="en-GB"/>
              </w:rPr>
              <w:t>بحوث</w:t>
            </w:r>
          </w:p>
          <w:p w14:paraId="023FE607" w14:textId="0B0F4E80" w:rsidR="009324F1" w:rsidRPr="00B01268" w:rsidRDefault="00133B4A" w:rsidP="00BA2DE3">
            <w:pPr>
              <w:pStyle w:val="ListParagraph"/>
              <w:numPr>
                <w:ilvl w:val="0"/>
                <w:numId w:val="71"/>
              </w:numPr>
              <w:bidi/>
              <w:spacing w:before="120" w:after="120"/>
              <w:jc w:val="both"/>
              <w:rPr>
                <w:rFonts w:ascii="Times New Roman" w:hAnsi="Times New Roman"/>
                <w:sz w:val="24"/>
                <w:szCs w:val="24"/>
                <w:lang w:val="en-GB"/>
              </w:rPr>
            </w:pPr>
            <w:r w:rsidRPr="00B01268">
              <w:rPr>
                <w:rFonts w:ascii="Times New Roman" w:hAnsi="Times New Roman" w:hint="cs"/>
                <w:sz w:val="24"/>
                <w:szCs w:val="24"/>
                <w:rtl/>
                <w:lang w:val="en-GB"/>
              </w:rPr>
              <w:t>ال</w:t>
            </w:r>
            <w:r w:rsidR="001B1EF0" w:rsidRPr="00B01268">
              <w:rPr>
                <w:rFonts w:ascii="Times New Roman" w:hAnsi="Times New Roman"/>
                <w:sz w:val="24"/>
                <w:szCs w:val="24"/>
                <w:rtl/>
                <w:lang w:val="en-GB"/>
              </w:rPr>
              <w:t>إقليمي</w:t>
            </w:r>
            <w:r w:rsidRPr="00B01268">
              <w:rPr>
                <w:rFonts w:ascii="Times New Roman" w:hAnsi="Times New Roman" w:hint="cs"/>
                <w:sz w:val="24"/>
                <w:szCs w:val="24"/>
                <w:rtl/>
                <w:lang w:val="en-GB"/>
              </w:rPr>
              <w:t>ة</w:t>
            </w:r>
          </w:p>
        </w:tc>
      </w:tr>
    </w:tbl>
    <w:p w14:paraId="02F93957" w14:textId="77777777" w:rsidR="0054175C" w:rsidRPr="002D31C9" w:rsidRDefault="0054175C" w:rsidP="00BA2DE3">
      <w:pPr>
        <w:bidi/>
        <w:jc w:val="center"/>
        <w:rPr>
          <w:b/>
          <w:sz w:val="24"/>
        </w:rPr>
        <w:sectPr w:rsidR="0054175C" w:rsidRPr="002D31C9" w:rsidSect="000F25BA">
          <w:footerReference w:type="default" r:id="rId8"/>
          <w:pgSz w:w="11906" w:h="16838" w:code="9"/>
          <w:pgMar w:top="1418" w:right="1134" w:bottom="1134" w:left="1134" w:header="397" w:footer="284" w:gutter="0"/>
          <w:cols w:space="708"/>
          <w:docGrid w:linePitch="360"/>
        </w:sectPr>
      </w:pPr>
    </w:p>
    <w:p w14:paraId="2E1981E4" w14:textId="3E73CC25" w:rsidR="0054175C" w:rsidRPr="006E7A2B" w:rsidRDefault="00170E57" w:rsidP="00BA2DE3">
      <w:pPr>
        <w:bidi/>
        <w:jc w:val="center"/>
        <w:rPr>
          <w:b/>
          <w:sz w:val="28"/>
          <w:szCs w:val="28"/>
        </w:rPr>
      </w:pPr>
      <w:r w:rsidRPr="006E7A2B">
        <w:rPr>
          <w:bCs/>
          <w:sz w:val="28"/>
          <w:szCs w:val="28"/>
          <w:rtl/>
        </w:rPr>
        <w:t xml:space="preserve">التوجيهات المحددة بشأن الرصد </w:t>
      </w:r>
      <w:proofErr w:type="gramStart"/>
      <w:r w:rsidRPr="006E7A2B">
        <w:rPr>
          <w:bCs/>
          <w:sz w:val="28"/>
          <w:szCs w:val="28"/>
          <w:rtl/>
        </w:rPr>
        <w:t>و</w:t>
      </w:r>
      <w:r w:rsidR="00D905BE">
        <w:rPr>
          <w:rFonts w:hint="cs"/>
          <w:bCs/>
          <w:sz w:val="28"/>
          <w:szCs w:val="28"/>
          <w:rtl/>
        </w:rPr>
        <w:t>ال</w:t>
      </w:r>
      <w:r w:rsidR="0064263C">
        <w:rPr>
          <w:rFonts w:hint="cs"/>
          <w:bCs/>
          <w:sz w:val="28"/>
          <w:szCs w:val="28"/>
          <w:rtl/>
        </w:rPr>
        <w:t xml:space="preserve">تقرير </w:t>
      </w:r>
      <w:r w:rsidR="00D905BE">
        <w:rPr>
          <w:rFonts w:hint="cs"/>
          <w:bCs/>
          <w:sz w:val="28"/>
          <w:szCs w:val="28"/>
          <w:rtl/>
        </w:rPr>
        <w:t xml:space="preserve"> </w:t>
      </w:r>
      <w:r w:rsidRPr="006E7A2B">
        <w:rPr>
          <w:bCs/>
          <w:sz w:val="28"/>
          <w:szCs w:val="28"/>
          <w:rtl/>
        </w:rPr>
        <w:t>الدوري</w:t>
      </w:r>
      <w:proofErr w:type="gramEnd"/>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8222"/>
      </w:tblGrid>
      <w:tr w:rsidR="009C0510" w:rsidRPr="00D905BE" w14:paraId="5C747117" w14:textId="77777777" w:rsidTr="0054699E">
        <w:tc>
          <w:tcPr>
            <w:tcW w:w="730" w:type="pct"/>
            <w:shd w:val="clear" w:color="auto" w:fill="auto"/>
          </w:tcPr>
          <w:p w14:paraId="2398E604" w14:textId="4067B80E" w:rsidR="002C28BA" w:rsidRPr="00D905BE" w:rsidRDefault="0054699E" w:rsidP="00BA2DE3">
            <w:pPr>
              <w:bidi/>
              <w:spacing w:before="120"/>
              <w:rPr>
                <w:b/>
                <w:sz w:val="24"/>
              </w:rPr>
            </w:pPr>
            <w:r w:rsidRPr="00D905BE">
              <w:rPr>
                <w:b/>
                <w:bCs/>
                <w:sz w:val="24"/>
                <w:rtl/>
              </w:rPr>
              <w:t>فوائد الرصد</w:t>
            </w:r>
          </w:p>
        </w:tc>
        <w:tc>
          <w:tcPr>
            <w:tcW w:w="4270" w:type="pct"/>
            <w:shd w:val="clear" w:color="auto" w:fill="auto"/>
          </w:tcPr>
          <w:p w14:paraId="3BBCFE4C" w14:textId="653D44FC" w:rsidR="002C28BA" w:rsidRPr="00D905BE" w:rsidRDefault="00EA5DAA" w:rsidP="00BA2DE3">
            <w:pPr>
              <w:keepLines/>
              <w:bidi/>
              <w:spacing w:before="120"/>
              <w:jc w:val="both"/>
              <w:rPr>
                <w:b/>
                <w:sz w:val="24"/>
              </w:rPr>
            </w:pPr>
            <w:r w:rsidRPr="00D905BE">
              <w:rPr>
                <w:b/>
                <w:sz w:val="24"/>
                <w:rtl/>
              </w:rPr>
              <w:t xml:space="preserve">قد يساعد </w:t>
            </w:r>
            <w:r w:rsidR="00743918">
              <w:rPr>
                <w:rFonts w:hint="cs"/>
                <w:b/>
                <w:sz w:val="24"/>
                <w:rtl/>
              </w:rPr>
              <w:t>ال</w:t>
            </w:r>
            <w:r w:rsidRPr="00D905BE">
              <w:rPr>
                <w:b/>
                <w:sz w:val="24"/>
                <w:rtl/>
              </w:rPr>
              <w:t xml:space="preserve">رصد </w:t>
            </w:r>
            <w:r w:rsidR="00743918">
              <w:rPr>
                <w:rFonts w:hint="cs"/>
                <w:b/>
                <w:sz w:val="24"/>
                <w:rtl/>
              </w:rPr>
              <w:t>وال</w:t>
            </w:r>
            <w:r w:rsidR="0064263C">
              <w:rPr>
                <w:rFonts w:hint="cs"/>
                <w:b/>
                <w:sz w:val="24"/>
                <w:rtl/>
              </w:rPr>
              <w:t xml:space="preserve">تقرير </w:t>
            </w:r>
            <w:proofErr w:type="gramStart"/>
            <w:r w:rsidR="0064263C">
              <w:rPr>
                <w:rFonts w:hint="cs"/>
                <w:b/>
                <w:sz w:val="24"/>
                <w:rtl/>
              </w:rPr>
              <w:t xml:space="preserve">عن </w:t>
            </w:r>
            <w:r w:rsidR="00743918">
              <w:rPr>
                <w:rFonts w:hint="cs"/>
                <w:b/>
                <w:sz w:val="24"/>
                <w:rtl/>
              </w:rPr>
              <w:t xml:space="preserve"> الربط</w:t>
            </w:r>
            <w:proofErr w:type="gramEnd"/>
            <w:r w:rsidR="00743918">
              <w:rPr>
                <w:rFonts w:hint="cs"/>
                <w:b/>
                <w:sz w:val="24"/>
                <w:rtl/>
              </w:rPr>
              <w:t xml:space="preserve"> الشبكي</w:t>
            </w:r>
            <w:r w:rsidRPr="00D905BE">
              <w:rPr>
                <w:b/>
                <w:sz w:val="24"/>
                <w:rtl/>
              </w:rPr>
              <w:t xml:space="preserve"> الدولي والتعاون المؤسسي الدولة على تقييم مدى استجابتها لل</w:t>
            </w:r>
            <w:r w:rsidR="00AC13C1" w:rsidRPr="00D905BE">
              <w:rPr>
                <w:rFonts w:hint="cs"/>
                <w:b/>
                <w:sz w:val="24"/>
                <w:rtl/>
              </w:rPr>
              <w:t>هدف</w:t>
            </w:r>
            <w:r w:rsidRPr="00D905BE">
              <w:rPr>
                <w:b/>
                <w:sz w:val="24"/>
                <w:rtl/>
              </w:rPr>
              <w:t xml:space="preserve"> </w:t>
            </w:r>
            <w:r w:rsidR="00743918">
              <w:rPr>
                <w:rFonts w:hint="cs"/>
                <w:b/>
                <w:sz w:val="24"/>
                <w:rtl/>
              </w:rPr>
              <w:t>الرئيسي</w:t>
            </w:r>
            <w:r w:rsidRPr="00D905BE">
              <w:rPr>
                <w:b/>
                <w:sz w:val="24"/>
                <w:rtl/>
              </w:rPr>
              <w:t xml:space="preserve"> للاتفاقية المتمثل في تعزيز التعاون الدولي. كما قد يساعد هذا الرصد الدولة على تذكر الأمثلة الفعالة لهذا التعاون الذي قد ترغب في إعادة تنشيطه أو توسيعه. وبالمثل، قد يساعد الرصد على الصعيد العالمي في تحديد حالات التعاون الدولي وأشكاله التي أثبتت فعاليتها، وقد يوضح التدابير والنهج التي لابد من مواصلتها.</w:t>
            </w:r>
          </w:p>
        </w:tc>
      </w:tr>
      <w:tr w:rsidR="0054175C" w:rsidRPr="00D905BE" w14:paraId="314D8B49" w14:textId="77777777" w:rsidTr="0054699E">
        <w:tc>
          <w:tcPr>
            <w:tcW w:w="730" w:type="pct"/>
            <w:shd w:val="clear" w:color="auto" w:fill="auto"/>
          </w:tcPr>
          <w:p w14:paraId="7A236421" w14:textId="0A254047" w:rsidR="0054175C" w:rsidRPr="00D905BE" w:rsidRDefault="0054699E" w:rsidP="00BA2DE3">
            <w:pPr>
              <w:bidi/>
              <w:spacing w:before="120"/>
              <w:rPr>
                <w:b/>
                <w:sz w:val="24"/>
              </w:rPr>
            </w:pPr>
            <w:r w:rsidRPr="00D905BE">
              <w:rPr>
                <w:b/>
                <w:bCs/>
                <w:sz w:val="24"/>
                <w:rtl/>
              </w:rPr>
              <w:t xml:space="preserve">مصادر البيانات </w:t>
            </w:r>
            <w:r w:rsidRPr="00D905BE">
              <w:rPr>
                <w:b/>
                <w:bCs/>
                <w:sz w:val="24"/>
                <w:rtl/>
              </w:rPr>
              <w:lastRenderedPageBreak/>
              <w:t>وجمعها</w:t>
            </w:r>
          </w:p>
        </w:tc>
        <w:tc>
          <w:tcPr>
            <w:tcW w:w="4270" w:type="pct"/>
            <w:shd w:val="clear" w:color="auto" w:fill="auto"/>
          </w:tcPr>
          <w:p w14:paraId="3AC551F4" w14:textId="7A8C54AE" w:rsidR="0054175C" w:rsidRPr="00D905BE" w:rsidRDefault="006359C1" w:rsidP="00BA2DE3">
            <w:pPr>
              <w:bidi/>
              <w:spacing w:before="120"/>
              <w:jc w:val="both"/>
              <w:rPr>
                <w:sz w:val="24"/>
              </w:rPr>
            </w:pPr>
            <w:r w:rsidRPr="00D905BE">
              <w:rPr>
                <w:sz w:val="24"/>
                <w:rtl/>
              </w:rPr>
              <w:lastRenderedPageBreak/>
              <w:t>كما هو الحال بالنسبة للمؤشر 24، قد يرغب المسؤولون عن الرصد و</w:t>
            </w:r>
            <w:r w:rsidR="004A7AEE">
              <w:rPr>
                <w:rFonts w:hint="cs"/>
                <w:sz w:val="24"/>
                <w:rtl/>
              </w:rPr>
              <w:t>ا</w:t>
            </w:r>
            <w:r w:rsidR="0064263C">
              <w:rPr>
                <w:rFonts w:hint="cs"/>
                <w:sz w:val="24"/>
                <w:rtl/>
              </w:rPr>
              <w:t xml:space="preserve">عداد </w:t>
            </w:r>
            <w:proofErr w:type="gramStart"/>
            <w:r w:rsidR="0064263C">
              <w:rPr>
                <w:rFonts w:hint="cs"/>
                <w:sz w:val="24"/>
                <w:rtl/>
              </w:rPr>
              <w:t xml:space="preserve">التقرير </w:t>
            </w:r>
            <w:r w:rsidR="004A7AEE">
              <w:rPr>
                <w:rFonts w:hint="cs"/>
                <w:sz w:val="24"/>
                <w:rtl/>
              </w:rPr>
              <w:t xml:space="preserve"> </w:t>
            </w:r>
            <w:r w:rsidRPr="00D905BE">
              <w:rPr>
                <w:sz w:val="24"/>
                <w:rtl/>
              </w:rPr>
              <w:t>في</w:t>
            </w:r>
            <w:proofErr w:type="gramEnd"/>
            <w:r w:rsidRPr="00D905BE">
              <w:rPr>
                <w:sz w:val="24"/>
                <w:rtl/>
              </w:rPr>
              <w:t xml:space="preserve"> استشارة مكتب التعاون الدولي التابع لوزارة الثقافة، والذي قد يحتفظ بسجلات </w:t>
            </w:r>
            <w:r w:rsidR="00B61B25">
              <w:rPr>
                <w:rFonts w:hint="cs"/>
                <w:sz w:val="24"/>
                <w:rtl/>
              </w:rPr>
              <w:t>ا</w:t>
            </w:r>
            <w:r w:rsidRPr="00D905BE">
              <w:rPr>
                <w:sz w:val="24"/>
                <w:rtl/>
              </w:rPr>
              <w:t xml:space="preserve">لتعاون المؤسسي مع الدول الأخرى. وقد تحتفظ وزارة </w:t>
            </w:r>
            <w:r w:rsidRPr="00D905BE">
              <w:rPr>
                <w:sz w:val="24"/>
                <w:rtl/>
              </w:rPr>
              <w:lastRenderedPageBreak/>
              <w:t xml:space="preserve">الخارجية بلمحة عامة عن مشاركة الدولة </w:t>
            </w:r>
            <w:r w:rsidR="00B61B25">
              <w:rPr>
                <w:rFonts w:hint="cs"/>
                <w:sz w:val="24"/>
                <w:rtl/>
              </w:rPr>
              <w:t>مع ال</w:t>
            </w:r>
            <w:r w:rsidRPr="00D905BE">
              <w:rPr>
                <w:sz w:val="24"/>
                <w:rtl/>
              </w:rPr>
              <w:t xml:space="preserve">هيئات الدولية والإقليمية، والتي يعد العديد منها </w:t>
            </w:r>
            <w:r w:rsidR="00B61B25">
              <w:rPr>
                <w:rFonts w:hint="cs"/>
                <w:sz w:val="24"/>
                <w:rtl/>
              </w:rPr>
              <w:t xml:space="preserve">نشطًا </w:t>
            </w:r>
            <w:r w:rsidRPr="00D905BE">
              <w:rPr>
                <w:sz w:val="24"/>
                <w:rtl/>
              </w:rPr>
              <w:t>بصورة متزايدة في مجال التراث الثقافي غير المادي وصونه. إذا كان للدولة هيئة استشارية أو آلية تنسيق، يتم استشارة أعضائها بشأن التعاون المؤسسي الذي قد يكونو</w:t>
            </w:r>
            <w:r w:rsidR="00B61B25">
              <w:rPr>
                <w:rFonts w:hint="cs"/>
                <w:sz w:val="24"/>
                <w:rtl/>
              </w:rPr>
              <w:t>ن</w:t>
            </w:r>
            <w:r w:rsidRPr="00D905BE">
              <w:rPr>
                <w:sz w:val="24"/>
                <w:rtl/>
              </w:rPr>
              <w:t xml:space="preserve"> مشاركين فيه.</w:t>
            </w:r>
          </w:p>
          <w:p w14:paraId="47B7FCEC" w14:textId="77777777" w:rsidR="00B739DA" w:rsidRPr="00D905BE" w:rsidRDefault="00B739DA" w:rsidP="00BA2DE3">
            <w:pPr>
              <w:bidi/>
              <w:spacing w:before="120"/>
              <w:jc w:val="both"/>
              <w:rPr>
                <w:sz w:val="24"/>
              </w:rPr>
            </w:pPr>
            <w:r w:rsidRPr="00D905BE">
              <w:rPr>
                <w:bCs/>
                <w:sz w:val="24"/>
                <w:rtl/>
              </w:rPr>
              <w:t>مصادر البيانات المحتملة</w:t>
            </w:r>
            <w:r w:rsidRPr="00D905BE">
              <w:rPr>
                <w:sz w:val="24"/>
              </w:rPr>
              <w:t xml:space="preserve"> </w:t>
            </w:r>
          </w:p>
          <w:p w14:paraId="63FAAB19" w14:textId="08A65F4A" w:rsidR="00542381" w:rsidRPr="00D905BE" w:rsidRDefault="002E387C" w:rsidP="00BA2DE3">
            <w:pPr>
              <w:pStyle w:val="ListParagraph"/>
              <w:numPr>
                <w:ilvl w:val="0"/>
                <w:numId w:val="73"/>
              </w:numPr>
              <w:bidi/>
              <w:spacing w:before="120"/>
              <w:jc w:val="both"/>
              <w:rPr>
                <w:rFonts w:ascii="Times New Roman" w:hAnsi="Times New Roman"/>
                <w:sz w:val="24"/>
                <w:szCs w:val="24"/>
                <w:lang w:val="en-GB"/>
              </w:rPr>
            </w:pPr>
            <w:r w:rsidRPr="00D905BE">
              <w:rPr>
                <w:rFonts w:ascii="Times New Roman" w:hAnsi="Times New Roman"/>
                <w:sz w:val="24"/>
                <w:szCs w:val="24"/>
                <w:rtl/>
                <w:lang w:val="en-GB"/>
              </w:rPr>
              <w:t>تقارير وسجلات مكتب تعاون دولي تابع لوزارة الثقافة و</w:t>
            </w:r>
            <w:r w:rsidR="00542381" w:rsidRPr="00D905BE">
              <w:rPr>
                <w:rFonts w:ascii="Times New Roman" w:hAnsi="Times New Roman"/>
                <w:sz w:val="24"/>
                <w:szCs w:val="24"/>
                <w:rtl/>
                <w:lang w:val="en-GB"/>
              </w:rPr>
              <w:t>وزارات</w:t>
            </w:r>
            <w:r w:rsidRPr="00D905BE">
              <w:rPr>
                <w:rFonts w:ascii="Times New Roman" w:hAnsi="Times New Roman"/>
                <w:sz w:val="24"/>
                <w:szCs w:val="24"/>
                <w:rtl/>
                <w:lang w:val="en-GB"/>
              </w:rPr>
              <w:t xml:space="preserve"> تنفيذية </w:t>
            </w:r>
            <w:r w:rsidR="00542381" w:rsidRPr="00D905BE">
              <w:rPr>
                <w:rFonts w:ascii="Times New Roman" w:hAnsi="Times New Roman"/>
                <w:sz w:val="24"/>
                <w:szCs w:val="24"/>
                <w:rtl/>
                <w:lang w:val="en-GB"/>
              </w:rPr>
              <w:t>أخرى، بما في ذلك وزارة الخارجية</w:t>
            </w:r>
          </w:p>
          <w:p w14:paraId="2282C004" w14:textId="6B20DB6A" w:rsidR="00542381" w:rsidRPr="00D905BE" w:rsidRDefault="002E387C" w:rsidP="00BA2DE3">
            <w:pPr>
              <w:pStyle w:val="ListParagraph"/>
              <w:numPr>
                <w:ilvl w:val="0"/>
                <w:numId w:val="73"/>
              </w:numPr>
              <w:bidi/>
              <w:spacing w:before="120"/>
              <w:jc w:val="both"/>
              <w:rPr>
                <w:rFonts w:ascii="Times New Roman" w:hAnsi="Times New Roman"/>
                <w:sz w:val="24"/>
                <w:szCs w:val="24"/>
                <w:lang w:val="en-GB"/>
              </w:rPr>
            </w:pPr>
            <w:r w:rsidRPr="00D905BE">
              <w:rPr>
                <w:rFonts w:ascii="Times New Roman" w:hAnsi="Times New Roman"/>
                <w:sz w:val="24"/>
                <w:szCs w:val="24"/>
                <w:rtl/>
                <w:lang w:val="en-GB"/>
              </w:rPr>
              <w:t xml:space="preserve">رسائل </w:t>
            </w:r>
            <w:r w:rsidR="00542381" w:rsidRPr="00D905BE">
              <w:rPr>
                <w:rFonts w:ascii="Times New Roman" w:hAnsi="Times New Roman"/>
                <w:sz w:val="24"/>
                <w:szCs w:val="24"/>
                <w:rtl/>
                <w:lang w:val="en-GB"/>
              </w:rPr>
              <w:t>إخباري</w:t>
            </w:r>
            <w:r w:rsidRPr="00D905BE">
              <w:rPr>
                <w:rFonts w:ascii="Times New Roman" w:hAnsi="Times New Roman"/>
                <w:sz w:val="24"/>
                <w:szCs w:val="24"/>
                <w:rtl/>
                <w:lang w:val="en-GB"/>
              </w:rPr>
              <w:t xml:space="preserve">ة ومواقع إلكترونية لمراكز فئة 2 </w:t>
            </w:r>
            <w:r w:rsidRPr="00D905BE">
              <w:rPr>
                <w:rFonts w:ascii="Times New Roman" w:hAnsi="Times New Roman" w:hint="cs"/>
                <w:sz w:val="24"/>
                <w:szCs w:val="24"/>
                <w:rtl/>
                <w:lang w:val="en-GB"/>
              </w:rPr>
              <w:t>ذات صلة</w:t>
            </w:r>
          </w:p>
          <w:p w14:paraId="0D0D1C71" w14:textId="4BD5EE55" w:rsidR="00542381" w:rsidRPr="00D905BE" w:rsidRDefault="002E387C" w:rsidP="00BA2DE3">
            <w:pPr>
              <w:pStyle w:val="ListParagraph"/>
              <w:numPr>
                <w:ilvl w:val="0"/>
                <w:numId w:val="73"/>
              </w:numPr>
              <w:bidi/>
              <w:spacing w:before="120"/>
              <w:jc w:val="both"/>
              <w:rPr>
                <w:rFonts w:ascii="Times New Roman" w:hAnsi="Times New Roman"/>
                <w:sz w:val="24"/>
                <w:szCs w:val="24"/>
                <w:lang w:val="en-GB"/>
              </w:rPr>
            </w:pPr>
            <w:r w:rsidRPr="00D905BE">
              <w:rPr>
                <w:rFonts w:ascii="Times New Roman" w:hAnsi="Times New Roman"/>
                <w:sz w:val="24"/>
                <w:szCs w:val="24"/>
                <w:rtl/>
                <w:lang w:val="en-GB"/>
              </w:rPr>
              <w:t xml:space="preserve">رسائل إخبارية ومواقع إلكترونية لمنظمات غير حكومية، ومراكز خبرة ومعاهد </w:t>
            </w:r>
            <w:r w:rsidR="00542381" w:rsidRPr="00D905BE">
              <w:rPr>
                <w:rFonts w:ascii="Times New Roman" w:hAnsi="Times New Roman"/>
                <w:sz w:val="24"/>
                <w:szCs w:val="24"/>
                <w:rtl/>
                <w:lang w:val="en-GB"/>
              </w:rPr>
              <w:t>بحوث</w:t>
            </w:r>
          </w:p>
          <w:p w14:paraId="328EF4AE" w14:textId="7806308B" w:rsidR="00A163A9" w:rsidRPr="00D905BE" w:rsidRDefault="002E387C" w:rsidP="00BA2DE3">
            <w:pPr>
              <w:pStyle w:val="ListParagraph"/>
              <w:numPr>
                <w:ilvl w:val="0"/>
                <w:numId w:val="73"/>
              </w:numPr>
              <w:bidi/>
              <w:spacing w:before="120"/>
              <w:jc w:val="both"/>
              <w:rPr>
                <w:rFonts w:ascii="Times New Roman" w:hAnsi="Times New Roman"/>
                <w:sz w:val="24"/>
                <w:szCs w:val="24"/>
                <w:lang w:val="en-GB"/>
              </w:rPr>
            </w:pPr>
            <w:r w:rsidRPr="00D905BE">
              <w:rPr>
                <w:rFonts w:ascii="Times New Roman" w:hAnsi="Times New Roman"/>
                <w:sz w:val="24"/>
                <w:szCs w:val="24"/>
                <w:rtl/>
                <w:lang w:val="en-GB"/>
              </w:rPr>
              <w:t>جرائد/ مجلات رسمية أو موجزات معاهدات و</w:t>
            </w:r>
            <w:r w:rsidR="00542381" w:rsidRPr="00D905BE">
              <w:rPr>
                <w:rFonts w:ascii="Times New Roman" w:hAnsi="Times New Roman"/>
                <w:sz w:val="24"/>
                <w:szCs w:val="24"/>
                <w:rtl/>
                <w:lang w:val="en-GB"/>
              </w:rPr>
              <w:t xml:space="preserve">اتفاقيات </w:t>
            </w:r>
            <w:r w:rsidRPr="00D905BE">
              <w:rPr>
                <w:rFonts w:ascii="Times New Roman" w:hAnsi="Times New Roman"/>
                <w:sz w:val="24"/>
                <w:szCs w:val="24"/>
                <w:rtl/>
                <w:lang w:val="en-GB"/>
              </w:rPr>
              <w:t xml:space="preserve">دولية تكون </w:t>
            </w:r>
            <w:r w:rsidR="00142A69">
              <w:rPr>
                <w:rFonts w:ascii="Times New Roman" w:hAnsi="Times New Roman" w:hint="cs"/>
                <w:sz w:val="24"/>
                <w:szCs w:val="24"/>
                <w:rtl/>
                <w:lang w:val="en-GB"/>
              </w:rPr>
              <w:t>ال</w:t>
            </w:r>
            <w:r w:rsidRPr="00D905BE">
              <w:rPr>
                <w:rFonts w:ascii="Times New Roman" w:hAnsi="Times New Roman"/>
                <w:sz w:val="24"/>
                <w:szCs w:val="24"/>
                <w:rtl/>
                <w:lang w:val="en-GB"/>
              </w:rPr>
              <w:t>دولة طرف</w:t>
            </w:r>
            <w:r w:rsidRPr="00D905BE">
              <w:rPr>
                <w:rFonts w:ascii="Times New Roman" w:hAnsi="Times New Roman" w:hint="cs"/>
                <w:sz w:val="24"/>
                <w:szCs w:val="24"/>
                <w:rtl/>
                <w:lang w:val="en-GB"/>
              </w:rPr>
              <w:t>ً</w:t>
            </w:r>
            <w:r w:rsidRPr="00D905BE">
              <w:rPr>
                <w:rFonts w:ascii="Times New Roman" w:hAnsi="Times New Roman"/>
                <w:sz w:val="24"/>
                <w:szCs w:val="24"/>
                <w:rtl/>
                <w:lang w:val="en-GB"/>
              </w:rPr>
              <w:t>ا</w:t>
            </w:r>
            <w:r w:rsidR="00542381" w:rsidRPr="00D905BE">
              <w:rPr>
                <w:rFonts w:ascii="Times New Roman" w:hAnsi="Times New Roman"/>
                <w:sz w:val="24"/>
                <w:szCs w:val="24"/>
                <w:rtl/>
                <w:lang w:val="en-GB"/>
              </w:rPr>
              <w:t xml:space="preserve"> فيها</w:t>
            </w:r>
          </w:p>
        </w:tc>
      </w:tr>
    </w:tbl>
    <w:p w14:paraId="6C475C25" w14:textId="77777777" w:rsidR="00320242" w:rsidRPr="002D31C9" w:rsidRDefault="00320242" w:rsidP="00BA2DE3">
      <w:pPr>
        <w:bidi/>
        <w:jc w:val="both"/>
      </w:pPr>
    </w:p>
    <w:sectPr w:rsidR="00320242" w:rsidRPr="002D31C9"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3AB88" w14:textId="77777777" w:rsidR="00916ED5" w:rsidRDefault="00916ED5" w:rsidP="002938F2">
      <w:r>
        <w:separator/>
      </w:r>
    </w:p>
    <w:p w14:paraId="7B6859F1" w14:textId="77777777" w:rsidR="00916ED5" w:rsidRDefault="00916ED5"/>
  </w:endnote>
  <w:endnote w:type="continuationSeparator" w:id="0">
    <w:p w14:paraId="1C4B43EE" w14:textId="77777777" w:rsidR="00916ED5" w:rsidRDefault="00916ED5" w:rsidP="002938F2">
      <w:r>
        <w:continuationSeparator/>
      </w:r>
    </w:p>
    <w:p w14:paraId="0E79B5D7" w14:textId="77777777" w:rsidR="00916ED5" w:rsidRDefault="00916ED5"/>
  </w:endnote>
  <w:endnote w:type="continuationNotice" w:id="1">
    <w:p w14:paraId="6855C3FF" w14:textId="77777777" w:rsidR="00916ED5" w:rsidRDefault="00916E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D124" w14:textId="47B64D69" w:rsidR="00C04344" w:rsidRPr="000A0709" w:rsidRDefault="00FC358A" w:rsidP="003B4334">
    <w:pPr>
      <w:pStyle w:val="Footer"/>
      <w:bidi/>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54650E">
      <w:rPr>
        <w:rFonts w:ascii="Arial" w:hAnsi="Arial" w:cs="Arial"/>
        <w:noProof/>
        <w:rtl/>
      </w:rPr>
      <w:t>1</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4FF97" w14:textId="77777777" w:rsidR="00916ED5" w:rsidRDefault="00916ED5" w:rsidP="002938F2">
      <w:r>
        <w:separator/>
      </w:r>
    </w:p>
  </w:footnote>
  <w:footnote w:type="continuationSeparator" w:id="0">
    <w:p w14:paraId="57E186D1" w14:textId="77777777" w:rsidR="00916ED5" w:rsidRDefault="00916ED5" w:rsidP="002938F2">
      <w:r>
        <w:continuationSeparator/>
      </w:r>
    </w:p>
    <w:p w14:paraId="01FDEF33" w14:textId="77777777" w:rsidR="00916ED5" w:rsidRDefault="00916ED5"/>
  </w:footnote>
  <w:footnote w:type="continuationNotice" w:id="1">
    <w:p w14:paraId="4FD0887F" w14:textId="77777777" w:rsidR="00916ED5" w:rsidRDefault="00916ED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14521"/>
    <w:multiLevelType w:val="multilevel"/>
    <w:tmpl w:val="6BC01B9C"/>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0"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4"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5C2FDA"/>
    <w:multiLevelType w:val="hybridMultilevel"/>
    <w:tmpl w:val="3C308F38"/>
    <w:lvl w:ilvl="0" w:tplc="FAEE39DC">
      <w:start w:val="2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5"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8"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40"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6DC16596"/>
    <w:multiLevelType w:val="hybridMultilevel"/>
    <w:tmpl w:val="53926546"/>
    <w:lvl w:ilvl="0" w:tplc="6D1AE51E">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5"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4"/>
  </w:num>
  <w:num w:numId="2">
    <w:abstractNumId w:val="27"/>
  </w:num>
  <w:num w:numId="3">
    <w:abstractNumId w:val="12"/>
  </w:num>
  <w:num w:numId="4">
    <w:abstractNumId w:val="57"/>
  </w:num>
  <w:num w:numId="5">
    <w:abstractNumId w:val="47"/>
  </w:num>
  <w:num w:numId="6">
    <w:abstractNumId w:val="4"/>
  </w:num>
  <w:num w:numId="7">
    <w:abstractNumId w:val="16"/>
  </w:num>
  <w:num w:numId="8">
    <w:abstractNumId w:val="26"/>
  </w:num>
  <w:num w:numId="9">
    <w:abstractNumId w:val="50"/>
  </w:num>
  <w:num w:numId="10">
    <w:abstractNumId w:val="26"/>
  </w:num>
  <w:num w:numId="11">
    <w:abstractNumId w:val="26"/>
  </w:num>
  <w:num w:numId="12">
    <w:abstractNumId w:val="26"/>
  </w:num>
  <w:num w:numId="13">
    <w:abstractNumId w:val="26"/>
  </w:num>
  <w:num w:numId="14">
    <w:abstractNumId w:val="26"/>
  </w:num>
  <w:num w:numId="15">
    <w:abstractNumId w:val="26"/>
  </w:num>
  <w:num w:numId="16">
    <w:abstractNumId w:val="24"/>
  </w:num>
  <w:num w:numId="17">
    <w:abstractNumId w:val="40"/>
  </w:num>
  <w:num w:numId="18">
    <w:abstractNumId w:val="26"/>
  </w:num>
  <w:num w:numId="19">
    <w:abstractNumId w:val="26"/>
  </w:num>
  <w:num w:numId="20">
    <w:abstractNumId w:val="26"/>
  </w:num>
  <w:num w:numId="21">
    <w:abstractNumId w:val="26"/>
  </w:num>
  <w:num w:numId="22">
    <w:abstractNumId w:val="26"/>
  </w:num>
  <w:num w:numId="23">
    <w:abstractNumId w:val="26"/>
  </w:num>
  <w:num w:numId="24">
    <w:abstractNumId w:val="26"/>
  </w:num>
  <w:num w:numId="25">
    <w:abstractNumId w:val="26"/>
  </w:num>
  <w:num w:numId="26">
    <w:abstractNumId w:val="55"/>
  </w:num>
  <w:num w:numId="27">
    <w:abstractNumId w:val="26"/>
  </w:num>
  <w:num w:numId="28">
    <w:abstractNumId w:val="26"/>
  </w:num>
  <w:num w:numId="29">
    <w:abstractNumId w:val="26"/>
  </w:num>
  <w:num w:numId="30">
    <w:abstractNumId w:val="26"/>
  </w:num>
  <w:num w:numId="31">
    <w:abstractNumId w:val="11"/>
  </w:num>
  <w:num w:numId="32">
    <w:abstractNumId w:val="8"/>
  </w:num>
  <w:num w:numId="33">
    <w:abstractNumId w:val="17"/>
  </w:num>
  <w:num w:numId="34">
    <w:abstractNumId w:val="48"/>
  </w:num>
  <w:num w:numId="35">
    <w:abstractNumId w:val="22"/>
  </w:num>
  <w:num w:numId="36">
    <w:abstractNumId w:val="42"/>
  </w:num>
  <w:num w:numId="37">
    <w:abstractNumId w:val="18"/>
  </w:num>
  <w:num w:numId="38">
    <w:abstractNumId w:val="10"/>
  </w:num>
  <w:num w:numId="39">
    <w:abstractNumId w:val="6"/>
  </w:num>
  <w:num w:numId="40">
    <w:abstractNumId w:val="21"/>
  </w:num>
  <w:num w:numId="41">
    <w:abstractNumId w:val="56"/>
  </w:num>
  <w:num w:numId="42">
    <w:abstractNumId w:val="53"/>
  </w:num>
  <w:num w:numId="43">
    <w:abstractNumId w:val="30"/>
  </w:num>
  <w:num w:numId="44">
    <w:abstractNumId w:val="13"/>
  </w:num>
  <w:num w:numId="45">
    <w:abstractNumId w:val="54"/>
  </w:num>
  <w:num w:numId="46">
    <w:abstractNumId w:val="5"/>
  </w:num>
  <w:num w:numId="47">
    <w:abstractNumId w:val="37"/>
  </w:num>
  <w:num w:numId="48">
    <w:abstractNumId w:val="58"/>
  </w:num>
  <w:num w:numId="49">
    <w:abstractNumId w:val="33"/>
  </w:num>
  <w:num w:numId="50">
    <w:abstractNumId w:val="31"/>
  </w:num>
  <w:num w:numId="51">
    <w:abstractNumId w:val="28"/>
  </w:num>
  <w:num w:numId="52">
    <w:abstractNumId w:val="39"/>
  </w:num>
  <w:num w:numId="53">
    <w:abstractNumId w:val="15"/>
  </w:num>
  <w:num w:numId="54">
    <w:abstractNumId w:val="1"/>
  </w:num>
  <w:num w:numId="55">
    <w:abstractNumId w:val="35"/>
  </w:num>
  <w:num w:numId="56">
    <w:abstractNumId w:val="41"/>
  </w:num>
  <w:num w:numId="57">
    <w:abstractNumId w:val="0"/>
  </w:num>
  <w:num w:numId="58">
    <w:abstractNumId w:val="3"/>
  </w:num>
  <w:num w:numId="59">
    <w:abstractNumId w:val="45"/>
  </w:num>
  <w:num w:numId="60">
    <w:abstractNumId w:val="2"/>
  </w:num>
  <w:num w:numId="61">
    <w:abstractNumId w:val="32"/>
  </w:num>
  <w:num w:numId="62">
    <w:abstractNumId w:val="23"/>
  </w:num>
  <w:num w:numId="63">
    <w:abstractNumId w:val="49"/>
  </w:num>
  <w:num w:numId="64">
    <w:abstractNumId w:val="20"/>
  </w:num>
  <w:num w:numId="65">
    <w:abstractNumId w:val="25"/>
  </w:num>
  <w:num w:numId="66">
    <w:abstractNumId w:val="46"/>
  </w:num>
  <w:num w:numId="67">
    <w:abstractNumId w:val="38"/>
  </w:num>
  <w:num w:numId="68">
    <w:abstractNumId w:val="14"/>
  </w:num>
  <w:num w:numId="69">
    <w:abstractNumId w:val="43"/>
  </w:num>
  <w:num w:numId="70">
    <w:abstractNumId w:val="34"/>
  </w:num>
  <w:num w:numId="71">
    <w:abstractNumId w:val="29"/>
  </w:num>
  <w:num w:numId="72">
    <w:abstractNumId w:val="52"/>
  </w:num>
  <w:num w:numId="73">
    <w:abstractNumId w:val="7"/>
  </w:num>
  <w:num w:numId="74">
    <w:abstractNumId w:val="36"/>
  </w:num>
  <w:num w:numId="75">
    <w:abstractNumId w:val="9"/>
  </w:num>
  <w:num w:numId="76">
    <w:abstractNumId w:val="51"/>
  </w:num>
  <w:num w:numId="77">
    <w:abstractNumId w:val="1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ar-SA" w:vendorID="64" w:dllVersion="0" w:nlCheck="1" w:checkStyle="0"/>
  <w:activeWritingStyle w:appName="MSWord" w:lang="ar-EG"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4F1"/>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1C61"/>
    <w:rsid w:val="00044A74"/>
    <w:rsid w:val="00047E58"/>
    <w:rsid w:val="00054FDC"/>
    <w:rsid w:val="000632E2"/>
    <w:rsid w:val="0007203D"/>
    <w:rsid w:val="000729D2"/>
    <w:rsid w:val="00073D20"/>
    <w:rsid w:val="00074E7D"/>
    <w:rsid w:val="000755E1"/>
    <w:rsid w:val="0007681B"/>
    <w:rsid w:val="000769F1"/>
    <w:rsid w:val="00083694"/>
    <w:rsid w:val="00085541"/>
    <w:rsid w:val="00092AE6"/>
    <w:rsid w:val="00093063"/>
    <w:rsid w:val="0009658C"/>
    <w:rsid w:val="000A0709"/>
    <w:rsid w:val="000A0F0D"/>
    <w:rsid w:val="000A112A"/>
    <w:rsid w:val="000A21DA"/>
    <w:rsid w:val="000A34CE"/>
    <w:rsid w:val="000B4214"/>
    <w:rsid w:val="000C03BF"/>
    <w:rsid w:val="000C15BD"/>
    <w:rsid w:val="000C35D4"/>
    <w:rsid w:val="000C4D78"/>
    <w:rsid w:val="000C65E4"/>
    <w:rsid w:val="000C7EE0"/>
    <w:rsid w:val="000D1EBC"/>
    <w:rsid w:val="000D260B"/>
    <w:rsid w:val="000D345F"/>
    <w:rsid w:val="000D7375"/>
    <w:rsid w:val="000E2EE7"/>
    <w:rsid w:val="000F25BA"/>
    <w:rsid w:val="000F2B3F"/>
    <w:rsid w:val="000F7E6F"/>
    <w:rsid w:val="001004A1"/>
    <w:rsid w:val="00106B72"/>
    <w:rsid w:val="00106D19"/>
    <w:rsid w:val="001076C9"/>
    <w:rsid w:val="00107F09"/>
    <w:rsid w:val="0011334A"/>
    <w:rsid w:val="00115830"/>
    <w:rsid w:val="00116489"/>
    <w:rsid w:val="0011750D"/>
    <w:rsid w:val="00121B41"/>
    <w:rsid w:val="001301DF"/>
    <w:rsid w:val="00133B4A"/>
    <w:rsid w:val="001412DE"/>
    <w:rsid w:val="00142A69"/>
    <w:rsid w:val="00142D78"/>
    <w:rsid w:val="00144A4D"/>
    <w:rsid w:val="00151351"/>
    <w:rsid w:val="00156788"/>
    <w:rsid w:val="001609A1"/>
    <w:rsid w:val="00162554"/>
    <w:rsid w:val="00163F68"/>
    <w:rsid w:val="00166D72"/>
    <w:rsid w:val="00170E57"/>
    <w:rsid w:val="00173B50"/>
    <w:rsid w:val="00173E0E"/>
    <w:rsid w:val="0017408E"/>
    <w:rsid w:val="00174B39"/>
    <w:rsid w:val="00183F6C"/>
    <w:rsid w:val="0018570F"/>
    <w:rsid w:val="00194802"/>
    <w:rsid w:val="00194AEB"/>
    <w:rsid w:val="001A431C"/>
    <w:rsid w:val="001A5519"/>
    <w:rsid w:val="001A7C3A"/>
    <w:rsid w:val="001B1EF0"/>
    <w:rsid w:val="001B5C26"/>
    <w:rsid w:val="001C08BC"/>
    <w:rsid w:val="001C56BA"/>
    <w:rsid w:val="001C6D7D"/>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11F78"/>
    <w:rsid w:val="00222AF2"/>
    <w:rsid w:val="00223C3B"/>
    <w:rsid w:val="00224346"/>
    <w:rsid w:val="0022597C"/>
    <w:rsid w:val="00226582"/>
    <w:rsid w:val="00230F77"/>
    <w:rsid w:val="00232E4E"/>
    <w:rsid w:val="00234AE4"/>
    <w:rsid w:val="00237935"/>
    <w:rsid w:val="00237E43"/>
    <w:rsid w:val="00245E26"/>
    <w:rsid w:val="00246292"/>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D31C9"/>
    <w:rsid w:val="002D396D"/>
    <w:rsid w:val="002D71D4"/>
    <w:rsid w:val="002E113D"/>
    <w:rsid w:val="002E387C"/>
    <w:rsid w:val="002F17E1"/>
    <w:rsid w:val="003043A9"/>
    <w:rsid w:val="0030454E"/>
    <w:rsid w:val="00320242"/>
    <w:rsid w:val="00322A3A"/>
    <w:rsid w:val="00324A32"/>
    <w:rsid w:val="00325D6E"/>
    <w:rsid w:val="0033293B"/>
    <w:rsid w:val="00334977"/>
    <w:rsid w:val="00337194"/>
    <w:rsid w:val="00342EE8"/>
    <w:rsid w:val="00344D78"/>
    <w:rsid w:val="00346517"/>
    <w:rsid w:val="00351CCB"/>
    <w:rsid w:val="0035648A"/>
    <w:rsid w:val="00362B41"/>
    <w:rsid w:val="00363995"/>
    <w:rsid w:val="00364E5E"/>
    <w:rsid w:val="00370E9B"/>
    <w:rsid w:val="00377E4B"/>
    <w:rsid w:val="00383BA9"/>
    <w:rsid w:val="003845B0"/>
    <w:rsid w:val="00385B34"/>
    <w:rsid w:val="0038652E"/>
    <w:rsid w:val="00386C08"/>
    <w:rsid w:val="00387D88"/>
    <w:rsid w:val="0039446E"/>
    <w:rsid w:val="003A260A"/>
    <w:rsid w:val="003A2BC4"/>
    <w:rsid w:val="003B31BE"/>
    <w:rsid w:val="003B4334"/>
    <w:rsid w:val="003B504D"/>
    <w:rsid w:val="003C0C86"/>
    <w:rsid w:val="003C7065"/>
    <w:rsid w:val="003C7F15"/>
    <w:rsid w:val="003D2E0D"/>
    <w:rsid w:val="003D5113"/>
    <w:rsid w:val="003D5BFC"/>
    <w:rsid w:val="003D6E10"/>
    <w:rsid w:val="003E09A1"/>
    <w:rsid w:val="003E0C0F"/>
    <w:rsid w:val="003E0E28"/>
    <w:rsid w:val="003E19D5"/>
    <w:rsid w:val="003E76A8"/>
    <w:rsid w:val="003F5B90"/>
    <w:rsid w:val="00404856"/>
    <w:rsid w:val="00406ED7"/>
    <w:rsid w:val="004108B6"/>
    <w:rsid w:val="0041110F"/>
    <w:rsid w:val="0041300C"/>
    <w:rsid w:val="00414B68"/>
    <w:rsid w:val="00430ED2"/>
    <w:rsid w:val="00434773"/>
    <w:rsid w:val="004367F5"/>
    <w:rsid w:val="004458C9"/>
    <w:rsid w:val="00447C66"/>
    <w:rsid w:val="00462F38"/>
    <w:rsid w:val="00471B34"/>
    <w:rsid w:val="00474AFE"/>
    <w:rsid w:val="00477E66"/>
    <w:rsid w:val="00480809"/>
    <w:rsid w:val="004831C7"/>
    <w:rsid w:val="00484BCB"/>
    <w:rsid w:val="00486A5E"/>
    <w:rsid w:val="00493F92"/>
    <w:rsid w:val="00496E5A"/>
    <w:rsid w:val="004A0C2B"/>
    <w:rsid w:val="004A610E"/>
    <w:rsid w:val="004A7AEE"/>
    <w:rsid w:val="004B06CD"/>
    <w:rsid w:val="004B6D07"/>
    <w:rsid w:val="004C20E2"/>
    <w:rsid w:val="004E056C"/>
    <w:rsid w:val="004E2817"/>
    <w:rsid w:val="004E2AE8"/>
    <w:rsid w:val="004E418A"/>
    <w:rsid w:val="004E4803"/>
    <w:rsid w:val="004E4CCA"/>
    <w:rsid w:val="004E6DD7"/>
    <w:rsid w:val="005016FB"/>
    <w:rsid w:val="00504256"/>
    <w:rsid w:val="005053A6"/>
    <w:rsid w:val="00511D17"/>
    <w:rsid w:val="005157E2"/>
    <w:rsid w:val="0051699F"/>
    <w:rsid w:val="00516DE3"/>
    <w:rsid w:val="005300BF"/>
    <w:rsid w:val="00532631"/>
    <w:rsid w:val="005414A1"/>
    <w:rsid w:val="0054175C"/>
    <w:rsid w:val="00542381"/>
    <w:rsid w:val="0054650E"/>
    <w:rsid w:val="0054699E"/>
    <w:rsid w:val="005473CF"/>
    <w:rsid w:val="00550BFF"/>
    <w:rsid w:val="00554F36"/>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5F3C42"/>
    <w:rsid w:val="00601DD6"/>
    <w:rsid w:val="006027D4"/>
    <w:rsid w:val="006032AE"/>
    <w:rsid w:val="00603F71"/>
    <w:rsid w:val="00605202"/>
    <w:rsid w:val="00621092"/>
    <w:rsid w:val="00621208"/>
    <w:rsid w:val="00632B30"/>
    <w:rsid w:val="006340A1"/>
    <w:rsid w:val="006359C1"/>
    <w:rsid w:val="00636760"/>
    <w:rsid w:val="0064263C"/>
    <w:rsid w:val="00644B92"/>
    <w:rsid w:val="00645B77"/>
    <w:rsid w:val="0065099D"/>
    <w:rsid w:val="006515C9"/>
    <w:rsid w:val="00651944"/>
    <w:rsid w:val="00652318"/>
    <w:rsid w:val="00652484"/>
    <w:rsid w:val="00653314"/>
    <w:rsid w:val="0067005F"/>
    <w:rsid w:val="0067015A"/>
    <w:rsid w:val="00670B66"/>
    <w:rsid w:val="006736EC"/>
    <w:rsid w:val="00673D90"/>
    <w:rsid w:val="00676C1E"/>
    <w:rsid w:val="00686D60"/>
    <w:rsid w:val="00691869"/>
    <w:rsid w:val="006A0D86"/>
    <w:rsid w:val="006A49AE"/>
    <w:rsid w:val="006A56C0"/>
    <w:rsid w:val="006C0911"/>
    <w:rsid w:val="006C737A"/>
    <w:rsid w:val="006D46FB"/>
    <w:rsid w:val="006E29C0"/>
    <w:rsid w:val="006E752A"/>
    <w:rsid w:val="006E7A2B"/>
    <w:rsid w:val="006E7CF0"/>
    <w:rsid w:val="006F3E83"/>
    <w:rsid w:val="006F4B83"/>
    <w:rsid w:val="006F7F47"/>
    <w:rsid w:val="00701458"/>
    <w:rsid w:val="00701D7E"/>
    <w:rsid w:val="00704766"/>
    <w:rsid w:val="007119B8"/>
    <w:rsid w:val="0072415E"/>
    <w:rsid w:val="007247D7"/>
    <w:rsid w:val="007250E3"/>
    <w:rsid w:val="007277C8"/>
    <w:rsid w:val="00732057"/>
    <w:rsid w:val="007368A2"/>
    <w:rsid w:val="007418AE"/>
    <w:rsid w:val="00742DD1"/>
    <w:rsid w:val="0074360F"/>
    <w:rsid w:val="00743918"/>
    <w:rsid w:val="00744C5C"/>
    <w:rsid w:val="00746204"/>
    <w:rsid w:val="00747715"/>
    <w:rsid w:val="00747F86"/>
    <w:rsid w:val="00750138"/>
    <w:rsid w:val="00753DA3"/>
    <w:rsid w:val="007610D3"/>
    <w:rsid w:val="007629DB"/>
    <w:rsid w:val="00764F50"/>
    <w:rsid w:val="00766CC5"/>
    <w:rsid w:val="00767871"/>
    <w:rsid w:val="00770A92"/>
    <w:rsid w:val="00774638"/>
    <w:rsid w:val="00774D9C"/>
    <w:rsid w:val="00776A63"/>
    <w:rsid w:val="00790C65"/>
    <w:rsid w:val="0079316B"/>
    <w:rsid w:val="007A0563"/>
    <w:rsid w:val="007A0565"/>
    <w:rsid w:val="007A0EAA"/>
    <w:rsid w:val="007A1247"/>
    <w:rsid w:val="007A1E0A"/>
    <w:rsid w:val="007A6F91"/>
    <w:rsid w:val="007A7D45"/>
    <w:rsid w:val="007B4ADA"/>
    <w:rsid w:val="007C105C"/>
    <w:rsid w:val="007C1B00"/>
    <w:rsid w:val="007D0633"/>
    <w:rsid w:val="007D0F1D"/>
    <w:rsid w:val="007D2881"/>
    <w:rsid w:val="007D31CE"/>
    <w:rsid w:val="007D3AD8"/>
    <w:rsid w:val="007D5BB7"/>
    <w:rsid w:val="007D6A69"/>
    <w:rsid w:val="007E0621"/>
    <w:rsid w:val="007E4E37"/>
    <w:rsid w:val="007F4B07"/>
    <w:rsid w:val="008029A6"/>
    <w:rsid w:val="008147BA"/>
    <w:rsid w:val="008269B0"/>
    <w:rsid w:val="0083067E"/>
    <w:rsid w:val="00832357"/>
    <w:rsid w:val="0083488D"/>
    <w:rsid w:val="008466C3"/>
    <w:rsid w:val="00846809"/>
    <w:rsid w:val="00851458"/>
    <w:rsid w:val="008605E9"/>
    <w:rsid w:val="00861A47"/>
    <w:rsid w:val="00864A7B"/>
    <w:rsid w:val="008707FF"/>
    <w:rsid w:val="008724E5"/>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0A30"/>
    <w:rsid w:val="008B6B4C"/>
    <w:rsid w:val="008B7346"/>
    <w:rsid w:val="008C7F60"/>
    <w:rsid w:val="008D3BF7"/>
    <w:rsid w:val="008E0DAA"/>
    <w:rsid w:val="008E194D"/>
    <w:rsid w:val="008F16C6"/>
    <w:rsid w:val="008F1B80"/>
    <w:rsid w:val="008F2A76"/>
    <w:rsid w:val="008F34A1"/>
    <w:rsid w:val="008F4F13"/>
    <w:rsid w:val="008F5052"/>
    <w:rsid w:val="008F5193"/>
    <w:rsid w:val="0090187D"/>
    <w:rsid w:val="00903C3D"/>
    <w:rsid w:val="0090710F"/>
    <w:rsid w:val="00910B12"/>
    <w:rsid w:val="00911179"/>
    <w:rsid w:val="009121CE"/>
    <w:rsid w:val="009127D8"/>
    <w:rsid w:val="00916ED5"/>
    <w:rsid w:val="00916F7B"/>
    <w:rsid w:val="00917A4D"/>
    <w:rsid w:val="00921F65"/>
    <w:rsid w:val="0092574C"/>
    <w:rsid w:val="009324F1"/>
    <w:rsid w:val="009342E8"/>
    <w:rsid w:val="009357B4"/>
    <w:rsid w:val="00946D71"/>
    <w:rsid w:val="00954CCA"/>
    <w:rsid w:val="009577E1"/>
    <w:rsid w:val="0096608A"/>
    <w:rsid w:val="00971CA1"/>
    <w:rsid w:val="0097349C"/>
    <w:rsid w:val="009814C2"/>
    <w:rsid w:val="00982FFD"/>
    <w:rsid w:val="00985265"/>
    <w:rsid w:val="00985856"/>
    <w:rsid w:val="009A4969"/>
    <w:rsid w:val="009B1466"/>
    <w:rsid w:val="009B6973"/>
    <w:rsid w:val="009C0510"/>
    <w:rsid w:val="009C3663"/>
    <w:rsid w:val="009C661B"/>
    <w:rsid w:val="009D098F"/>
    <w:rsid w:val="009D4547"/>
    <w:rsid w:val="009D5A49"/>
    <w:rsid w:val="009D5E38"/>
    <w:rsid w:val="009D602F"/>
    <w:rsid w:val="009D68D0"/>
    <w:rsid w:val="009E17AF"/>
    <w:rsid w:val="009E6E64"/>
    <w:rsid w:val="009F0D42"/>
    <w:rsid w:val="009F1B82"/>
    <w:rsid w:val="009F34A4"/>
    <w:rsid w:val="009F3988"/>
    <w:rsid w:val="00A003D0"/>
    <w:rsid w:val="00A073FD"/>
    <w:rsid w:val="00A0785B"/>
    <w:rsid w:val="00A150C7"/>
    <w:rsid w:val="00A163A9"/>
    <w:rsid w:val="00A2307A"/>
    <w:rsid w:val="00A2780B"/>
    <w:rsid w:val="00A462C6"/>
    <w:rsid w:val="00A50FD7"/>
    <w:rsid w:val="00A519A2"/>
    <w:rsid w:val="00A51BDC"/>
    <w:rsid w:val="00A535B7"/>
    <w:rsid w:val="00A5709F"/>
    <w:rsid w:val="00A616C4"/>
    <w:rsid w:val="00A61F20"/>
    <w:rsid w:val="00A64796"/>
    <w:rsid w:val="00A65752"/>
    <w:rsid w:val="00A66CD4"/>
    <w:rsid w:val="00A70883"/>
    <w:rsid w:val="00A77AEB"/>
    <w:rsid w:val="00A81F0A"/>
    <w:rsid w:val="00A85C7A"/>
    <w:rsid w:val="00A86042"/>
    <w:rsid w:val="00AA36F9"/>
    <w:rsid w:val="00AA444A"/>
    <w:rsid w:val="00AB1528"/>
    <w:rsid w:val="00AC13C1"/>
    <w:rsid w:val="00AD6BD4"/>
    <w:rsid w:val="00AE1B18"/>
    <w:rsid w:val="00AE1D83"/>
    <w:rsid w:val="00AE2DFB"/>
    <w:rsid w:val="00AE3061"/>
    <w:rsid w:val="00AF15BA"/>
    <w:rsid w:val="00AF1C32"/>
    <w:rsid w:val="00AF65C6"/>
    <w:rsid w:val="00B01268"/>
    <w:rsid w:val="00B11AE3"/>
    <w:rsid w:val="00B121A6"/>
    <w:rsid w:val="00B300B8"/>
    <w:rsid w:val="00B32A28"/>
    <w:rsid w:val="00B33717"/>
    <w:rsid w:val="00B33904"/>
    <w:rsid w:val="00B3751E"/>
    <w:rsid w:val="00B427FE"/>
    <w:rsid w:val="00B472C4"/>
    <w:rsid w:val="00B51737"/>
    <w:rsid w:val="00B530B4"/>
    <w:rsid w:val="00B551D9"/>
    <w:rsid w:val="00B6102A"/>
    <w:rsid w:val="00B6167A"/>
    <w:rsid w:val="00B61B25"/>
    <w:rsid w:val="00B62ED0"/>
    <w:rsid w:val="00B64196"/>
    <w:rsid w:val="00B66A7A"/>
    <w:rsid w:val="00B70266"/>
    <w:rsid w:val="00B739DA"/>
    <w:rsid w:val="00B74304"/>
    <w:rsid w:val="00B80CD0"/>
    <w:rsid w:val="00B82F05"/>
    <w:rsid w:val="00B83843"/>
    <w:rsid w:val="00B85634"/>
    <w:rsid w:val="00B86882"/>
    <w:rsid w:val="00B87142"/>
    <w:rsid w:val="00B8750E"/>
    <w:rsid w:val="00B92374"/>
    <w:rsid w:val="00B924C8"/>
    <w:rsid w:val="00B95E33"/>
    <w:rsid w:val="00B973B5"/>
    <w:rsid w:val="00B97FD1"/>
    <w:rsid w:val="00BA27DF"/>
    <w:rsid w:val="00BA2DE3"/>
    <w:rsid w:val="00BA6367"/>
    <w:rsid w:val="00BB1062"/>
    <w:rsid w:val="00BB28EF"/>
    <w:rsid w:val="00BB5DEE"/>
    <w:rsid w:val="00BC002E"/>
    <w:rsid w:val="00BC393F"/>
    <w:rsid w:val="00BC75FC"/>
    <w:rsid w:val="00BD59BD"/>
    <w:rsid w:val="00BE5B3F"/>
    <w:rsid w:val="00BF351F"/>
    <w:rsid w:val="00BF3F50"/>
    <w:rsid w:val="00BF6F37"/>
    <w:rsid w:val="00C02924"/>
    <w:rsid w:val="00C04344"/>
    <w:rsid w:val="00C17FE4"/>
    <w:rsid w:val="00C21897"/>
    <w:rsid w:val="00C276EE"/>
    <w:rsid w:val="00C3712D"/>
    <w:rsid w:val="00C43146"/>
    <w:rsid w:val="00C43757"/>
    <w:rsid w:val="00C43BCE"/>
    <w:rsid w:val="00C47CF1"/>
    <w:rsid w:val="00C52006"/>
    <w:rsid w:val="00C53AB4"/>
    <w:rsid w:val="00C542F1"/>
    <w:rsid w:val="00C572B3"/>
    <w:rsid w:val="00C57CA1"/>
    <w:rsid w:val="00C6300B"/>
    <w:rsid w:val="00C6426B"/>
    <w:rsid w:val="00C6478B"/>
    <w:rsid w:val="00C87194"/>
    <w:rsid w:val="00C90629"/>
    <w:rsid w:val="00C90C51"/>
    <w:rsid w:val="00CA3ED6"/>
    <w:rsid w:val="00CA5CED"/>
    <w:rsid w:val="00CA7CF4"/>
    <w:rsid w:val="00CB0F37"/>
    <w:rsid w:val="00CB1135"/>
    <w:rsid w:val="00CB590B"/>
    <w:rsid w:val="00CC02C5"/>
    <w:rsid w:val="00CC2BC6"/>
    <w:rsid w:val="00CC3AAB"/>
    <w:rsid w:val="00CD324E"/>
    <w:rsid w:val="00CD4A28"/>
    <w:rsid w:val="00CD54BD"/>
    <w:rsid w:val="00CD6C36"/>
    <w:rsid w:val="00CE2586"/>
    <w:rsid w:val="00CE434D"/>
    <w:rsid w:val="00CF05D7"/>
    <w:rsid w:val="00CF1CA3"/>
    <w:rsid w:val="00CF2121"/>
    <w:rsid w:val="00CF34A6"/>
    <w:rsid w:val="00CF3F93"/>
    <w:rsid w:val="00D020F3"/>
    <w:rsid w:val="00D04515"/>
    <w:rsid w:val="00D065AD"/>
    <w:rsid w:val="00D22831"/>
    <w:rsid w:val="00D36C04"/>
    <w:rsid w:val="00D404B7"/>
    <w:rsid w:val="00D44509"/>
    <w:rsid w:val="00D448CB"/>
    <w:rsid w:val="00D47226"/>
    <w:rsid w:val="00D47ED5"/>
    <w:rsid w:val="00D55312"/>
    <w:rsid w:val="00D57E7C"/>
    <w:rsid w:val="00D61779"/>
    <w:rsid w:val="00D73DB6"/>
    <w:rsid w:val="00D809E5"/>
    <w:rsid w:val="00D81948"/>
    <w:rsid w:val="00D905BE"/>
    <w:rsid w:val="00D90819"/>
    <w:rsid w:val="00D92838"/>
    <w:rsid w:val="00D93291"/>
    <w:rsid w:val="00D9501F"/>
    <w:rsid w:val="00D96BA7"/>
    <w:rsid w:val="00DB50D5"/>
    <w:rsid w:val="00DC5537"/>
    <w:rsid w:val="00DC6FFB"/>
    <w:rsid w:val="00DC748A"/>
    <w:rsid w:val="00DD11EE"/>
    <w:rsid w:val="00DD52A0"/>
    <w:rsid w:val="00DE5590"/>
    <w:rsid w:val="00DE6364"/>
    <w:rsid w:val="00DF1D9E"/>
    <w:rsid w:val="00DF3DA3"/>
    <w:rsid w:val="00DF5DA4"/>
    <w:rsid w:val="00E06492"/>
    <w:rsid w:val="00E065CE"/>
    <w:rsid w:val="00E06A00"/>
    <w:rsid w:val="00E13E03"/>
    <w:rsid w:val="00E22B99"/>
    <w:rsid w:val="00E24A9D"/>
    <w:rsid w:val="00E258D9"/>
    <w:rsid w:val="00E35B8C"/>
    <w:rsid w:val="00E439CA"/>
    <w:rsid w:val="00E46DDB"/>
    <w:rsid w:val="00E473F3"/>
    <w:rsid w:val="00E5219B"/>
    <w:rsid w:val="00E52AF1"/>
    <w:rsid w:val="00E56905"/>
    <w:rsid w:val="00E63AB4"/>
    <w:rsid w:val="00E64BE4"/>
    <w:rsid w:val="00E85565"/>
    <w:rsid w:val="00E87F91"/>
    <w:rsid w:val="00E94BC6"/>
    <w:rsid w:val="00EA0563"/>
    <w:rsid w:val="00EA198F"/>
    <w:rsid w:val="00EA2EA1"/>
    <w:rsid w:val="00EA3CB9"/>
    <w:rsid w:val="00EA59EB"/>
    <w:rsid w:val="00EA5DAA"/>
    <w:rsid w:val="00EA67F3"/>
    <w:rsid w:val="00EB48F8"/>
    <w:rsid w:val="00EB5ED8"/>
    <w:rsid w:val="00EB7EFB"/>
    <w:rsid w:val="00ED0C60"/>
    <w:rsid w:val="00ED3D26"/>
    <w:rsid w:val="00ED5218"/>
    <w:rsid w:val="00EE1D9D"/>
    <w:rsid w:val="00EF0BCB"/>
    <w:rsid w:val="00EF0E74"/>
    <w:rsid w:val="00EF2549"/>
    <w:rsid w:val="00F00E8A"/>
    <w:rsid w:val="00F16242"/>
    <w:rsid w:val="00F17FCB"/>
    <w:rsid w:val="00F226CC"/>
    <w:rsid w:val="00F2691E"/>
    <w:rsid w:val="00F27080"/>
    <w:rsid w:val="00F279DD"/>
    <w:rsid w:val="00F3242E"/>
    <w:rsid w:val="00F33650"/>
    <w:rsid w:val="00F33713"/>
    <w:rsid w:val="00F348F9"/>
    <w:rsid w:val="00F37E4B"/>
    <w:rsid w:val="00F4144E"/>
    <w:rsid w:val="00F41B00"/>
    <w:rsid w:val="00F473CB"/>
    <w:rsid w:val="00F50245"/>
    <w:rsid w:val="00F63DDA"/>
    <w:rsid w:val="00F67029"/>
    <w:rsid w:val="00F70858"/>
    <w:rsid w:val="00F71BBC"/>
    <w:rsid w:val="00F7397F"/>
    <w:rsid w:val="00F75949"/>
    <w:rsid w:val="00F75CF4"/>
    <w:rsid w:val="00F81186"/>
    <w:rsid w:val="00F81D07"/>
    <w:rsid w:val="00F866CD"/>
    <w:rsid w:val="00F941F0"/>
    <w:rsid w:val="00F97406"/>
    <w:rsid w:val="00F97FF5"/>
    <w:rsid w:val="00FA7CE6"/>
    <w:rsid w:val="00FB1313"/>
    <w:rsid w:val="00FB42C0"/>
    <w:rsid w:val="00FC2238"/>
    <w:rsid w:val="00FC2459"/>
    <w:rsid w:val="00FC268E"/>
    <w:rsid w:val="00FC2BFD"/>
    <w:rsid w:val="00FC309D"/>
    <w:rsid w:val="00FC358A"/>
    <w:rsid w:val="00FC47E0"/>
    <w:rsid w:val="00FD1C42"/>
    <w:rsid w:val="00FD1E96"/>
    <w:rsid w:val="00FD1FE7"/>
    <w:rsid w:val="00FD6442"/>
    <w:rsid w:val="00FE15F6"/>
    <w:rsid w:val="00FE1F8A"/>
    <w:rsid w:val="00FE5D3E"/>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6D8E1A"/>
  <w15:docId w15:val="{283FB243-131E-4A02-A460-9015088E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100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32750">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1FC6E-C994-4B73-A265-2EF36677F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template_20190423.dotx</Template>
  <TotalTime>1</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Joseph, George</cp:lastModifiedBy>
  <cp:revision>2</cp:revision>
  <dcterms:created xsi:type="dcterms:W3CDTF">2022-04-06T09:58:00Z</dcterms:created>
  <dcterms:modified xsi:type="dcterms:W3CDTF">2022-04-06T09:58:00Z</dcterms:modified>
</cp:coreProperties>
</file>