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A5B3" w14:textId="77777777" w:rsidR="000A0709" w:rsidRPr="00F866CD" w:rsidRDefault="003B31BE" w:rsidP="00886B71">
      <w:pPr>
        <w:pageBreakBefore/>
        <w:jc w:val="center"/>
        <w:rPr>
          <w:rFonts w:ascii="Arial" w:hAnsi="Arial" w:cs="Arial"/>
          <w:b/>
          <w:bCs/>
          <w:sz w:val="24"/>
          <w:szCs w:val="28"/>
        </w:rPr>
      </w:pPr>
      <w:r w:rsidRPr="00F866CD">
        <w:rPr>
          <w:rFonts w:ascii="Arial" w:hAnsi="Arial" w:cs="Arial"/>
          <w:b/>
          <w:bCs/>
          <w:sz w:val="24"/>
          <w:szCs w:val="28"/>
        </w:rPr>
        <w:t>Overview and rationale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6736"/>
        <w:gridCol w:w="1569"/>
      </w:tblGrid>
      <w:tr w:rsidR="005473CF" w:rsidRPr="00F866CD" w14:paraId="444E6B11" w14:textId="77777777" w:rsidTr="00A0785B">
        <w:trPr>
          <w:cantSplit/>
        </w:trPr>
        <w:tc>
          <w:tcPr>
            <w:tcW w:w="786" w:type="pct"/>
            <w:shd w:val="clear" w:color="auto" w:fill="auto"/>
          </w:tcPr>
          <w:p w14:paraId="726A84B0" w14:textId="77777777" w:rsidR="005473CF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Indicator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B714AC5" w14:textId="77777777" w:rsidR="005473CF" w:rsidRPr="00F866CD" w:rsidRDefault="009324F1" w:rsidP="008605E9">
            <w:pPr>
              <w:keepLines/>
              <w:spacing w:before="120"/>
              <w:ind w:left="567" w:hanging="567"/>
              <w:rPr>
                <w:rFonts w:ascii="Arial" w:hAnsi="Arial" w:cs="Arial"/>
                <w:b/>
                <w:szCs w:val="22"/>
              </w:rPr>
            </w:pPr>
            <w:r w:rsidRPr="009324F1">
              <w:rPr>
                <w:rFonts w:ascii="Arial" w:hAnsi="Arial" w:cs="Arial"/>
                <w:b/>
                <w:szCs w:val="22"/>
              </w:rPr>
              <w:t>25.</w:t>
            </w:r>
            <w:r w:rsidRPr="009324F1">
              <w:rPr>
                <w:rFonts w:ascii="Arial" w:hAnsi="Arial" w:cs="Arial"/>
                <w:b/>
                <w:szCs w:val="22"/>
              </w:rPr>
              <w:tab/>
              <w:t>Percentage of States Parties actively engaged in international networking and institutional cooperation</w:t>
            </w:r>
          </w:p>
        </w:tc>
      </w:tr>
      <w:tr w:rsidR="005B0FE5" w:rsidRPr="00F866CD" w14:paraId="2F8A5D43" w14:textId="77777777" w:rsidTr="00A0785B">
        <w:trPr>
          <w:cantSplit/>
        </w:trPr>
        <w:tc>
          <w:tcPr>
            <w:tcW w:w="786" w:type="pct"/>
            <w:vMerge w:val="restart"/>
            <w:shd w:val="clear" w:color="auto" w:fill="auto"/>
          </w:tcPr>
          <w:p w14:paraId="0F6E3CA0" w14:textId="77777777" w:rsidR="005B0FE5" w:rsidRPr="00F866CD" w:rsidRDefault="005B0FE5" w:rsidP="00DA2EC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Assessment factors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13188A9D" w14:textId="77777777" w:rsidR="005B0FE5" w:rsidRPr="00F866CD" w:rsidRDefault="005B0FE5" w:rsidP="00946D71">
            <w:pPr>
              <w:keepLines/>
              <w:spacing w:before="120"/>
              <w:jc w:val="both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szCs w:val="22"/>
              </w:rPr>
              <w:t xml:space="preserve">This indicator is assessed on the basis of </w:t>
            </w:r>
            <w:r w:rsidR="009324F1">
              <w:rPr>
                <w:rFonts w:ascii="Arial" w:hAnsi="Arial" w:cs="Arial"/>
                <w:szCs w:val="22"/>
              </w:rPr>
              <w:t>three</w:t>
            </w:r>
            <w:r w:rsidRPr="00F866CD">
              <w:rPr>
                <w:rFonts w:ascii="Arial" w:hAnsi="Arial" w:cs="Arial"/>
                <w:szCs w:val="22"/>
              </w:rPr>
              <w:t xml:space="preserve"> country-level factors monitored and reported by each State Party:</w:t>
            </w:r>
          </w:p>
        </w:tc>
      </w:tr>
      <w:tr w:rsidR="009324F1" w:rsidRPr="00F866CD" w14:paraId="41172E28" w14:textId="77777777" w:rsidTr="00A0785B">
        <w:trPr>
          <w:cantSplit/>
        </w:trPr>
        <w:tc>
          <w:tcPr>
            <w:tcW w:w="786" w:type="pct"/>
            <w:vMerge/>
            <w:shd w:val="clear" w:color="auto" w:fill="auto"/>
          </w:tcPr>
          <w:p w14:paraId="6A289DF7" w14:textId="77777777" w:rsidR="009324F1" w:rsidRPr="00F866CD" w:rsidRDefault="009324F1" w:rsidP="009324F1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31513309" w14:textId="5B779C3F" w:rsidR="009324F1" w:rsidRPr="000C4D78" w:rsidRDefault="00FC358A" w:rsidP="000C4D78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4D78">
              <w:rPr>
                <w:rFonts w:ascii="Arial" w:hAnsi="Arial" w:cs="Arial"/>
                <w:sz w:val="20"/>
                <w:szCs w:val="20"/>
                <w:lang w:val="en-GB"/>
              </w:rPr>
              <w:t>State Party engages, as host or beneficiary, in the activities of category 2 centres for ICH.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31FAC06" w14:textId="77777777" w:rsidR="009324F1" w:rsidRPr="0074360F" w:rsidRDefault="009324F1" w:rsidP="009324F1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</w:rPr>
              <w:t>OD 88</w:t>
            </w:r>
          </w:p>
        </w:tc>
      </w:tr>
      <w:tr w:rsidR="009324F1" w:rsidRPr="00F866CD" w14:paraId="4E56AE84" w14:textId="77777777" w:rsidTr="00A0785B">
        <w:trPr>
          <w:cantSplit/>
        </w:trPr>
        <w:tc>
          <w:tcPr>
            <w:tcW w:w="786" w:type="pct"/>
            <w:vMerge/>
            <w:shd w:val="clear" w:color="auto" w:fill="auto"/>
          </w:tcPr>
          <w:p w14:paraId="3152956A" w14:textId="77777777" w:rsidR="009324F1" w:rsidRPr="00F866CD" w:rsidRDefault="009324F1" w:rsidP="009324F1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483AD807" w14:textId="77777777" w:rsidR="009324F1" w:rsidRPr="000C4D78" w:rsidRDefault="00FC358A" w:rsidP="000C4D78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4D78">
              <w:rPr>
                <w:rFonts w:ascii="Arial" w:hAnsi="Arial" w:cs="Arial"/>
                <w:sz w:val="20"/>
                <w:szCs w:val="20"/>
                <w:lang w:val="en-GB"/>
              </w:rPr>
              <w:t>International networking is fostered among communities, groups and individuals, NGOs, experts, centres of expertise and research institutes, active in the field of ICH.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47E5A30" w14:textId="77777777" w:rsidR="009324F1" w:rsidRPr="0074360F" w:rsidRDefault="009324F1" w:rsidP="009324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072E">
              <w:rPr>
                <w:rFonts w:ascii="Arial" w:hAnsi="Arial" w:cs="Arial"/>
                <w:sz w:val="20"/>
                <w:szCs w:val="20"/>
              </w:rPr>
              <w:t>OD 86</w:t>
            </w:r>
          </w:p>
        </w:tc>
      </w:tr>
      <w:tr w:rsidR="009324F1" w:rsidRPr="00F866CD" w14:paraId="55E6AAF8" w14:textId="77777777" w:rsidTr="00A0785B">
        <w:trPr>
          <w:cantSplit/>
        </w:trPr>
        <w:tc>
          <w:tcPr>
            <w:tcW w:w="786" w:type="pct"/>
            <w:vMerge/>
            <w:shd w:val="clear" w:color="auto" w:fill="auto"/>
          </w:tcPr>
          <w:p w14:paraId="6E71D7F1" w14:textId="77777777" w:rsidR="009324F1" w:rsidRPr="00F866CD" w:rsidRDefault="009324F1" w:rsidP="009324F1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8" w:type="pct"/>
            <w:shd w:val="clear" w:color="auto" w:fill="auto"/>
            <w:vAlign w:val="center"/>
          </w:tcPr>
          <w:p w14:paraId="20761829" w14:textId="77777777" w:rsidR="009324F1" w:rsidRPr="000C4D78" w:rsidRDefault="00FC358A" w:rsidP="000C4D78">
            <w:pPr>
              <w:pStyle w:val="ListParagraph"/>
              <w:keepLines/>
              <w:numPr>
                <w:ilvl w:val="1"/>
                <w:numId w:val="75"/>
              </w:numPr>
              <w:spacing w:before="120" w:after="120" w:line="240" w:lineRule="auto"/>
              <w:ind w:left="583" w:hanging="56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4D78">
              <w:rPr>
                <w:rFonts w:ascii="Arial" w:hAnsi="Arial" w:cs="Arial"/>
                <w:sz w:val="20"/>
                <w:szCs w:val="20"/>
                <w:lang w:val="en-GB"/>
              </w:rPr>
              <w:t>State Party participates in the ICH-related activities of international and regional bodies other than UNESCO.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D89AE0A" w14:textId="70835B8A" w:rsidR="009324F1" w:rsidRPr="0074360F" w:rsidRDefault="009324F1" w:rsidP="009324F1">
            <w:pPr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3CF" w:rsidRPr="00F866CD" w14:paraId="10168063" w14:textId="77777777" w:rsidTr="00A0785B">
        <w:trPr>
          <w:cantSplit/>
        </w:trPr>
        <w:tc>
          <w:tcPr>
            <w:tcW w:w="786" w:type="pct"/>
            <w:shd w:val="clear" w:color="auto" w:fill="auto"/>
          </w:tcPr>
          <w:p w14:paraId="0D39D752" w14:textId="77777777" w:rsidR="005473CF" w:rsidRPr="00F866CD" w:rsidRDefault="005473CF" w:rsidP="005473C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Relation with SDGs and other indicators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7F06157D" w14:textId="2F3CFA0D" w:rsidR="005473CF" w:rsidRPr="00DC6FFB" w:rsidRDefault="005473CF" w:rsidP="005473CF">
            <w:pPr>
              <w:keepLines/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F866CD">
              <w:rPr>
                <w:rFonts w:ascii="Arial" w:hAnsi="Arial" w:cs="Arial"/>
                <w:b/>
                <w:bCs/>
                <w:szCs w:val="22"/>
              </w:rPr>
              <w:t xml:space="preserve">Sustainable Development Goals: </w:t>
            </w:r>
            <w:r w:rsidR="00DC6FFB">
              <w:rPr>
                <w:rFonts w:ascii="Arial" w:hAnsi="Arial" w:cs="Arial"/>
                <w:szCs w:val="22"/>
              </w:rPr>
              <w:t xml:space="preserve">This indicator supports SDG Target 11.4, which concerns protecting and safeguarding the world’s cultural and natural heritage. </w:t>
            </w:r>
            <w:r w:rsidR="001004A1">
              <w:rPr>
                <w:rFonts w:ascii="Arial" w:hAnsi="Arial" w:cs="Arial"/>
                <w:szCs w:val="22"/>
              </w:rPr>
              <w:t xml:space="preserve">It complements SDG Target 17.17, which aims to ‘encourage and promote effective public, public-private and civil society </w:t>
            </w:r>
            <w:proofErr w:type="gramStart"/>
            <w:r w:rsidR="001004A1">
              <w:rPr>
                <w:rFonts w:ascii="Arial" w:hAnsi="Arial" w:cs="Arial"/>
                <w:szCs w:val="22"/>
              </w:rPr>
              <w:t>partnerships’</w:t>
            </w:r>
            <w:proofErr w:type="gramEnd"/>
            <w:r w:rsidR="001004A1">
              <w:rPr>
                <w:rFonts w:ascii="Arial" w:hAnsi="Arial" w:cs="Arial"/>
                <w:szCs w:val="22"/>
              </w:rPr>
              <w:t>.</w:t>
            </w:r>
          </w:p>
          <w:p w14:paraId="27735F29" w14:textId="60FED484" w:rsidR="005473CF" w:rsidRPr="00DC6FFB" w:rsidRDefault="005473CF" w:rsidP="000C35D4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Relation to other indicators:</w:t>
            </w:r>
            <w:r w:rsidRPr="00F866CD">
              <w:rPr>
                <w:rFonts w:ascii="Arial" w:hAnsi="Arial" w:cs="Arial"/>
                <w:bCs/>
                <w:szCs w:val="22"/>
              </w:rPr>
              <w:t xml:space="preserve"> </w:t>
            </w:r>
            <w:r w:rsidR="00DC6FFB">
              <w:rPr>
                <w:rFonts w:ascii="Arial" w:hAnsi="Arial" w:cs="Arial"/>
                <w:bCs/>
                <w:szCs w:val="22"/>
              </w:rPr>
              <w:t xml:space="preserve">The present indicator complements Indicator 24, which concerns international </w:t>
            </w:r>
            <w:r w:rsidR="000C35D4">
              <w:rPr>
                <w:rFonts w:ascii="Arial" w:hAnsi="Arial" w:cs="Arial"/>
                <w:bCs/>
                <w:szCs w:val="22"/>
              </w:rPr>
              <w:t xml:space="preserve">cooperation for </w:t>
            </w:r>
            <w:r w:rsidR="00DC6FFB">
              <w:rPr>
                <w:rFonts w:ascii="Arial" w:hAnsi="Arial" w:cs="Arial"/>
                <w:bCs/>
                <w:szCs w:val="22"/>
              </w:rPr>
              <w:t>safeguarding</w:t>
            </w:r>
            <w:r w:rsidR="00F81186">
              <w:rPr>
                <w:rFonts w:ascii="Arial" w:hAnsi="Arial" w:cs="Arial"/>
                <w:bCs/>
                <w:szCs w:val="22"/>
              </w:rPr>
              <w:t>. Here th</w:t>
            </w:r>
            <w:r w:rsidR="00DC6FFB">
              <w:rPr>
                <w:rFonts w:ascii="Arial" w:hAnsi="Arial" w:cs="Arial"/>
                <w:bCs/>
                <w:szCs w:val="22"/>
              </w:rPr>
              <w:t>e focus turn</w:t>
            </w:r>
            <w:r w:rsidR="00F81186">
              <w:rPr>
                <w:rFonts w:ascii="Arial" w:hAnsi="Arial" w:cs="Arial"/>
                <w:bCs/>
                <w:szCs w:val="22"/>
              </w:rPr>
              <w:t>s</w:t>
            </w:r>
            <w:r w:rsidR="00DC6FFB">
              <w:rPr>
                <w:rFonts w:ascii="Arial" w:hAnsi="Arial" w:cs="Arial"/>
                <w:bCs/>
                <w:szCs w:val="22"/>
              </w:rPr>
              <w:t xml:space="preserve"> to institutions and other actors who carry out such activities. </w:t>
            </w:r>
            <w:r w:rsidR="00CF2121">
              <w:rPr>
                <w:rFonts w:ascii="Arial" w:hAnsi="Arial" w:cs="Arial"/>
                <w:bCs/>
                <w:szCs w:val="22"/>
              </w:rPr>
              <w:t xml:space="preserve">These </w:t>
            </w:r>
            <w:r w:rsidR="00F81186">
              <w:rPr>
                <w:rFonts w:ascii="Arial" w:hAnsi="Arial" w:cs="Arial"/>
                <w:bCs/>
                <w:szCs w:val="22"/>
              </w:rPr>
              <w:t xml:space="preserve">institutions may be among those mentioned </w:t>
            </w:r>
            <w:r w:rsidR="00CF2121">
              <w:rPr>
                <w:rFonts w:ascii="Arial" w:hAnsi="Arial" w:cs="Arial"/>
                <w:bCs/>
                <w:szCs w:val="22"/>
              </w:rPr>
              <w:t xml:space="preserve">in other indicators, such as </w:t>
            </w:r>
            <w:r w:rsidR="00F81186">
              <w:rPr>
                <w:rFonts w:ascii="Arial" w:hAnsi="Arial" w:cs="Arial"/>
                <w:bCs/>
                <w:szCs w:val="22"/>
              </w:rPr>
              <w:t>in Indicator 1 (institutional capacities), Indicator 2 (capacity-building institutions) or Indicator 6 (post-secondary institutions).</w:t>
            </w:r>
          </w:p>
        </w:tc>
      </w:tr>
      <w:tr w:rsidR="00896177" w:rsidRPr="00F866CD" w14:paraId="3E8F009F" w14:textId="77777777" w:rsidTr="00A0785B">
        <w:trPr>
          <w:cantSplit/>
        </w:trPr>
        <w:tc>
          <w:tcPr>
            <w:tcW w:w="786" w:type="pct"/>
            <w:shd w:val="clear" w:color="auto" w:fill="auto"/>
          </w:tcPr>
          <w:p w14:paraId="4A481D4C" w14:textId="77777777" w:rsidR="00896177" w:rsidRPr="00F866CD" w:rsidRDefault="002C28BA" w:rsidP="00A7283F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Rationale for action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4B98C373" w14:textId="40C78006" w:rsidR="00704766" w:rsidRPr="00F866CD" w:rsidRDefault="00F81186" w:rsidP="000C35D4">
            <w:pPr>
              <w:keepLines/>
              <w:spacing w:before="120"/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>As noted with regard to Indicator 24, o</w:t>
            </w:r>
            <w:r w:rsidRPr="00F81186">
              <w:rPr>
                <w:rFonts w:asciiTheme="minorBidi" w:hAnsiTheme="minorBidi" w:cstheme="minorBidi"/>
                <w:szCs w:val="22"/>
              </w:rPr>
              <w:t xml:space="preserve">ne of the Convention’s four purposes is ‘to provide for international cooperation and assistance’ (Article 1(d)), and the Convention further defines international cooperation </w:t>
            </w:r>
            <w:r w:rsidR="000C35D4">
              <w:rPr>
                <w:rFonts w:asciiTheme="minorBidi" w:hAnsiTheme="minorBidi" w:cstheme="minorBidi"/>
                <w:szCs w:val="22"/>
              </w:rPr>
              <w:t>as</w:t>
            </w:r>
            <w:r w:rsidR="000C35D4" w:rsidRPr="00F81186">
              <w:rPr>
                <w:rFonts w:asciiTheme="minorBidi" w:hAnsiTheme="minorBidi" w:cstheme="minorBidi"/>
                <w:szCs w:val="22"/>
              </w:rPr>
              <w:t xml:space="preserve"> includ</w:t>
            </w:r>
            <w:r w:rsidR="000C35D4">
              <w:rPr>
                <w:rFonts w:asciiTheme="minorBidi" w:hAnsiTheme="minorBidi" w:cstheme="minorBidi"/>
                <w:szCs w:val="22"/>
              </w:rPr>
              <w:t>ing</w:t>
            </w:r>
            <w:r w:rsidR="000C35D4" w:rsidRPr="00F81186">
              <w:rPr>
                <w:rFonts w:asciiTheme="minorBidi" w:hAnsiTheme="minorBidi" w:cstheme="minorBidi"/>
                <w:szCs w:val="22"/>
              </w:rPr>
              <w:t xml:space="preserve"> </w:t>
            </w:r>
            <w:r w:rsidRPr="00F81186">
              <w:rPr>
                <w:rFonts w:asciiTheme="minorBidi" w:hAnsiTheme="minorBidi" w:cstheme="minorBidi"/>
                <w:szCs w:val="22"/>
              </w:rPr>
              <w:t xml:space="preserve">joint initiatives, among other things (Article 19). </w:t>
            </w:r>
            <w:r>
              <w:rPr>
                <w:rFonts w:asciiTheme="minorBidi" w:hAnsiTheme="minorBidi" w:cstheme="minorBidi"/>
                <w:szCs w:val="22"/>
              </w:rPr>
              <w:t xml:space="preserve">Article 19 </w:t>
            </w:r>
            <w:r w:rsidR="00CF1CA3">
              <w:rPr>
                <w:rFonts w:asciiTheme="minorBidi" w:hAnsiTheme="minorBidi" w:cstheme="minorBidi"/>
                <w:szCs w:val="22"/>
              </w:rPr>
              <w:t>requires</w:t>
            </w:r>
            <w:r>
              <w:rPr>
                <w:rFonts w:asciiTheme="minorBidi" w:hAnsiTheme="minorBidi" w:cstheme="minorBidi"/>
                <w:szCs w:val="22"/>
              </w:rPr>
              <w:t xml:space="preserve"> States </w:t>
            </w:r>
            <w:r w:rsidRPr="00F81186">
              <w:rPr>
                <w:rFonts w:asciiTheme="minorBidi" w:hAnsiTheme="minorBidi" w:cstheme="minorBidi"/>
                <w:szCs w:val="22"/>
              </w:rPr>
              <w:t>‘to cooperate at the bilateral, sub</w:t>
            </w:r>
            <w:r w:rsidR="000C35D4">
              <w:rPr>
                <w:rFonts w:asciiTheme="minorBidi" w:hAnsiTheme="minorBidi" w:cstheme="minorBidi"/>
                <w:szCs w:val="22"/>
              </w:rPr>
              <w:t>-</w:t>
            </w:r>
            <w:r w:rsidRPr="00F81186">
              <w:rPr>
                <w:rFonts w:asciiTheme="minorBidi" w:hAnsiTheme="minorBidi" w:cstheme="minorBidi"/>
                <w:szCs w:val="22"/>
              </w:rPr>
              <w:t>regional, regional and international levels</w:t>
            </w:r>
            <w:r>
              <w:rPr>
                <w:rFonts w:asciiTheme="minorBidi" w:hAnsiTheme="minorBidi" w:cstheme="minorBidi"/>
                <w:szCs w:val="22"/>
              </w:rPr>
              <w:t>,</w:t>
            </w:r>
            <w:r w:rsidRPr="00F81186">
              <w:rPr>
                <w:rFonts w:asciiTheme="minorBidi" w:hAnsiTheme="minorBidi" w:cstheme="minorBidi"/>
                <w:szCs w:val="22"/>
              </w:rPr>
              <w:t>’</w:t>
            </w:r>
            <w:r>
              <w:rPr>
                <w:rFonts w:asciiTheme="minorBidi" w:hAnsiTheme="minorBidi" w:cstheme="minorBidi"/>
                <w:szCs w:val="22"/>
              </w:rPr>
              <w:t xml:space="preserve"> and such cooperation can be formalized through networking and institutional cooperation, as described here. Category 2 centres are typically involved in strengthening international </w:t>
            </w:r>
            <w:r w:rsidR="000C35D4">
              <w:rPr>
                <w:rFonts w:asciiTheme="minorBidi" w:hAnsiTheme="minorBidi" w:cstheme="minorBidi"/>
                <w:szCs w:val="22"/>
              </w:rPr>
              <w:t xml:space="preserve">and regional </w:t>
            </w:r>
            <w:r>
              <w:rPr>
                <w:rFonts w:asciiTheme="minorBidi" w:hAnsiTheme="minorBidi" w:cstheme="minorBidi"/>
                <w:szCs w:val="22"/>
              </w:rPr>
              <w:t>networks and exchanging experiences in safeguarding, particularly in the context of support to the Convention’s capacity-building programme.</w:t>
            </w:r>
            <w:r w:rsidR="00CA5CED">
              <w:rPr>
                <w:rFonts w:asciiTheme="minorBidi" w:hAnsiTheme="minorBidi" w:cstheme="minorBidi"/>
                <w:szCs w:val="22"/>
              </w:rPr>
              <w:t xml:space="preserve"> Increasingly, the actions of other United Nations agencies and regional bodies involve ICH and its safeguarding, and many States find them to be an important forum for international cooperation.</w:t>
            </w:r>
          </w:p>
        </w:tc>
      </w:tr>
      <w:tr w:rsidR="00704766" w:rsidRPr="00F866CD" w14:paraId="686843AD" w14:textId="77777777" w:rsidTr="00A0785B">
        <w:trPr>
          <w:cantSplit/>
        </w:trPr>
        <w:tc>
          <w:tcPr>
            <w:tcW w:w="786" w:type="pct"/>
            <w:shd w:val="clear" w:color="auto" w:fill="auto"/>
          </w:tcPr>
          <w:p w14:paraId="50B7AD36" w14:textId="77777777" w:rsidR="00704766" w:rsidRPr="00F866CD" w:rsidRDefault="00704766" w:rsidP="00BE5B3F">
            <w:pPr>
              <w:spacing w:before="120" w:after="60"/>
              <w:jc w:val="both"/>
              <w:rPr>
                <w:rFonts w:asciiTheme="minorBidi" w:hAnsiTheme="minorBidi" w:cstheme="minorBidi"/>
                <w:b/>
                <w:szCs w:val="22"/>
              </w:rPr>
            </w:pPr>
            <w:r w:rsidRPr="00F866CD">
              <w:rPr>
                <w:rFonts w:asciiTheme="minorBidi" w:hAnsiTheme="minorBidi" w:cstheme="minorBidi"/>
                <w:b/>
                <w:szCs w:val="22"/>
              </w:rPr>
              <w:t>Key terms</w:t>
            </w:r>
          </w:p>
        </w:tc>
        <w:tc>
          <w:tcPr>
            <w:tcW w:w="4214" w:type="pct"/>
            <w:gridSpan w:val="2"/>
            <w:shd w:val="clear" w:color="auto" w:fill="auto"/>
          </w:tcPr>
          <w:p w14:paraId="317CD34D" w14:textId="77777777" w:rsidR="0017408E" w:rsidRDefault="0017408E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Category 2 centres</w:t>
            </w:r>
          </w:p>
          <w:p w14:paraId="1CC2ECEB" w14:textId="77777777" w:rsidR="00704766" w:rsidRDefault="009324F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Communities, groups or, in some cases, individuals</w:t>
            </w:r>
          </w:p>
          <w:p w14:paraId="7D07B2D5" w14:textId="5F91F4FF" w:rsidR="009324F1" w:rsidRDefault="00CF212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Non-governmental organizations</w:t>
            </w:r>
          </w:p>
          <w:p w14:paraId="2B648FD0" w14:textId="77777777" w:rsidR="009324F1" w:rsidRDefault="009324F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Centres of expertise</w:t>
            </w:r>
          </w:p>
          <w:p w14:paraId="4BEDF0E9" w14:textId="77777777" w:rsidR="009324F1" w:rsidRDefault="009324F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Research institutions</w:t>
            </w:r>
          </w:p>
          <w:p w14:paraId="023FE607" w14:textId="77777777" w:rsidR="009324F1" w:rsidRPr="00F866CD" w:rsidRDefault="009324F1" w:rsidP="00704766">
            <w:pPr>
              <w:pStyle w:val="ListParagraph"/>
              <w:numPr>
                <w:ilvl w:val="0"/>
                <w:numId w:val="71"/>
              </w:numPr>
              <w:spacing w:before="120" w:after="120"/>
              <w:ind w:left="714" w:hanging="357"/>
              <w:jc w:val="both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t>Regional</w:t>
            </w:r>
          </w:p>
        </w:tc>
      </w:tr>
    </w:tbl>
    <w:p w14:paraId="02F93957" w14:textId="77777777" w:rsidR="0054175C" w:rsidRPr="00F866CD" w:rsidRDefault="0054175C" w:rsidP="0054175C">
      <w:pPr>
        <w:jc w:val="center"/>
        <w:rPr>
          <w:rFonts w:ascii="Arial" w:hAnsi="Arial" w:cs="Arial"/>
          <w:b/>
          <w:sz w:val="24"/>
        </w:rPr>
        <w:sectPr w:rsidR="0054175C" w:rsidRPr="00F866CD" w:rsidSect="000F25BA">
          <w:headerReference w:type="default" r:id="rId8"/>
          <w:footerReference w:type="default" r:id="rId9"/>
          <w:pgSz w:w="11906" w:h="16838" w:code="9"/>
          <w:pgMar w:top="1418" w:right="1134" w:bottom="1134" w:left="1134" w:header="397" w:footer="284" w:gutter="0"/>
          <w:cols w:space="708"/>
          <w:docGrid w:linePitch="360"/>
        </w:sectPr>
      </w:pPr>
    </w:p>
    <w:p w14:paraId="2E1981E4" w14:textId="77777777" w:rsidR="0054175C" w:rsidRPr="00F866CD" w:rsidRDefault="0054175C" w:rsidP="00704766">
      <w:pPr>
        <w:jc w:val="center"/>
        <w:rPr>
          <w:rFonts w:ascii="Arial" w:hAnsi="Arial" w:cs="Arial"/>
          <w:b/>
          <w:sz w:val="24"/>
        </w:rPr>
      </w:pPr>
      <w:r w:rsidRPr="00F866CD">
        <w:rPr>
          <w:rFonts w:ascii="Arial" w:hAnsi="Arial" w:cs="Arial"/>
          <w:b/>
          <w:sz w:val="24"/>
        </w:rPr>
        <w:t>Specific guidance on monitoring and periodic reporting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8415"/>
      </w:tblGrid>
      <w:tr w:rsidR="009C0510" w:rsidRPr="00F866CD" w14:paraId="5C747117" w14:textId="77777777" w:rsidTr="001004A1">
        <w:tc>
          <w:tcPr>
            <w:tcW w:w="730" w:type="pct"/>
            <w:shd w:val="clear" w:color="auto" w:fill="auto"/>
          </w:tcPr>
          <w:p w14:paraId="2398E604" w14:textId="77777777" w:rsidR="002C28BA" w:rsidRPr="00F866CD" w:rsidRDefault="002C28BA" w:rsidP="006B0DB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Benefits of monitoring</w:t>
            </w:r>
          </w:p>
        </w:tc>
        <w:tc>
          <w:tcPr>
            <w:tcW w:w="4270" w:type="pct"/>
            <w:shd w:val="clear" w:color="auto" w:fill="auto"/>
          </w:tcPr>
          <w:p w14:paraId="3BBCFE4C" w14:textId="7F2EC8EE" w:rsidR="002C28BA" w:rsidRPr="00621208" w:rsidRDefault="00CF2121" w:rsidP="00CF2121">
            <w:pPr>
              <w:keepLines/>
              <w:spacing w:before="12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</w:t>
            </w:r>
            <w:r w:rsidR="00B551D9">
              <w:rPr>
                <w:rFonts w:ascii="Arial" w:hAnsi="Arial" w:cs="Arial"/>
                <w:bCs/>
                <w:szCs w:val="22"/>
              </w:rPr>
              <w:t xml:space="preserve">onitoring and reporting of international networking and institutional cooperation can help a State to take stock of the extent to which it is responding to the Convention’s core purpose of fostering international cooperation. Such monitoring can also </w:t>
            </w:r>
            <w:r>
              <w:rPr>
                <w:rFonts w:ascii="Arial" w:hAnsi="Arial" w:cs="Arial"/>
                <w:bCs/>
                <w:szCs w:val="22"/>
              </w:rPr>
              <w:t xml:space="preserve">assist the State </w:t>
            </w:r>
            <w:r w:rsidR="00B551D9">
              <w:rPr>
                <w:rFonts w:ascii="Arial" w:hAnsi="Arial" w:cs="Arial"/>
                <w:bCs/>
                <w:szCs w:val="22"/>
              </w:rPr>
              <w:t xml:space="preserve">to recall effective examples of such cooperation that it might wish to reactivate or extend. Similarly, monitoring at the global level can help </w:t>
            </w:r>
            <w:r w:rsidR="00B551D9">
              <w:rPr>
                <w:rFonts w:ascii="Arial" w:hAnsi="Arial" w:cs="Arial"/>
                <w:bCs/>
                <w:szCs w:val="22"/>
              </w:rPr>
              <w:lastRenderedPageBreak/>
              <w:t xml:space="preserve">identify </w:t>
            </w:r>
            <w:r>
              <w:rPr>
                <w:rFonts w:ascii="Arial" w:hAnsi="Arial" w:cs="Arial"/>
                <w:bCs/>
                <w:szCs w:val="22"/>
              </w:rPr>
              <w:t xml:space="preserve">cases </w:t>
            </w:r>
            <w:r w:rsidR="00B551D9">
              <w:rPr>
                <w:rFonts w:ascii="Arial" w:hAnsi="Arial" w:cs="Arial"/>
                <w:bCs/>
                <w:szCs w:val="22"/>
              </w:rPr>
              <w:t>and instances of international cooperation that have demonstrated their effectiveness and can illustrate what measures and approaches ought to be continued.</w:t>
            </w:r>
          </w:p>
        </w:tc>
      </w:tr>
      <w:tr w:rsidR="0054175C" w:rsidRPr="00F866CD" w14:paraId="314D8B49" w14:textId="77777777" w:rsidTr="001004A1">
        <w:tc>
          <w:tcPr>
            <w:tcW w:w="730" w:type="pct"/>
            <w:shd w:val="clear" w:color="auto" w:fill="auto"/>
          </w:tcPr>
          <w:p w14:paraId="7A236421" w14:textId="77777777" w:rsidR="0054175C" w:rsidRPr="00F866CD" w:rsidRDefault="0054175C" w:rsidP="0054175C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lastRenderedPageBreak/>
              <w:t>Data sources and collection</w:t>
            </w:r>
          </w:p>
        </w:tc>
        <w:tc>
          <w:tcPr>
            <w:tcW w:w="4270" w:type="pct"/>
            <w:shd w:val="clear" w:color="auto" w:fill="auto"/>
          </w:tcPr>
          <w:p w14:paraId="3AC551F4" w14:textId="707B1F68" w:rsidR="0054175C" w:rsidRPr="00F866CD" w:rsidRDefault="00496E5A" w:rsidP="0054175C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 is the case for Indicator 24, t</w:t>
            </w:r>
            <w:r w:rsidRPr="00496E5A">
              <w:rPr>
                <w:rFonts w:ascii="Arial" w:hAnsi="Arial" w:cs="Arial"/>
                <w:szCs w:val="22"/>
              </w:rPr>
              <w:t xml:space="preserve">hose responsible for monitoring and reporting may wish to consult with the international cooperation office of the Ministry of Culture, which may maintain records of </w:t>
            </w:r>
            <w:r>
              <w:rPr>
                <w:rFonts w:ascii="Arial" w:hAnsi="Arial" w:cs="Arial"/>
                <w:szCs w:val="22"/>
              </w:rPr>
              <w:t xml:space="preserve">institutional </w:t>
            </w:r>
            <w:r w:rsidRPr="00496E5A">
              <w:rPr>
                <w:rFonts w:ascii="Arial" w:hAnsi="Arial" w:cs="Arial"/>
                <w:szCs w:val="22"/>
              </w:rPr>
              <w:t xml:space="preserve">cooperation with other States. </w:t>
            </w:r>
            <w:r>
              <w:rPr>
                <w:rFonts w:ascii="Arial" w:hAnsi="Arial" w:cs="Arial"/>
                <w:szCs w:val="22"/>
              </w:rPr>
              <w:t>The Ministry of Foreign Affairs may maintain an overview of the State</w:t>
            </w:r>
            <w:r w:rsidR="00CF2121">
              <w:rPr>
                <w:rFonts w:ascii="Arial" w:hAnsi="Arial" w:cs="Arial"/>
                <w:szCs w:val="22"/>
              </w:rPr>
              <w:t>’s</w:t>
            </w:r>
            <w:r>
              <w:rPr>
                <w:rFonts w:ascii="Arial" w:hAnsi="Arial" w:cs="Arial"/>
                <w:szCs w:val="22"/>
              </w:rPr>
              <w:t xml:space="preserve"> involvement with international and regional bodies, many of which are increasingly active in the field of ICH and its safeguarding. </w:t>
            </w:r>
            <w:r w:rsidRPr="00496E5A">
              <w:rPr>
                <w:rFonts w:ascii="Arial" w:hAnsi="Arial" w:cs="Arial"/>
                <w:szCs w:val="22"/>
              </w:rPr>
              <w:t xml:space="preserve">If the State has a consultative body or coordination mechanism, its members should also be consulted concerning </w:t>
            </w:r>
            <w:r w:rsidR="00A163A9">
              <w:rPr>
                <w:rFonts w:ascii="Arial" w:hAnsi="Arial" w:cs="Arial"/>
                <w:szCs w:val="22"/>
              </w:rPr>
              <w:t>institutional</w:t>
            </w:r>
            <w:r w:rsidRPr="00496E5A">
              <w:rPr>
                <w:rFonts w:ascii="Arial" w:hAnsi="Arial" w:cs="Arial"/>
                <w:szCs w:val="22"/>
              </w:rPr>
              <w:t xml:space="preserve"> cooperation in which they might be involved.</w:t>
            </w:r>
          </w:p>
          <w:p w14:paraId="3EE5E32B" w14:textId="77777777" w:rsidR="0054175C" w:rsidRPr="00F866CD" w:rsidRDefault="00BE5B3F" w:rsidP="00704766">
            <w:pPr>
              <w:keepNext/>
              <w:spacing w:before="12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F866CD">
              <w:rPr>
                <w:rFonts w:ascii="Arial" w:hAnsi="Arial" w:cs="Arial"/>
                <w:b/>
                <w:szCs w:val="22"/>
              </w:rPr>
              <w:t>P</w:t>
            </w:r>
            <w:r w:rsidR="0054175C" w:rsidRPr="00F866CD">
              <w:rPr>
                <w:rFonts w:ascii="Arial" w:hAnsi="Arial" w:cs="Arial"/>
                <w:b/>
                <w:szCs w:val="22"/>
              </w:rPr>
              <w:t>ossible data sources</w:t>
            </w:r>
          </w:p>
          <w:p w14:paraId="1448C72F" w14:textId="77777777" w:rsidR="00CF2121" w:rsidRDefault="00CF2121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Reports and records of an international cooperation office of the Ministry of Culture </w:t>
            </w:r>
            <w:r>
              <w:rPr>
                <w:rFonts w:ascii="Arial" w:hAnsi="Arial" w:cs="Arial"/>
              </w:rPr>
              <w:t>and other line ministries, including the Ministry of Foreign Affairs</w:t>
            </w:r>
          </w:p>
          <w:p w14:paraId="470E1264" w14:textId="77777777" w:rsidR="0054175C" w:rsidRDefault="00A163A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Newsletters and websites of relevant category 2 centres</w:t>
            </w:r>
          </w:p>
          <w:p w14:paraId="01E468A3" w14:textId="497B0B09" w:rsidR="00A163A9" w:rsidRDefault="00A163A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Newsletters and websites of </w:t>
            </w:r>
            <w:r w:rsidR="00FE5D3E">
              <w:rPr>
                <w:rFonts w:asciiTheme="minorBidi" w:hAnsiTheme="minorBidi" w:cstheme="minorBidi"/>
                <w:lang w:val="en-GB"/>
              </w:rPr>
              <w:t>non-governmental organizations</w:t>
            </w:r>
            <w:r>
              <w:rPr>
                <w:rFonts w:ascii="Arial" w:hAnsi="Arial" w:cs="Arial"/>
                <w:lang w:val="en-GB"/>
              </w:rPr>
              <w:t>, centres of expertise and research institutes</w:t>
            </w:r>
          </w:p>
          <w:p w14:paraId="328EF4AE" w14:textId="77777777" w:rsidR="00A163A9" w:rsidRPr="00F866CD" w:rsidRDefault="00A163A9" w:rsidP="00BE5B3F">
            <w:pPr>
              <w:pStyle w:val="ListParagraph"/>
              <w:numPr>
                <w:ilvl w:val="0"/>
                <w:numId w:val="73"/>
              </w:numPr>
              <w:spacing w:before="120"/>
              <w:jc w:val="both"/>
              <w:rPr>
                <w:rFonts w:ascii="Arial" w:hAnsi="Arial" w:cs="Arial"/>
                <w:lang w:val="en-GB"/>
              </w:rPr>
            </w:pPr>
            <w:r w:rsidRPr="00A163A9">
              <w:rPr>
                <w:rFonts w:ascii="Arial" w:hAnsi="Arial" w:cs="Arial"/>
                <w:lang w:val="en-GB"/>
              </w:rPr>
              <w:t xml:space="preserve">Official </w:t>
            </w:r>
            <w:r w:rsidR="00A50FD7">
              <w:rPr>
                <w:rFonts w:ascii="Arial" w:hAnsi="Arial" w:cs="Arial"/>
                <w:lang w:val="en-GB"/>
              </w:rPr>
              <w:t>gazettes/</w:t>
            </w:r>
            <w:r w:rsidRPr="00A163A9">
              <w:rPr>
                <w:rFonts w:ascii="Arial" w:hAnsi="Arial" w:cs="Arial"/>
                <w:lang w:val="en-GB"/>
              </w:rPr>
              <w:t>journals or compendia of</w:t>
            </w:r>
            <w:r>
              <w:rPr>
                <w:rFonts w:ascii="Arial" w:hAnsi="Arial" w:cs="Arial"/>
                <w:lang w:val="en-GB"/>
              </w:rPr>
              <w:t xml:space="preserve"> treaties and international agreements to which the State is party</w:t>
            </w:r>
          </w:p>
        </w:tc>
      </w:tr>
    </w:tbl>
    <w:p w14:paraId="6C475C25" w14:textId="77777777" w:rsidR="00320242" w:rsidRPr="00F866CD" w:rsidRDefault="00320242" w:rsidP="00A5709F">
      <w:pPr>
        <w:rPr>
          <w:rFonts w:ascii="Arial" w:hAnsi="Arial" w:cs="Arial"/>
        </w:rPr>
      </w:pPr>
      <w:bookmarkStart w:id="0" w:name="_GoBack"/>
      <w:bookmarkEnd w:id="0"/>
    </w:p>
    <w:sectPr w:rsidR="00320242" w:rsidRPr="00F866CD" w:rsidSect="0054175C">
      <w:type w:val="continuous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72B0" w14:textId="77777777" w:rsidR="00F33713" w:rsidRDefault="00F33713" w:rsidP="002938F2">
      <w:r>
        <w:separator/>
      </w:r>
    </w:p>
    <w:p w14:paraId="02768BBB" w14:textId="77777777" w:rsidR="00F33713" w:rsidRDefault="00F33713"/>
  </w:endnote>
  <w:endnote w:type="continuationSeparator" w:id="0">
    <w:p w14:paraId="2A134839" w14:textId="77777777" w:rsidR="00F33713" w:rsidRDefault="00F33713" w:rsidP="002938F2">
      <w:r>
        <w:continuationSeparator/>
      </w:r>
    </w:p>
    <w:p w14:paraId="40C66C67" w14:textId="77777777" w:rsidR="00F33713" w:rsidRDefault="00F33713"/>
  </w:endnote>
  <w:endnote w:type="continuationNotice" w:id="1">
    <w:p w14:paraId="13F0CFB4" w14:textId="77777777" w:rsidR="00F33713" w:rsidRDefault="00F337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D124" w14:textId="32F3BDD4" w:rsidR="00C04344" w:rsidRPr="000A0709" w:rsidRDefault="00FC358A" w:rsidP="000A0709">
    <w:pPr>
      <w:pStyle w:val="Footer"/>
      <w:jc w:val="center"/>
      <w:rPr>
        <w:rFonts w:ascii="Arial" w:hAnsi="Arial"/>
      </w:rPr>
    </w:pPr>
    <w:r w:rsidRPr="000F25BA">
      <w:rPr>
        <w:rFonts w:ascii="Arial" w:hAnsi="Arial" w:cs="Arial"/>
      </w:rPr>
      <w:fldChar w:fldCharType="begin"/>
    </w:r>
    <w:r w:rsidR="000F25BA" w:rsidRPr="000F25BA">
      <w:rPr>
        <w:rFonts w:ascii="Arial" w:hAnsi="Arial" w:cs="Arial"/>
      </w:rPr>
      <w:instrText xml:space="preserve"> PAGE   \* MERGEFORMAT </w:instrText>
    </w:r>
    <w:r w:rsidRPr="000F25BA">
      <w:rPr>
        <w:rFonts w:ascii="Arial" w:hAnsi="Arial" w:cs="Arial"/>
      </w:rPr>
      <w:fldChar w:fldCharType="separate"/>
    </w:r>
    <w:r w:rsidR="000C4D78">
      <w:rPr>
        <w:rFonts w:ascii="Arial" w:hAnsi="Arial" w:cs="Arial"/>
        <w:noProof/>
      </w:rPr>
      <w:t>1</w:t>
    </w:r>
    <w:r w:rsidRPr="000F25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D2A5" w14:textId="77777777" w:rsidR="00F33713" w:rsidRDefault="00F33713" w:rsidP="002938F2">
      <w:r>
        <w:separator/>
      </w:r>
    </w:p>
  </w:footnote>
  <w:footnote w:type="continuationSeparator" w:id="0">
    <w:p w14:paraId="238E8752" w14:textId="77777777" w:rsidR="00F33713" w:rsidRDefault="00F33713" w:rsidP="002938F2">
      <w:r>
        <w:continuationSeparator/>
      </w:r>
    </w:p>
    <w:p w14:paraId="2DEA0EDC" w14:textId="77777777" w:rsidR="00F33713" w:rsidRDefault="00F33713"/>
  </w:footnote>
  <w:footnote w:type="continuationNotice" w:id="1">
    <w:p w14:paraId="119FA4A5" w14:textId="77777777" w:rsidR="00F33713" w:rsidRDefault="00F337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138E" w14:textId="77777777" w:rsidR="001004A1" w:rsidRDefault="0010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3D0554B"/>
    <w:multiLevelType w:val="multilevel"/>
    <w:tmpl w:val="EBF25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6" w15:restartNumberingAfterBreak="0">
    <w:nsid w:val="14791B11"/>
    <w:multiLevelType w:val="hybridMultilevel"/>
    <w:tmpl w:val="354AE31A"/>
    <w:lvl w:ilvl="0" w:tplc="FC362C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Unicode M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A14F7"/>
    <w:multiLevelType w:val="hybridMultilevel"/>
    <w:tmpl w:val="C212CBF0"/>
    <w:lvl w:ilvl="0" w:tplc="668A1C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14521"/>
    <w:multiLevelType w:val="multilevel"/>
    <w:tmpl w:val="8A92A258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0" w15:restartNumberingAfterBreak="0">
    <w:nsid w:val="17E865AC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11C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5155C1"/>
    <w:multiLevelType w:val="multilevel"/>
    <w:tmpl w:val="1454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4" w15:restartNumberingAfterBreak="0">
    <w:nsid w:val="1D5A2EAD"/>
    <w:multiLevelType w:val="multilevel"/>
    <w:tmpl w:val="6C06B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9526D2C"/>
    <w:multiLevelType w:val="multilevel"/>
    <w:tmpl w:val="F098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380631B"/>
    <w:multiLevelType w:val="hybridMultilevel"/>
    <w:tmpl w:val="7D4EB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3" w15:restartNumberingAfterBreak="0">
    <w:nsid w:val="42573C49"/>
    <w:multiLevelType w:val="hybridMultilevel"/>
    <w:tmpl w:val="1E2A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5" w15:restartNumberingAfterBreak="0">
    <w:nsid w:val="461F5C72"/>
    <w:multiLevelType w:val="multilevel"/>
    <w:tmpl w:val="925091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9545EAC"/>
    <w:multiLevelType w:val="multilevel"/>
    <w:tmpl w:val="924049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7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9" w15:restartNumberingAfterBreak="0">
    <w:nsid w:val="595D0D35"/>
    <w:multiLevelType w:val="hybridMultilevel"/>
    <w:tmpl w:val="D39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C1F5D61"/>
    <w:multiLevelType w:val="multilevel"/>
    <w:tmpl w:val="51FEE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415796"/>
    <w:multiLevelType w:val="multilevel"/>
    <w:tmpl w:val="9D3EE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51BC5"/>
    <w:multiLevelType w:val="hybridMultilevel"/>
    <w:tmpl w:val="27A0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14153"/>
    <w:multiLevelType w:val="hybridMultilevel"/>
    <w:tmpl w:val="8EB0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031E"/>
    <w:multiLevelType w:val="multilevel"/>
    <w:tmpl w:val="A6C0A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C94CCC"/>
    <w:multiLevelType w:val="multilevel"/>
    <w:tmpl w:val="06AE9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53" w15:restartNumberingAfterBreak="0">
    <w:nsid w:val="75C4390A"/>
    <w:multiLevelType w:val="hybridMultilevel"/>
    <w:tmpl w:val="D9B822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7558E"/>
    <w:multiLevelType w:val="multilevel"/>
    <w:tmpl w:val="84B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67C2A"/>
    <w:multiLevelType w:val="multilevel"/>
    <w:tmpl w:val="A5D6A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3"/>
  </w:num>
  <w:num w:numId="2">
    <w:abstractNumId w:val="26"/>
  </w:num>
  <w:num w:numId="3">
    <w:abstractNumId w:val="12"/>
  </w:num>
  <w:num w:numId="4">
    <w:abstractNumId w:val="55"/>
  </w:num>
  <w:num w:numId="5">
    <w:abstractNumId w:val="46"/>
  </w:num>
  <w:num w:numId="6">
    <w:abstractNumId w:val="4"/>
  </w:num>
  <w:num w:numId="7">
    <w:abstractNumId w:val="16"/>
  </w:num>
  <w:num w:numId="8">
    <w:abstractNumId w:val="25"/>
  </w:num>
  <w:num w:numId="9">
    <w:abstractNumId w:val="49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3"/>
  </w:num>
  <w:num w:numId="17">
    <w:abstractNumId w:val="39"/>
  </w:num>
  <w:num w:numId="18">
    <w:abstractNumId w:val="25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53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11"/>
  </w:num>
  <w:num w:numId="32">
    <w:abstractNumId w:val="8"/>
  </w:num>
  <w:num w:numId="33">
    <w:abstractNumId w:val="17"/>
  </w:num>
  <w:num w:numId="34">
    <w:abstractNumId w:val="47"/>
  </w:num>
  <w:num w:numId="35">
    <w:abstractNumId w:val="21"/>
  </w:num>
  <w:num w:numId="36">
    <w:abstractNumId w:val="41"/>
  </w:num>
  <w:num w:numId="37">
    <w:abstractNumId w:val="18"/>
  </w:num>
  <w:num w:numId="38">
    <w:abstractNumId w:val="10"/>
  </w:num>
  <w:num w:numId="39">
    <w:abstractNumId w:val="6"/>
  </w:num>
  <w:num w:numId="40">
    <w:abstractNumId w:val="20"/>
  </w:num>
  <w:num w:numId="41">
    <w:abstractNumId w:val="54"/>
  </w:num>
  <w:num w:numId="42">
    <w:abstractNumId w:val="51"/>
  </w:num>
  <w:num w:numId="43">
    <w:abstractNumId w:val="29"/>
  </w:num>
  <w:num w:numId="44">
    <w:abstractNumId w:val="13"/>
  </w:num>
  <w:num w:numId="45">
    <w:abstractNumId w:val="52"/>
  </w:num>
  <w:num w:numId="46">
    <w:abstractNumId w:val="5"/>
  </w:num>
  <w:num w:numId="47">
    <w:abstractNumId w:val="36"/>
  </w:num>
  <w:num w:numId="48">
    <w:abstractNumId w:val="56"/>
  </w:num>
  <w:num w:numId="49">
    <w:abstractNumId w:val="32"/>
  </w:num>
  <w:num w:numId="50">
    <w:abstractNumId w:val="30"/>
  </w:num>
  <w:num w:numId="51">
    <w:abstractNumId w:val="27"/>
  </w:num>
  <w:num w:numId="52">
    <w:abstractNumId w:val="38"/>
  </w:num>
  <w:num w:numId="53">
    <w:abstractNumId w:val="15"/>
  </w:num>
  <w:num w:numId="54">
    <w:abstractNumId w:val="1"/>
  </w:num>
  <w:num w:numId="55">
    <w:abstractNumId w:val="34"/>
  </w:num>
  <w:num w:numId="56">
    <w:abstractNumId w:val="40"/>
  </w:num>
  <w:num w:numId="57">
    <w:abstractNumId w:val="0"/>
  </w:num>
  <w:num w:numId="58">
    <w:abstractNumId w:val="3"/>
  </w:num>
  <w:num w:numId="59">
    <w:abstractNumId w:val="44"/>
  </w:num>
  <w:num w:numId="60">
    <w:abstractNumId w:val="2"/>
  </w:num>
  <w:num w:numId="61">
    <w:abstractNumId w:val="31"/>
  </w:num>
  <w:num w:numId="62">
    <w:abstractNumId w:val="22"/>
  </w:num>
  <w:num w:numId="63">
    <w:abstractNumId w:val="48"/>
  </w:num>
  <w:num w:numId="64">
    <w:abstractNumId w:val="19"/>
  </w:num>
  <w:num w:numId="65">
    <w:abstractNumId w:val="24"/>
  </w:num>
  <w:num w:numId="66">
    <w:abstractNumId w:val="45"/>
  </w:num>
  <w:num w:numId="67">
    <w:abstractNumId w:val="37"/>
  </w:num>
  <w:num w:numId="68">
    <w:abstractNumId w:val="14"/>
  </w:num>
  <w:num w:numId="69">
    <w:abstractNumId w:val="42"/>
  </w:num>
  <w:num w:numId="70">
    <w:abstractNumId w:val="33"/>
  </w:num>
  <w:num w:numId="71">
    <w:abstractNumId w:val="28"/>
  </w:num>
  <w:num w:numId="72">
    <w:abstractNumId w:val="50"/>
  </w:num>
  <w:num w:numId="73">
    <w:abstractNumId w:val="7"/>
  </w:num>
  <w:num w:numId="74">
    <w:abstractNumId w:val="35"/>
  </w:num>
  <w:num w:numId="75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F1"/>
    <w:rsid w:val="000016A4"/>
    <w:rsid w:val="000019DB"/>
    <w:rsid w:val="000047CC"/>
    <w:rsid w:val="00005BA5"/>
    <w:rsid w:val="00005BFA"/>
    <w:rsid w:val="00006F66"/>
    <w:rsid w:val="00010E2D"/>
    <w:rsid w:val="000120FD"/>
    <w:rsid w:val="00013A65"/>
    <w:rsid w:val="0001506E"/>
    <w:rsid w:val="00015B9D"/>
    <w:rsid w:val="0001601A"/>
    <w:rsid w:val="00021831"/>
    <w:rsid w:val="00022C19"/>
    <w:rsid w:val="00031A37"/>
    <w:rsid w:val="00036843"/>
    <w:rsid w:val="00047E58"/>
    <w:rsid w:val="00054FDC"/>
    <w:rsid w:val="000632E2"/>
    <w:rsid w:val="0007203D"/>
    <w:rsid w:val="000729D2"/>
    <w:rsid w:val="00073D20"/>
    <w:rsid w:val="00074E7D"/>
    <w:rsid w:val="000755E1"/>
    <w:rsid w:val="0007681B"/>
    <w:rsid w:val="000769F1"/>
    <w:rsid w:val="00083694"/>
    <w:rsid w:val="00085541"/>
    <w:rsid w:val="00092AE6"/>
    <w:rsid w:val="00093063"/>
    <w:rsid w:val="000A0709"/>
    <w:rsid w:val="000A0F0D"/>
    <w:rsid w:val="000A112A"/>
    <w:rsid w:val="000A21DA"/>
    <w:rsid w:val="000A34CE"/>
    <w:rsid w:val="000C03BF"/>
    <w:rsid w:val="000C15BD"/>
    <w:rsid w:val="000C35D4"/>
    <w:rsid w:val="000C4D78"/>
    <w:rsid w:val="000C65E4"/>
    <w:rsid w:val="000C7EE0"/>
    <w:rsid w:val="000D1EBC"/>
    <w:rsid w:val="000D260B"/>
    <w:rsid w:val="000D345F"/>
    <w:rsid w:val="000D7375"/>
    <w:rsid w:val="000E2EE7"/>
    <w:rsid w:val="000F25BA"/>
    <w:rsid w:val="000F2B3F"/>
    <w:rsid w:val="000F7E6F"/>
    <w:rsid w:val="001004A1"/>
    <w:rsid w:val="00106B72"/>
    <w:rsid w:val="00106D19"/>
    <w:rsid w:val="0011334A"/>
    <w:rsid w:val="00115830"/>
    <w:rsid w:val="00116489"/>
    <w:rsid w:val="0011750D"/>
    <w:rsid w:val="00121B41"/>
    <w:rsid w:val="001301DF"/>
    <w:rsid w:val="001412DE"/>
    <w:rsid w:val="00142D78"/>
    <w:rsid w:val="00144A4D"/>
    <w:rsid w:val="00151351"/>
    <w:rsid w:val="00156788"/>
    <w:rsid w:val="001609A1"/>
    <w:rsid w:val="00162554"/>
    <w:rsid w:val="00163F68"/>
    <w:rsid w:val="00173B50"/>
    <w:rsid w:val="00173E0E"/>
    <w:rsid w:val="0017408E"/>
    <w:rsid w:val="00174B39"/>
    <w:rsid w:val="00183F6C"/>
    <w:rsid w:val="00194802"/>
    <w:rsid w:val="00194AEB"/>
    <w:rsid w:val="001A431C"/>
    <w:rsid w:val="001A5519"/>
    <w:rsid w:val="001A7C3A"/>
    <w:rsid w:val="001B5C26"/>
    <w:rsid w:val="001C08BC"/>
    <w:rsid w:val="001C56BA"/>
    <w:rsid w:val="001C6D7D"/>
    <w:rsid w:val="001D00B5"/>
    <w:rsid w:val="001D3B29"/>
    <w:rsid w:val="001D59C8"/>
    <w:rsid w:val="001E4EEB"/>
    <w:rsid w:val="001E6026"/>
    <w:rsid w:val="001F3696"/>
    <w:rsid w:val="001F37CA"/>
    <w:rsid w:val="0020163D"/>
    <w:rsid w:val="00203AD7"/>
    <w:rsid w:val="002042CC"/>
    <w:rsid w:val="00204B37"/>
    <w:rsid w:val="002074D6"/>
    <w:rsid w:val="00210CBC"/>
    <w:rsid w:val="002119C5"/>
    <w:rsid w:val="00222AF2"/>
    <w:rsid w:val="00223C3B"/>
    <w:rsid w:val="00224346"/>
    <w:rsid w:val="0022597C"/>
    <w:rsid w:val="00226582"/>
    <w:rsid w:val="00230F77"/>
    <w:rsid w:val="00232E4E"/>
    <w:rsid w:val="00234AE4"/>
    <w:rsid w:val="00237935"/>
    <w:rsid w:val="00237E43"/>
    <w:rsid w:val="00245E26"/>
    <w:rsid w:val="002539EA"/>
    <w:rsid w:val="002542FD"/>
    <w:rsid w:val="00254B4E"/>
    <w:rsid w:val="00254CA1"/>
    <w:rsid w:val="0026007A"/>
    <w:rsid w:val="002638C0"/>
    <w:rsid w:val="00265E42"/>
    <w:rsid w:val="00266B45"/>
    <w:rsid w:val="0027198B"/>
    <w:rsid w:val="00273658"/>
    <w:rsid w:val="00281AA4"/>
    <w:rsid w:val="00282A9D"/>
    <w:rsid w:val="00286C0C"/>
    <w:rsid w:val="00287687"/>
    <w:rsid w:val="00290D5F"/>
    <w:rsid w:val="002938F2"/>
    <w:rsid w:val="00293CCC"/>
    <w:rsid w:val="002A195D"/>
    <w:rsid w:val="002B43D6"/>
    <w:rsid w:val="002B6B98"/>
    <w:rsid w:val="002C28BA"/>
    <w:rsid w:val="002C3B8F"/>
    <w:rsid w:val="002C444C"/>
    <w:rsid w:val="002C5021"/>
    <w:rsid w:val="002C5280"/>
    <w:rsid w:val="002C5C29"/>
    <w:rsid w:val="002D396D"/>
    <w:rsid w:val="002D71D4"/>
    <w:rsid w:val="002E113D"/>
    <w:rsid w:val="002F17E1"/>
    <w:rsid w:val="003043A9"/>
    <w:rsid w:val="0030454E"/>
    <w:rsid w:val="00320242"/>
    <w:rsid w:val="00322A3A"/>
    <w:rsid w:val="00324A32"/>
    <w:rsid w:val="00325D6E"/>
    <w:rsid w:val="00334977"/>
    <w:rsid w:val="00337194"/>
    <w:rsid w:val="00342EE8"/>
    <w:rsid w:val="00344D78"/>
    <w:rsid w:val="00346517"/>
    <w:rsid w:val="00351CCB"/>
    <w:rsid w:val="0035648A"/>
    <w:rsid w:val="00362B41"/>
    <w:rsid w:val="00363995"/>
    <w:rsid w:val="00364E5E"/>
    <w:rsid w:val="00370E9B"/>
    <w:rsid w:val="00377E4B"/>
    <w:rsid w:val="00383BA9"/>
    <w:rsid w:val="003845B0"/>
    <w:rsid w:val="00385B34"/>
    <w:rsid w:val="00386C08"/>
    <w:rsid w:val="00387D88"/>
    <w:rsid w:val="0039446E"/>
    <w:rsid w:val="003A260A"/>
    <w:rsid w:val="003A2BC4"/>
    <w:rsid w:val="003B31BE"/>
    <w:rsid w:val="003B504D"/>
    <w:rsid w:val="003C7065"/>
    <w:rsid w:val="003D2E0D"/>
    <w:rsid w:val="003D5113"/>
    <w:rsid w:val="003D5BFC"/>
    <w:rsid w:val="003D6E10"/>
    <w:rsid w:val="003E09A1"/>
    <w:rsid w:val="003E0C0F"/>
    <w:rsid w:val="003E0E28"/>
    <w:rsid w:val="003E19D5"/>
    <w:rsid w:val="003E76A8"/>
    <w:rsid w:val="003F5B90"/>
    <w:rsid w:val="00404856"/>
    <w:rsid w:val="00406ED7"/>
    <w:rsid w:val="004108B6"/>
    <w:rsid w:val="0041110F"/>
    <w:rsid w:val="0041300C"/>
    <w:rsid w:val="00414B68"/>
    <w:rsid w:val="00430ED2"/>
    <w:rsid w:val="00434773"/>
    <w:rsid w:val="004367F5"/>
    <w:rsid w:val="004458C9"/>
    <w:rsid w:val="00447C66"/>
    <w:rsid w:val="00462F38"/>
    <w:rsid w:val="00471B34"/>
    <w:rsid w:val="00474AFE"/>
    <w:rsid w:val="00477E66"/>
    <w:rsid w:val="00480809"/>
    <w:rsid w:val="004831C7"/>
    <w:rsid w:val="00486A5E"/>
    <w:rsid w:val="00493F92"/>
    <w:rsid w:val="00496E5A"/>
    <w:rsid w:val="004A0C2B"/>
    <w:rsid w:val="004A610E"/>
    <w:rsid w:val="004B06CD"/>
    <w:rsid w:val="004C20E2"/>
    <w:rsid w:val="004E056C"/>
    <w:rsid w:val="004E2817"/>
    <w:rsid w:val="004E2AE8"/>
    <w:rsid w:val="004E418A"/>
    <w:rsid w:val="004E4CCA"/>
    <w:rsid w:val="005016FB"/>
    <w:rsid w:val="00504256"/>
    <w:rsid w:val="00511D17"/>
    <w:rsid w:val="005157E2"/>
    <w:rsid w:val="0051699F"/>
    <w:rsid w:val="00516DE3"/>
    <w:rsid w:val="005300BF"/>
    <w:rsid w:val="00532631"/>
    <w:rsid w:val="005414A1"/>
    <w:rsid w:val="0054175C"/>
    <w:rsid w:val="005473CF"/>
    <w:rsid w:val="00570355"/>
    <w:rsid w:val="00574530"/>
    <w:rsid w:val="00581423"/>
    <w:rsid w:val="00582F4C"/>
    <w:rsid w:val="0058407A"/>
    <w:rsid w:val="00594539"/>
    <w:rsid w:val="005A1BCE"/>
    <w:rsid w:val="005A65BD"/>
    <w:rsid w:val="005A7D00"/>
    <w:rsid w:val="005B0FE5"/>
    <w:rsid w:val="005B357C"/>
    <w:rsid w:val="005B4A0B"/>
    <w:rsid w:val="005B53C6"/>
    <w:rsid w:val="005C0015"/>
    <w:rsid w:val="005C0052"/>
    <w:rsid w:val="005C05F4"/>
    <w:rsid w:val="005C0660"/>
    <w:rsid w:val="005C44A6"/>
    <w:rsid w:val="005C7D6A"/>
    <w:rsid w:val="005D2DDA"/>
    <w:rsid w:val="005E3A3E"/>
    <w:rsid w:val="005E6A2B"/>
    <w:rsid w:val="005E7C7C"/>
    <w:rsid w:val="00601DD6"/>
    <w:rsid w:val="006032AE"/>
    <w:rsid w:val="00603F71"/>
    <w:rsid w:val="00605202"/>
    <w:rsid w:val="00621092"/>
    <w:rsid w:val="00621208"/>
    <w:rsid w:val="00632B30"/>
    <w:rsid w:val="006340A1"/>
    <w:rsid w:val="00636760"/>
    <w:rsid w:val="00644B92"/>
    <w:rsid w:val="00645B77"/>
    <w:rsid w:val="0065099D"/>
    <w:rsid w:val="006515C9"/>
    <w:rsid w:val="00651944"/>
    <w:rsid w:val="00652318"/>
    <w:rsid w:val="00652484"/>
    <w:rsid w:val="00653314"/>
    <w:rsid w:val="0067005F"/>
    <w:rsid w:val="0067015A"/>
    <w:rsid w:val="00670B66"/>
    <w:rsid w:val="006736EC"/>
    <w:rsid w:val="00673D90"/>
    <w:rsid w:val="00676C1E"/>
    <w:rsid w:val="00686D60"/>
    <w:rsid w:val="00691869"/>
    <w:rsid w:val="006A0D86"/>
    <w:rsid w:val="006A49AE"/>
    <w:rsid w:val="006A56C0"/>
    <w:rsid w:val="006C0911"/>
    <w:rsid w:val="006C737A"/>
    <w:rsid w:val="006D46FB"/>
    <w:rsid w:val="006E29C0"/>
    <w:rsid w:val="006E752A"/>
    <w:rsid w:val="006E7CF0"/>
    <w:rsid w:val="006F3E83"/>
    <w:rsid w:val="006F4B83"/>
    <w:rsid w:val="006F7F47"/>
    <w:rsid w:val="00701458"/>
    <w:rsid w:val="00701D7E"/>
    <w:rsid w:val="00704766"/>
    <w:rsid w:val="007119B8"/>
    <w:rsid w:val="0072415E"/>
    <w:rsid w:val="007247D7"/>
    <w:rsid w:val="007250E3"/>
    <w:rsid w:val="007277C8"/>
    <w:rsid w:val="00732057"/>
    <w:rsid w:val="007368A2"/>
    <w:rsid w:val="007418AE"/>
    <w:rsid w:val="00742DD1"/>
    <w:rsid w:val="0074360F"/>
    <w:rsid w:val="00744C5C"/>
    <w:rsid w:val="00746204"/>
    <w:rsid w:val="00747715"/>
    <w:rsid w:val="00747F86"/>
    <w:rsid w:val="00750138"/>
    <w:rsid w:val="00753DA3"/>
    <w:rsid w:val="007610D3"/>
    <w:rsid w:val="007629DB"/>
    <w:rsid w:val="00764F50"/>
    <w:rsid w:val="00766CC5"/>
    <w:rsid w:val="00767871"/>
    <w:rsid w:val="00770A92"/>
    <w:rsid w:val="00774D9C"/>
    <w:rsid w:val="00776A63"/>
    <w:rsid w:val="00790C65"/>
    <w:rsid w:val="0079316B"/>
    <w:rsid w:val="007A0565"/>
    <w:rsid w:val="007A0EAA"/>
    <w:rsid w:val="007A1247"/>
    <w:rsid w:val="007A1E0A"/>
    <w:rsid w:val="007A6F91"/>
    <w:rsid w:val="007A7D45"/>
    <w:rsid w:val="007B4ADA"/>
    <w:rsid w:val="007C105C"/>
    <w:rsid w:val="007C1B00"/>
    <w:rsid w:val="007D0F1D"/>
    <w:rsid w:val="007D2881"/>
    <w:rsid w:val="007D31CE"/>
    <w:rsid w:val="007D3AD8"/>
    <w:rsid w:val="007D5BB7"/>
    <w:rsid w:val="007D6A69"/>
    <w:rsid w:val="007E0621"/>
    <w:rsid w:val="007E4E37"/>
    <w:rsid w:val="007F4B07"/>
    <w:rsid w:val="008029A6"/>
    <w:rsid w:val="008147BA"/>
    <w:rsid w:val="008269B0"/>
    <w:rsid w:val="0083067E"/>
    <w:rsid w:val="00832357"/>
    <w:rsid w:val="0083488D"/>
    <w:rsid w:val="008466C3"/>
    <w:rsid w:val="00846809"/>
    <w:rsid w:val="00851458"/>
    <w:rsid w:val="008605E9"/>
    <w:rsid w:val="00861A47"/>
    <w:rsid w:val="008707FF"/>
    <w:rsid w:val="008724E5"/>
    <w:rsid w:val="00877AC5"/>
    <w:rsid w:val="00877F27"/>
    <w:rsid w:val="0088173A"/>
    <w:rsid w:val="00881EB9"/>
    <w:rsid w:val="008848E9"/>
    <w:rsid w:val="00884C09"/>
    <w:rsid w:val="00885596"/>
    <w:rsid w:val="00885B33"/>
    <w:rsid w:val="00886B71"/>
    <w:rsid w:val="0089499E"/>
    <w:rsid w:val="00896177"/>
    <w:rsid w:val="008A0BE3"/>
    <w:rsid w:val="008A2566"/>
    <w:rsid w:val="008A6663"/>
    <w:rsid w:val="008B6B4C"/>
    <w:rsid w:val="008B7346"/>
    <w:rsid w:val="008C7F60"/>
    <w:rsid w:val="008D3BF7"/>
    <w:rsid w:val="008E0DAA"/>
    <w:rsid w:val="008E194D"/>
    <w:rsid w:val="008F16C6"/>
    <w:rsid w:val="008F2A76"/>
    <w:rsid w:val="008F34A1"/>
    <w:rsid w:val="008F4F13"/>
    <w:rsid w:val="008F5052"/>
    <w:rsid w:val="008F5193"/>
    <w:rsid w:val="0090187D"/>
    <w:rsid w:val="00903C3D"/>
    <w:rsid w:val="0090710F"/>
    <w:rsid w:val="00910B12"/>
    <w:rsid w:val="00911179"/>
    <w:rsid w:val="009121CE"/>
    <w:rsid w:val="009127D8"/>
    <w:rsid w:val="00916F7B"/>
    <w:rsid w:val="00917A4D"/>
    <w:rsid w:val="00921F65"/>
    <w:rsid w:val="0092574C"/>
    <w:rsid w:val="009324F1"/>
    <w:rsid w:val="009342E8"/>
    <w:rsid w:val="009357B4"/>
    <w:rsid w:val="00946D71"/>
    <w:rsid w:val="00954CCA"/>
    <w:rsid w:val="009577E1"/>
    <w:rsid w:val="00971CA1"/>
    <w:rsid w:val="0097349C"/>
    <w:rsid w:val="009814C2"/>
    <w:rsid w:val="00982FFD"/>
    <w:rsid w:val="00985265"/>
    <w:rsid w:val="00985856"/>
    <w:rsid w:val="009A4969"/>
    <w:rsid w:val="009B1466"/>
    <w:rsid w:val="009B6973"/>
    <w:rsid w:val="009C0510"/>
    <w:rsid w:val="009C3663"/>
    <w:rsid w:val="009D098F"/>
    <w:rsid w:val="009D4547"/>
    <w:rsid w:val="009D5A49"/>
    <w:rsid w:val="009D5E38"/>
    <w:rsid w:val="009D602F"/>
    <w:rsid w:val="009D68D0"/>
    <w:rsid w:val="009E17AF"/>
    <w:rsid w:val="009F0D42"/>
    <w:rsid w:val="009F1B82"/>
    <w:rsid w:val="009F34A4"/>
    <w:rsid w:val="009F3988"/>
    <w:rsid w:val="00A003D0"/>
    <w:rsid w:val="00A073FD"/>
    <w:rsid w:val="00A0785B"/>
    <w:rsid w:val="00A150C7"/>
    <w:rsid w:val="00A163A9"/>
    <w:rsid w:val="00A2307A"/>
    <w:rsid w:val="00A2780B"/>
    <w:rsid w:val="00A462C6"/>
    <w:rsid w:val="00A50FD7"/>
    <w:rsid w:val="00A519A2"/>
    <w:rsid w:val="00A51BDC"/>
    <w:rsid w:val="00A535B7"/>
    <w:rsid w:val="00A5709F"/>
    <w:rsid w:val="00A616C4"/>
    <w:rsid w:val="00A61F20"/>
    <w:rsid w:val="00A64796"/>
    <w:rsid w:val="00A65752"/>
    <w:rsid w:val="00A66CD4"/>
    <w:rsid w:val="00A70883"/>
    <w:rsid w:val="00A77AEB"/>
    <w:rsid w:val="00A81F0A"/>
    <w:rsid w:val="00A85C7A"/>
    <w:rsid w:val="00A86042"/>
    <w:rsid w:val="00AA36F9"/>
    <w:rsid w:val="00AA444A"/>
    <w:rsid w:val="00AB1528"/>
    <w:rsid w:val="00AD6BD4"/>
    <w:rsid w:val="00AE1B18"/>
    <w:rsid w:val="00AE1D83"/>
    <w:rsid w:val="00AE2DFB"/>
    <w:rsid w:val="00AE3061"/>
    <w:rsid w:val="00AF15BA"/>
    <w:rsid w:val="00AF1C32"/>
    <w:rsid w:val="00AF65C6"/>
    <w:rsid w:val="00B11AE3"/>
    <w:rsid w:val="00B121A6"/>
    <w:rsid w:val="00B300B8"/>
    <w:rsid w:val="00B32A28"/>
    <w:rsid w:val="00B33904"/>
    <w:rsid w:val="00B3751E"/>
    <w:rsid w:val="00B427FE"/>
    <w:rsid w:val="00B472C4"/>
    <w:rsid w:val="00B51737"/>
    <w:rsid w:val="00B551D9"/>
    <w:rsid w:val="00B6102A"/>
    <w:rsid w:val="00B6167A"/>
    <w:rsid w:val="00B62ED0"/>
    <w:rsid w:val="00B64196"/>
    <w:rsid w:val="00B66A7A"/>
    <w:rsid w:val="00B70266"/>
    <w:rsid w:val="00B74304"/>
    <w:rsid w:val="00B82F05"/>
    <w:rsid w:val="00B86882"/>
    <w:rsid w:val="00B87142"/>
    <w:rsid w:val="00B8750E"/>
    <w:rsid w:val="00B92374"/>
    <w:rsid w:val="00B924C8"/>
    <w:rsid w:val="00B95E33"/>
    <w:rsid w:val="00B973B5"/>
    <w:rsid w:val="00B97FD1"/>
    <w:rsid w:val="00BA6367"/>
    <w:rsid w:val="00BB1062"/>
    <w:rsid w:val="00BB28EF"/>
    <w:rsid w:val="00BB5DEE"/>
    <w:rsid w:val="00BC002E"/>
    <w:rsid w:val="00BC393F"/>
    <w:rsid w:val="00BC75FC"/>
    <w:rsid w:val="00BD59BD"/>
    <w:rsid w:val="00BE5B3F"/>
    <w:rsid w:val="00BF351F"/>
    <w:rsid w:val="00BF3F50"/>
    <w:rsid w:val="00BF6F37"/>
    <w:rsid w:val="00C02924"/>
    <w:rsid w:val="00C04344"/>
    <w:rsid w:val="00C17FE4"/>
    <w:rsid w:val="00C21897"/>
    <w:rsid w:val="00C276EE"/>
    <w:rsid w:val="00C43146"/>
    <w:rsid w:val="00C43757"/>
    <w:rsid w:val="00C43BCE"/>
    <w:rsid w:val="00C47CF1"/>
    <w:rsid w:val="00C52006"/>
    <w:rsid w:val="00C53AB4"/>
    <w:rsid w:val="00C542F1"/>
    <w:rsid w:val="00C572B3"/>
    <w:rsid w:val="00C57CA1"/>
    <w:rsid w:val="00C6300B"/>
    <w:rsid w:val="00C6426B"/>
    <w:rsid w:val="00C6478B"/>
    <w:rsid w:val="00C87194"/>
    <w:rsid w:val="00C90629"/>
    <w:rsid w:val="00C90C51"/>
    <w:rsid w:val="00CA3ED6"/>
    <w:rsid w:val="00CA5CED"/>
    <w:rsid w:val="00CA7CF4"/>
    <w:rsid w:val="00CB0F37"/>
    <w:rsid w:val="00CB1135"/>
    <w:rsid w:val="00CB590B"/>
    <w:rsid w:val="00CC02C5"/>
    <w:rsid w:val="00CC2BC6"/>
    <w:rsid w:val="00CC3AAB"/>
    <w:rsid w:val="00CD324E"/>
    <w:rsid w:val="00CD4A28"/>
    <w:rsid w:val="00CD54BD"/>
    <w:rsid w:val="00CD6C36"/>
    <w:rsid w:val="00CE2586"/>
    <w:rsid w:val="00CF05D7"/>
    <w:rsid w:val="00CF1CA3"/>
    <w:rsid w:val="00CF2121"/>
    <w:rsid w:val="00CF34A6"/>
    <w:rsid w:val="00CF3F93"/>
    <w:rsid w:val="00D020F3"/>
    <w:rsid w:val="00D04515"/>
    <w:rsid w:val="00D065AD"/>
    <w:rsid w:val="00D22831"/>
    <w:rsid w:val="00D404B7"/>
    <w:rsid w:val="00D44509"/>
    <w:rsid w:val="00D448CB"/>
    <w:rsid w:val="00D47226"/>
    <w:rsid w:val="00D47ED5"/>
    <w:rsid w:val="00D61779"/>
    <w:rsid w:val="00D73DB6"/>
    <w:rsid w:val="00D809E5"/>
    <w:rsid w:val="00D81948"/>
    <w:rsid w:val="00D90819"/>
    <w:rsid w:val="00D93291"/>
    <w:rsid w:val="00D9501F"/>
    <w:rsid w:val="00DB50D5"/>
    <w:rsid w:val="00DC5537"/>
    <w:rsid w:val="00DC6FFB"/>
    <w:rsid w:val="00DD11EE"/>
    <w:rsid w:val="00DD52A0"/>
    <w:rsid w:val="00DE5590"/>
    <w:rsid w:val="00DE6364"/>
    <w:rsid w:val="00DF1D9E"/>
    <w:rsid w:val="00DF3DA3"/>
    <w:rsid w:val="00DF5DA4"/>
    <w:rsid w:val="00E06492"/>
    <w:rsid w:val="00E065CE"/>
    <w:rsid w:val="00E06A00"/>
    <w:rsid w:val="00E13E03"/>
    <w:rsid w:val="00E22B99"/>
    <w:rsid w:val="00E24A9D"/>
    <w:rsid w:val="00E258D9"/>
    <w:rsid w:val="00E35B8C"/>
    <w:rsid w:val="00E439CA"/>
    <w:rsid w:val="00E46DDB"/>
    <w:rsid w:val="00E473F3"/>
    <w:rsid w:val="00E5219B"/>
    <w:rsid w:val="00E52AF1"/>
    <w:rsid w:val="00E56905"/>
    <w:rsid w:val="00E64BE4"/>
    <w:rsid w:val="00E85565"/>
    <w:rsid w:val="00E87F91"/>
    <w:rsid w:val="00E94BC6"/>
    <w:rsid w:val="00EA0563"/>
    <w:rsid w:val="00EA198F"/>
    <w:rsid w:val="00EA2EA1"/>
    <w:rsid w:val="00EA3CB9"/>
    <w:rsid w:val="00EA59EB"/>
    <w:rsid w:val="00EA67F3"/>
    <w:rsid w:val="00EB48F8"/>
    <w:rsid w:val="00ED0C60"/>
    <w:rsid w:val="00ED3D26"/>
    <w:rsid w:val="00ED5218"/>
    <w:rsid w:val="00EE1D9D"/>
    <w:rsid w:val="00EF0BCB"/>
    <w:rsid w:val="00EF0E74"/>
    <w:rsid w:val="00EF2549"/>
    <w:rsid w:val="00F00E8A"/>
    <w:rsid w:val="00F16242"/>
    <w:rsid w:val="00F17FCB"/>
    <w:rsid w:val="00F226CC"/>
    <w:rsid w:val="00F2691E"/>
    <w:rsid w:val="00F27080"/>
    <w:rsid w:val="00F279DD"/>
    <w:rsid w:val="00F3242E"/>
    <w:rsid w:val="00F33650"/>
    <w:rsid w:val="00F33713"/>
    <w:rsid w:val="00F348F9"/>
    <w:rsid w:val="00F37E4B"/>
    <w:rsid w:val="00F4144E"/>
    <w:rsid w:val="00F41B00"/>
    <w:rsid w:val="00F473CB"/>
    <w:rsid w:val="00F50245"/>
    <w:rsid w:val="00F63DDA"/>
    <w:rsid w:val="00F67029"/>
    <w:rsid w:val="00F70858"/>
    <w:rsid w:val="00F71BBC"/>
    <w:rsid w:val="00F7397F"/>
    <w:rsid w:val="00F75949"/>
    <w:rsid w:val="00F75CF4"/>
    <w:rsid w:val="00F81186"/>
    <w:rsid w:val="00F81D07"/>
    <w:rsid w:val="00F866CD"/>
    <w:rsid w:val="00F941F0"/>
    <w:rsid w:val="00F97FF5"/>
    <w:rsid w:val="00FA7CE6"/>
    <w:rsid w:val="00FB1313"/>
    <w:rsid w:val="00FC2238"/>
    <w:rsid w:val="00FC2459"/>
    <w:rsid w:val="00FC268E"/>
    <w:rsid w:val="00FC2BFD"/>
    <w:rsid w:val="00FC309D"/>
    <w:rsid w:val="00FC358A"/>
    <w:rsid w:val="00FC47E0"/>
    <w:rsid w:val="00FD1C42"/>
    <w:rsid w:val="00FD1E96"/>
    <w:rsid w:val="00FD1FE7"/>
    <w:rsid w:val="00FD6442"/>
    <w:rsid w:val="00FE15F6"/>
    <w:rsid w:val="00FE1F8A"/>
    <w:rsid w:val="00FE5D3E"/>
    <w:rsid w:val="00FF14AA"/>
    <w:rsid w:val="00FF26CC"/>
    <w:rsid w:val="00FF2B1D"/>
    <w:rsid w:val="00FF3524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6D8E1A"/>
  <w15:docId w15:val="{31CAA680-9E5D-473B-95F5-BAB28F7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766"/>
    <w:pPr>
      <w:spacing w:after="120"/>
    </w:pPr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0C7EE0"/>
    <w:pPr>
      <w:keepNext/>
      <w:keepLines/>
      <w:tabs>
        <w:tab w:val="left" w:pos="567"/>
      </w:tabs>
      <w:snapToGrid w:val="0"/>
      <w:spacing w:before="360"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0C7EE0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uiPriority w:val="99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11A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bidi="ar-SA"/>
    </w:rPr>
  </w:style>
  <w:style w:type="paragraph" w:customStyle="1" w:styleId="Sansinterligne2">
    <w:name w:val="Sans interligne2"/>
    <w:uiPriority w:val="1"/>
    <w:rsid w:val="006E7CF0"/>
    <w:rPr>
      <w:rFonts w:ascii="Times New Roman" w:eastAsia="Times New Roman" w:hAnsi="Times New Roman"/>
      <w:sz w:val="24"/>
      <w:szCs w:val="24"/>
      <w:lang w:val="fr-FR" w:eastAsia="fr-FR" w:bidi="ar-SA"/>
    </w:rPr>
  </w:style>
  <w:style w:type="character" w:styleId="Hyperlink">
    <w:name w:val="Hyperlink"/>
    <w:uiPriority w:val="99"/>
    <w:unhideWhenUsed/>
    <w:rsid w:val="006E7CF0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254C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10CBC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10CBC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210CBC"/>
    <w:rPr>
      <w:vertAlign w:val="superscript"/>
    </w:rPr>
  </w:style>
  <w:style w:type="character" w:styleId="FollowedHyperlink">
    <w:name w:val="FollowedHyperlink"/>
    <w:semiHidden/>
    <w:unhideWhenUsed/>
    <w:rsid w:val="00B62ED0"/>
    <w:rPr>
      <w:color w:val="800080"/>
      <w:u w:val="single"/>
    </w:rPr>
  </w:style>
  <w:style w:type="paragraph" w:styleId="Revision">
    <w:name w:val="Revision"/>
    <w:hidden/>
    <w:uiPriority w:val="99"/>
    <w:semiHidden/>
    <w:rsid w:val="001609A1"/>
    <w:rPr>
      <w:rFonts w:ascii="Times New Roman" w:eastAsia="Times New Roman" w:hAnsi="Times New Roman"/>
      <w:sz w:val="22"/>
      <w:szCs w:val="24"/>
      <w:lang w:val="en-GB" w:eastAsia="fr-FR" w:bidi="ar-SA"/>
    </w:rPr>
  </w:style>
  <w:style w:type="paragraph" w:customStyle="1" w:styleId="Default">
    <w:name w:val="Default"/>
    <w:rsid w:val="000F2B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 w:bidi="ar-SA"/>
    </w:rPr>
  </w:style>
  <w:style w:type="paragraph" w:styleId="ListParagraph">
    <w:name w:val="List Paragraph"/>
    <w:basedOn w:val="Normal"/>
    <w:uiPriority w:val="34"/>
    <w:qFormat/>
    <w:rsid w:val="00D4722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47226"/>
    <w:rPr>
      <w:rFonts w:eastAsia="Malgun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47226"/>
    <w:pPr>
      <w:spacing w:after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D47226"/>
    <w:rPr>
      <w:rFonts w:ascii="Calibri" w:eastAsia="Calibri" w:hAnsi="Calibri" w:cs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D472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66"/>
    <w:rPr>
      <w:color w:val="605E5C"/>
      <w:shd w:val="clear" w:color="auto" w:fill="E1DFDD"/>
    </w:rPr>
  </w:style>
  <w:style w:type="paragraph" w:customStyle="1" w:styleId="Footnote">
    <w:name w:val="Footnote"/>
    <w:basedOn w:val="EndnoteText"/>
    <w:link w:val="FootnoteChar"/>
    <w:qFormat/>
    <w:rsid w:val="00322A3A"/>
    <w:pPr>
      <w:ind w:left="709" w:hanging="709"/>
    </w:pPr>
    <w:rPr>
      <w:rFonts w:eastAsia="Times New Roman" w:cs="Arial"/>
      <w:lang w:val="fr-FR" w:eastAsia="fr-FR"/>
    </w:rPr>
  </w:style>
  <w:style w:type="character" w:customStyle="1" w:styleId="FootnoteChar">
    <w:name w:val="Footnote Char"/>
    <w:aliases w:val="No Spacing Char,Title Ed Char"/>
    <w:link w:val="Footnote"/>
    <w:rsid w:val="00322A3A"/>
    <w:rPr>
      <w:rFonts w:eastAsia="Times New Roman" w:cs="Arial"/>
      <w:lang w:val="fr-FR" w:eastAsia="fr-FR" w:bidi="ar-S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0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ustom%20Office%20Templates\Guidance%20notes%20template_201904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3B28-3773-478B-9865-4D8B2004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Guidance notes template_20190423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Proschan</dc:creator>
  <cp:keywords/>
  <cp:lastModifiedBy>scepi</cp:lastModifiedBy>
  <cp:revision>5</cp:revision>
  <dcterms:created xsi:type="dcterms:W3CDTF">2019-07-24T15:06:00Z</dcterms:created>
  <dcterms:modified xsi:type="dcterms:W3CDTF">2019-12-06T17:09:00Z</dcterms:modified>
</cp:coreProperties>
</file>