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FF2F" w14:textId="77777777" w:rsidR="00B04B21" w:rsidRPr="006548DE" w:rsidRDefault="00B04B21" w:rsidP="00875001">
      <w:pPr>
        <w:pageBreakBefore/>
        <w:bidi/>
        <w:jc w:val="center"/>
        <w:rPr>
          <w:b/>
          <w:bCs/>
          <w:sz w:val="24"/>
        </w:rPr>
      </w:pPr>
      <w:r w:rsidRPr="006548DE">
        <w:rPr>
          <w:b/>
          <w:bCs/>
          <w:sz w:val="28"/>
          <w:szCs w:val="28"/>
          <w:rtl/>
        </w:rPr>
        <w:t>اللمحة العامة والأسس المنطقية</w:t>
      </w:r>
      <w:r w:rsidRPr="006548DE">
        <w:rPr>
          <w:b/>
          <w:bCs/>
          <w:sz w:val="24"/>
        </w:rPr>
        <w:tab/>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235BCF" w:rsidRPr="006548DE" w14:paraId="70F5BB97" w14:textId="77777777" w:rsidTr="00B04B21">
        <w:trPr>
          <w:cantSplit/>
        </w:trPr>
        <w:tc>
          <w:tcPr>
            <w:tcW w:w="786" w:type="pct"/>
            <w:shd w:val="clear" w:color="auto" w:fill="auto"/>
          </w:tcPr>
          <w:p w14:paraId="0637A6D6" w14:textId="446B0F6F" w:rsidR="005473CF" w:rsidRPr="00EC149B" w:rsidRDefault="00B04B21" w:rsidP="00875001">
            <w:pPr>
              <w:bidi/>
              <w:spacing w:before="120"/>
              <w:jc w:val="both"/>
              <w:rPr>
                <w:b/>
                <w:sz w:val="24"/>
              </w:rPr>
            </w:pPr>
            <w:r w:rsidRPr="00EC149B">
              <w:rPr>
                <w:b/>
                <w:bCs/>
                <w:sz w:val="24"/>
                <w:rtl/>
                <w:lang w:bidi="ar-EG"/>
              </w:rPr>
              <w:t>المؤشر</w:t>
            </w:r>
          </w:p>
        </w:tc>
        <w:tc>
          <w:tcPr>
            <w:tcW w:w="4214" w:type="pct"/>
            <w:gridSpan w:val="2"/>
            <w:shd w:val="clear" w:color="auto" w:fill="auto"/>
          </w:tcPr>
          <w:p w14:paraId="2008140B" w14:textId="1217D69B" w:rsidR="005473CF" w:rsidRPr="00EC149B" w:rsidRDefault="00705048" w:rsidP="00875001">
            <w:pPr>
              <w:pStyle w:val="ListParagraph"/>
              <w:keepLines/>
              <w:numPr>
                <w:ilvl w:val="0"/>
                <w:numId w:val="5"/>
              </w:numPr>
              <w:bidi/>
              <w:spacing w:before="120"/>
              <w:jc w:val="both"/>
              <w:rPr>
                <w:bCs/>
                <w:sz w:val="24"/>
                <w:szCs w:val="24"/>
              </w:rPr>
            </w:pPr>
            <w:r w:rsidRPr="00EC149B">
              <w:rPr>
                <w:rFonts w:hint="cs"/>
                <w:bCs/>
                <w:sz w:val="24"/>
                <w:szCs w:val="24"/>
                <w:rtl/>
              </w:rPr>
              <w:t xml:space="preserve"> </w:t>
            </w:r>
            <w:r w:rsidR="00693FF0" w:rsidRPr="00EC149B">
              <w:rPr>
                <w:bCs/>
                <w:sz w:val="24"/>
                <w:szCs w:val="24"/>
                <w:rtl/>
              </w:rPr>
              <w:t>دعم صندوق التراث الثقافي غير المادي للصون والمشاركة الدولية بشكل فعّال</w:t>
            </w:r>
            <w:r w:rsidR="00710CA1" w:rsidRPr="00EC149B">
              <w:rPr>
                <w:rStyle w:val="FootnoteReference"/>
                <w:bCs/>
                <w:sz w:val="24"/>
                <w:szCs w:val="24"/>
                <w:rtl/>
              </w:rPr>
              <w:footnoteReference w:id="2"/>
            </w:r>
          </w:p>
        </w:tc>
      </w:tr>
      <w:tr w:rsidR="00235BCF" w:rsidRPr="006548DE" w14:paraId="1290C87B" w14:textId="77777777" w:rsidTr="00B04B21">
        <w:trPr>
          <w:cantSplit/>
        </w:trPr>
        <w:tc>
          <w:tcPr>
            <w:tcW w:w="786" w:type="pct"/>
            <w:vMerge w:val="restart"/>
            <w:shd w:val="clear" w:color="auto" w:fill="auto"/>
          </w:tcPr>
          <w:p w14:paraId="1E2A88A4" w14:textId="77DEE66C" w:rsidR="005B0FE5" w:rsidRPr="00EC149B" w:rsidRDefault="00B04B21" w:rsidP="00875001">
            <w:pPr>
              <w:bidi/>
              <w:spacing w:before="120"/>
              <w:jc w:val="both"/>
              <w:rPr>
                <w:b/>
                <w:sz w:val="24"/>
              </w:rPr>
            </w:pPr>
            <w:r w:rsidRPr="00EC149B">
              <w:rPr>
                <w:b/>
                <w:bCs/>
                <w:sz w:val="24"/>
                <w:rtl/>
              </w:rPr>
              <w:t>عوامل التقييم الشامل</w:t>
            </w:r>
          </w:p>
        </w:tc>
        <w:tc>
          <w:tcPr>
            <w:tcW w:w="4214" w:type="pct"/>
            <w:gridSpan w:val="2"/>
            <w:shd w:val="clear" w:color="auto" w:fill="auto"/>
          </w:tcPr>
          <w:p w14:paraId="60C8CDEC" w14:textId="5E5F2A4E" w:rsidR="00B04B21" w:rsidRPr="00EC149B" w:rsidRDefault="00B04B21" w:rsidP="00875001">
            <w:pPr>
              <w:keepLines/>
              <w:bidi/>
              <w:spacing w:before="120"/>
              <w:jc w:val="both"/>
              <w:rPr>
                <w:b/>
                <w:sz w:val="24"/>
              </w:rPr>
            </w:pPr>
            <w:r w:rsidRPr="00EC149B">
              <w:rPr>
                <w:sz w:val="24"/>
                <w:rtl/>
              </w:rPr>
              <w:t xml:space="preserve">يتم تقييم هذا المؤشر على أساس ثلاثة عوامل على الصعيد </w:t>
            </w:r>
            <w:r w:rsidRPr="00EC149B">
              <w:rPr>
                <w:sz w:val="24"/>
                <w:rtl/>
                <w:lang w:bidi="ar-EG"/>
              </w:rPr>
              <w:t>العالمي</w:t>
            </w:r>
            <w:r w:rsidRPr="00EC149B">
              <w:rPr>
                <w:sz w:val="24"/>
                <w:rtl/>
              </w:rPr>
              <w:t xml:space="preserve"> ترصدها الأمانة و</w:t>
            </w:r>
            <w:r w:rsidR="00DA2D07" w:rsidRPr="00EC149B">
              <w:rPr>
                <w:rFonts w:hint="cs"/>
                <w:sz w:val="24"/>
                <w:rtl/>
                <w:lang w:bidi="ar-EG"/>
              </w:rPr>
              <w:t>ت</w:t>
            </w:r>
            <w:r w:rsidR="00B24FC4">
              <w:rPr>
                <w:rFonts w:hint="cs"/>
                <w:sz w:val="24"/>
                <w:rtl/>
                <w:lang w:bidi="ar-EG"/>
              </w:rPr>
              <w:t xml:space="preserve">عد التقرير </w:t>
            </w:r>
            <w:r w:rsidR="00DA2D07" w:rsidRPr="00EC149B">
              <w:rPr>
                <w:rFonts w:hint="cs"/>
                <w:sz w:val="24"/>
                <w:rtl/>
                <w:lang w:bidi="ar-EG"/>
              </w:rPr>
              <w:t xml:space="preserve"> عنها</w:t>
            </w:r>
            <w:r w:rsidRPr="00EC149B">
              <w:rPr>
                <w:sz w:val="24"/>
                <w:rtl/>
              </w:rPr>
              <w:t>:</w:t>
            </w:r>
          </w:p>
        </w:tc>
      </w:tr>
      <w:tr w:rsidR="00235BCF" w:rsidRPr="006548DE" w14:paraId="65CBFA6B" w14:textId="77777777" w:rsidTr="00B04B21">
        <w:trPr>
          <w:cantSplit/>
        </w:trPr>
        <w:tc>
          <w:tcPr>
            <w:tcW w:w="786" w:type="pct"/>
            <w:vMerge/>
            <w:shd w:val="clear" w:color="auto" w:fill="auto"/>
          </w:tcPr>
          <w:p w14:paraId="5767BFD1" w14:textId="77777777" w:rsidR="00872134" w:rsidRPr="00EC149B" w:rsidRDefault="00872134" w:rsidP="00875001">
            <w:pPr>
              <w:bidi/>
              <w:spacing w:before="120"/>
              <w:jc w:val="both"/>
              <w:rPr>
                <w:b/>
                <w:sz w:val="24"/>
              </w:rPr>
            </w:pPr>
          </w:p>
        </w:tc>
        <w:tc>
          <w:tcPr>
            <w:tcW w:w="3418" w:type="pct"/>
            <w:shd w:val="clear" w:color="auto" w:fill="auto"/>
            <w:vAlign w:val="center"/>
          </w:tcPr>
          <w:p w14:paraId="4236AA6A" w14:textId="1248E7CD" w:rsidR="00872134" w:rsidRPr="00EC149B" w:rsidRDefault="00693FF0" w:rsidP="00875001">
            <w:pPr>
              <w:keepLines/>
              <w:bidi/>
              <w:spacing w:before="120"/>
              <w:jc w:val="both"/>
              <w:rPr>
                <w:sz w:val="24"/>
                <w:lang w:val="en-US"/>
              </w:rPr>
            </w:pPr>
            <w:r w:rsidRPr="00EC149B">
              <w:rPr>
                <w:sz w:val="24"/>
                <w:rtl/>
                <w:lang w:val="en-US"/>
              </w:rPr>
              <w:t>26-1 سعي الدول الأطراف للحصول على مساعدة مالية أو تقنية من صندوق التراث الثقافي غير المادي وتنفيذ برامج صون ناتجة عن هذه المساعدة.</w:t>
            </w:r>
          </w:p>
        </w:tc>
        <w:tc>
          <w:tcPr>
            <w:tcW w:w="796" w:type="pct"/>
            <w:shd w:val="clear" w:color="auto" w:fill="auto"/>
            <w:vAlign w:val="center"/>
          </w:tcPr>
          <w:p w14:paraId="46347727" w14:textId="1E215388" w:rsidR="00872134" w:rsidRPr="00EC149B" w:rsidRDefault="00F73C19" w:rsidP="00875001">
            <w:pPr>
              <w:keepLines/>
              <w:bidi/>
              <w:spacing w:before="120"/>
              <w:jc w:val="both"/>
              <w:rPr>
                <w:sz w:val="24"/>
              </w:rPr>
            </w:pPr>
            <w:r w:rsidRPr="00EC149B">
              <w:rPr>
                <w:sz w:val="24"/>
                <w:rtl/>
              </w:rPr>
              <w:t>المادة 19</w:t>
            </w:r>
            <w:r w:rsidR="00FE4D49" w:rsidRPr="00EC149B">
              <w:rPr>
                <w:rFonts w:hint="cs"/>
                <w:sz w:val="24"/>
                <w:rtl/>
              </w:rPr>
              <w:t>، وال</w:t>
            </w:r>
            <w:r w:rsidRPr="00EC149B">
              <w:rPr>
                <w:sz w:val="24"/>
                <w:rtl/>
              </w:rPr>
              <w:t>مادة 21</w:t>
            </w:r>
          </w:p>
        </w:tc>
      </w:tr>
      <w:tr w:rsidR="00235BCF" w:rsidRPr="006548DE" w14:paraId="3BE33262" w14:textId="77777777" w:rsidTr="00B04B21">
        <w:trPr>
          <w:cantSplit/>
        </w:trPr>
        <w:tc>
          <w:tcPr>
            <w:tcW w:w="786" w:type="pct"/>
            <w:vMerge/>
            <w:shd w:val="clear" w:color="auto" w:fill="auto"/>
          </w:tcPr>
          <w:p w14:paraId="5D52C03F" w14:textId="77777777" w:rsidR="00872134" w:rsidRPr="00EC149B" w:rsidRDefault="00872134" w:rsidP="00875001">
            <w:pPr>
              <w:bidi/>
              <w:spacing w:before="120"/>
              <w:jc w:val="both"/>
              <w:rPr>
                <w:b/>
                <w:sz w:val="24"/>
              </w:rPr>
            </w:pPr>
          </w:p>
        </w:tc>
        <w:tc>
          <w:tcPr>
            <w:tcW w:w="3418" w:type="pct"/>
            <w:shd w:val="clear" w:color="auto" w:fill="auto"/>
            <w:vAlign w:val="center"/>
          </w:tcPr>
          <w:p w14:paraId="4AA627DF" w14:textId="0BD361A4" w:rsidR="00872134" w:rsidRPr="00EC149B" w:rsidRDefault="00693FF0" w:rsidP="00875001">
            <w:pPr>
              <w:keepLines/>
              <w:bidi/>
              <w:spacing w:before="120"/>
              <w:jc w:val="both"/>
              <w:rPr>
                <w:sz w:val="24"/>
                <w:lang w:val="en-US"/>
              </w:rPr>
            </w:pPr>
            <w:r w:rsidRPr="00EC149B">
              <w:rPr>
                <w:sz w:val="24"/>
                <w:rtl/>
                <w:lang w:val="en-US"/>
              </w:rPr>
              <w:t>26-2 تقديم الدول الأطراف أو الكيانات الأخرى لمساهمات إضافية طوعية لصندوق التراث الثقافي غير المادي لأغراض عامة أو محدّدة، لا سيما برنامج بناء القدرات العالمي.</w:t>
            </w:r>
          </w:p>
        </w:tc>
        <w:tc>
          <w:tcPr>
            <w:tcW w:w="796" w:type="pct"/>
            <w:shd w:val="clear" w:color="auto" w:fill="auto"/>
            <w:vAlign w:val="center"/>
          </w:tcPr>
          <w:p w14:paraId="0715CBEA" w14:textId="6EC2C6D5" w:rsidR="00F73C19" w:rsidRPr="00EC149B" w:rsidRDefault="00F73C19" w:rsidP="00875001">
            <w:pPr>
              <w:bidi/>
              <w:spacing w:before="60" w:after="60"/>
              <w:jc w:val="both"/>
              <w:rPr>
                <w:sz w:val="24"/>
              </w:rPr>
            </w:pPr>
            <w:r w:rsidRPr="00EC149B">
              <w:rPr>
                <w:sz w:val="24"/>
                <w:rtl/>
              </w:rPr>
              <w:t>المادة 25-5</w:t>
            </w:r>
            <w:r w:rsidR="00FE4D49" w:rsidRPr="00EC149B">
              <w:rPr>
                <w:rFonts w:hint="cs"/>
                <w:sz w:val="24"/>
                <w:rtl/>
              </w:rPr>
              <w:t>،</w:t>
            </w:r>
            <w:r w:rsidRPr="00EC149B">
              <w:rPr>
                <w:sz w:val="24"/>
                <w:rtl/>
              </w:rPr>
              <w:t xml:space="preserve"> </w:t>
            </w:r>
            <w:r w:rsidR="00FE4D49" w:rsidRPr="00EC149B">
              <w:rPr>
                <w:rFonts w:hint="cs"/>
                <w:sz w:val="24"/>
                <w:rtl/>
              </w:rPr>
              <w:t>و</w:t>
            </w:r>
            <w:r w:rsidRPr="00EC149B">
              <w:rPr>
                <w:sz w:val="24"/>
                <w:rtl/>
              </w:rPr>
              <w:t>المادة 27</w:t>
            </w:r>
          </w:p>
          <w:p w14:paraId="635480EF" w14:textId="13ED84F1" w:rsidR="00872134" w:rsidRPr="00EC149B" w:rsidRDefault="00F73C19" w:rsidP="00875001">
            <w:pPr>
              <w:bidi/>
              <w:spacing w:before="60" w:after="60"/>
              <w:jc w:val="both"/>
              <w:rPr>
                <w:sz w:val="24"/>
              </w:rPr>
            </w:pPr>
            <w:r w:rsidRPr="00EC149B">
              <w:rPr>
                <w:sz w:val="24"/>
                <w:rtl/>
              </w:rPr>
              <w:t xml:space="preserve">التوجيهات </w:t>
            </w:r>
            <w:r w:rsidR="006514D2" w:rsidRPr="00EC149B">
              <w:rPr>
                <w:rFonts w:asciiTheme="majorBidi" w:hAnsiTheme="majorBidi"/>
                <w:sz w:val="24"/>
                <w:rtl/>
              </w:rPr>
              <w:t>التنفيذي</w:t>
            </w:r>
            <w:r w:rsidR="006514D2" w:rsidRPr="00EC149B">
              <w:rPr>
                <w:rFonts w:asciiTheme="majorBidi" w:hAnsiTheme="majorBidi" w:hint="cs"/>
                <w:sz w:val="24"/>
                <w:rtl/>
              </w:rPr>
              <w:t>ة</w:t>
            </w:r>
            <w:r w:rsidR="006514D2" w:rsidRPr="00EC149B">
              <w:rPr>
                <w:rFonts w:asciiTheme="majorBidi" w:hAnsiTheme="majorBidi"/>
                <w:sz w:val="24"/>
                <w:rtl/>
              </w:rPr>
              <w:t xml:space="preserve"> </w:t>
            </w:r>
            <w:r w:rsidRPr="00EC149B">
              <w:rPr>
                <w:sz w:val="24"/>
                <w:rtl/>
              </w:rPr>
              <w:t>68-71</w:t>
            </w:r>
          </w:p>
        </w:tc>
      </w:tr>
      <w:tr w:rsidR="00235BCF" w:rsidRPr="006548DE" w14:paraId="2FEB307F" w14:textId="77777777" w:rsidTr="00B04B21">
        <w:trPr>
          <w:cantSplit/>
        </w:trPr>
        <w:tc>
          <w:tcPr>
            <w:tcW w:w="786" w:type="pct"/>
            <w:vMerge/>
            <w:shd w:val="clear" w:color="auto" w:fill="auto"/>
          </w:tcPr>
          <w:p w14:paraId="1610A01D" w14:textId="77777777" w:rsidR="00872134" w:rsidRPr="00EC149B" w:rsidRDefault="00872134" w:rsidP="00875001">
            <w:pPr>
              <w:bidi/>
              <w:spacing w:before="120"/>
              <w:jc w:val="both"/>
              <w:rPr>
                <w:b/>
                <w:sz w:val="24"/>
              </w:rPr>
            </w:pPr>
          </w:p>
        </w:tc>
        <w:tc>
          <w:tcPr>
            <w:tcW w:w="3418" w:type="pct"/>
            <w:shd w:val="clear" w:color="auto" w:fill="auto"/>
            <w:vAlign w:val="center"/>
          </w:tcPr>
          <w:p w14:paraId="16DB2917" w14:textId="1A83E843" w:rsidR="00872134" w:rsidRPr="00EC149B" w:rsidRDefault="00693FF0" w:rsidP="00875001">
            <w:pPr>
              <w:keepLines/>
              <w:bidi/>
              <w:spacing w:before="120"/>
              <w:jc w:val="both"/>
              <w:rPr>
                <w:sz w:val="24"/>
                <w:lang w:val="en-US"/>
              </w:rPr>
            </w:pPr>
            <w:r w:rsidRPr="00EC149B">
              <w:rPr>
                <w:sz w:val="24"/>
                <w:rtl/>
                <w:lang w:val="en-US"/>
              </w:rPr>
              <w:t>26-3 استخدام صندوق التراث الثقافي غير المادي لدعم تكاليف</w:t>
            </w:r>
            <w:r w:rsidR="00021A80" w:rsidRPr="00EC149B">
              <w:rPr>
                <w:sz w:val="24"/>
                <w:rtl/>
                <w:lang w:val="en-US"/>
              </w:rPr>
              <w:t xml:space="preserve"> مشاركة طيف واسع من الأطراف</w:t>
            </w:r>
            <w:r w:rsidR="00021A80" w:rsidRPr="00EC149B">
              <w:rPr>
                <w:rFonts w:hint="cs"/>
                <w:sz w:val="24"/>
                <w:rtl/>
                <w:lang w:val="en-US"/>
              </w:rPr>
              <w:t xml:space="preserve"> </w:t>
            </w:r>
            <w:r w:rsidRPr="00EC149B">
              <w:rPr>
                <w:sz w:val="24"/>
                <w:rtl/>
                <w:lang w:val="en-US"/>
              </w:rPr>
              <w:t>المعنية، بما في ذلك خبراء التراث الثقافي غير المادي، والمنظّمات غير</w:t>
            </w:r>
            <w:r w:rsidR="00021A80" w:rsidRPr="00EC149B">
              <w:rPr>
                <w:sz w:val="24"/>
                <w:rtl/>
                <w:lang w:val="en-US"/>
              </w:rPr>
              <w:t xml:space="preserve"> الحكومية المعتمدة المنتمية إلى</w:t>
            </w:r>
            <w:r w:rsidR="00021A80" w:rsidRPr="00EC149B">
              <w:rPr>
                <w:rFonts w:hint="cs"/>
                <w:sz w:val="24"/>
                <w:rtl/>
                <w:lang w:val="en-US"/>
              </w:rPr>
              <w:t xml:space="preserve"> </w:t>
            </w:r>
            <w:r w:rsidRPr="00EC149B">
              <w:rPr>
                <w:sz w:val="24"/>
                <w:rtl/>
                <w:lang w:val="en-US"/>
              </w:rPr>
              <w:t>بلدان نامية، والهيئات العامة والخاصة، وكذلك أعضاء الجماعات و</w:t>
            </w:r>
            <w:r w:rsidR="00021A80" w:rsidRPr="00EC149B">
              <w:rPr>
                <w:sz w:val="24"/>
                <w:rtl/>
                <w:lang w:val="en-US"/>
              </w:rPr>
              <w:t>المجموعات المدعوين لتقديم خدمات</w:t>
            </w:r>
            <w:r w:rsidR="00021A80" w:rsidRPr="00EC149B">
              <w:rPr>
                <w:rFonts w:hint="cs"/>
                <w:sz w:val="24"/>
                <w:rtl/>
                <w:lang w:val="en-US"/>
              </w:rPr>
              <w:t xml:space="preserve"> </w:t>
            </w:r>
            <w:r w:rsidRPr="00EC149B">
              <w:rPr>
                <w:sz w:val="24"/>
                <w:rtl/>
                <w:lang w:val="en-US"/>
              </w:rPr>
              <w:t>استشارية، في اجتماعات الهيئتين الرئاسيتين للاتفاقية.</w:t>
            </w:r>
          </w:p>
        </w:tc>
        <w:tc>
          <w:tcPr>
            <w:tcW w:w="796" w:type="pct"/>
            <w:shd w:val="clear" w:color="auto" w:fill="auto"/>
            <w:vAlign w:val="center"/>
          </w:tcPr>
          <w:p w14:paraId="596263CF" w14:textId="43F47916" w:rsidR="00471F73" w:rsidRPr="00EC149B" w:rsidRDefault="00471F73" w:rsidP="00875001">
            <w:pPr>
              <w:bidi/>
              <w:spacing w:before="60" w:after="60"/>
              <w:jc w:val="both"/>
              <w:rPr>
                <w:sz w:val="24"/>
              </w:rPr>
            </w:pPr>
            <w:r w:rsidRPr="00EC149B">
              <w:rPr>
                <w:sz w:val="24"/>
                <w:rtl/>
              </w:rPr>
              <w:t>المادة 8</w:t>
            </w:r>
            <w:r w:rsidR="00FE4D49" w:rsidRPr="00EC149B">
              <w:rPr>
                <w:rFonts w:hint="cs"/>
                <w:sz w:val="24"/>
                <w:rtl/>
              </w:rPr>
              <w:t>، و</w:t>
            </w:r>
            <w:r w:rsidRPr="00EC149B">
              <w:rPr>
                <w:sz w:val="24"/>
                <w:rtl/>
              </w:rPr>
              <w:t>المادة 9</w:t>
            </w:r>
          </w:p>
          <w:p w14:paraId="70C425CE" w14:textId="4C7B19A8" w:rsidR="00872134" w:rsidRPr="00EC149B" w:rsidRDefault="00471F73" w:rsidP="00875001">
            <w:pPr>
              <w:keepLines/>
              <w:bidi/>
              <w:spacing w:before="120"/>
              <w:jc w:val="both"/>
              <w:rPr>
                <w:sz w:val="24"/>
              </w:rPr>
            </w:pPr>
            <w:r w:rsidRPr="00EC149B">
              <w:rPr>
                <w:sz w:val="24"/>
                <w:rtl/>
              </w:rPr>
              <w:t xml:space="preserve">التوجيه </w:t>
            </w:r>
            <w:r w:rsidR="006514D2" w:rsidRPr="00EC149B">
              <w:rPr>
                <w:rFonts w:asciiTheme="majorBidi" w:hAnsiTheme="majorBidi"/>
                <w:sz w:val="24"/>
                <w:rtl/>
              </w:rPr>
              <w:t>التنفيذي</w:t>
            </w:r>
            <w:r w:rsidR="006514D2" w:rsidRPr="00EC149B">
              <w:rPr>
                <w:rFonts w:asciiTheme="majorBidi" w:hAnsiTheme="majorBidi" w:hint="cs"/>
                <w:sz w:val="24"/>
                <w:rtl/>
              </w:rPr>
              <w:t xml:space="preserve"> </w:t>
            </w:r>
            <w:r w:rsidRPr="00EC149B">
              <w:rPr>
                <w:sz w:val="24"/>
                <w:rtl/>
              </w:rPr>
              <w:t>67</w:t>
            </w:r>
          </w:p>
        </w:tc>
      </w:tr>
      <w:tr w:rsidR="00235BCF" w:rsidRPr="006548DE" w14:paraId="585A4F2B" w14:textId="77777777" w:rsidTr="00B04B21">
        <w:trPr>
          <w:cantSplit/>
        </w:trPr>
        <w:tc>
          <w:tcPr>
            <w:tcW w:w="786" w:type="pct"/>
            <w:shd w:val="clear" w:color="auto" w:fill="auto"/>
          </w:tcPr>
          <w:p w14:paraId="77970C8F" w14:textId="2F77280E" w:rsidR="005473CF" w:rsidRPr="00EC149B" w:rsidRDefault="00B04B21" w:rsidP="00875001">
            <w:pPr>
              <w:bidi/>
              <w:spacing w:before="120"/>
              <w:jc w:val="both"/>
              <w:rPr>
                <w:b/>
                <w:sz w:val="24"/>
              </w:rPr>
            </w:pPr>
            <w:r w:rsidRPr="00EC149B">
              <w:rPr>
                <w:b/>
                <w:bCs/>
                <w:sz w:val="24"/>
                <w:rtl/>
              </w:rPr>
              <w:t>العلاقة مع أهداف التنمية المستدامة والمؤشرات الأخرى</w:t>
            </w:r>
          </w:p>
        </w:tc>
        <w:tc>
          <w:tcPr>
            <w:tcW w:w="4214" w:type="pct"/>
            <w:gridSpan w:val="2"/>
            <w:shd w:val="clear" w:color="auto" w:fill="auto"/>
          </w:tcPr>
          <w:p w14:paraId="18BBFD71" w14:textId="6B7B95E4" w:rsidR="00954D30" w:rsidRPr="00EC149B" w:rsidRDefault="00A6176F" w:rsidP="00875001">
            <w:pPr>
              <w:keepLines/>
              <w:bidi/>
              <w:spacing w:before="120"/>
              <w:jc w:val="both"/>
              <w:rPr>
                <w:rFonts w:eastAsia="SimSun"/>
                <w:sz w:val="24"/>
                <w:lang w:eastAsia="en-US" w:bidi="he-IL"/>
              </w:rPr>
            </w:pPr>
            <w:r w:rsidRPr="00EC149B">
              <w:rPr>
                <w:b/>
                <w:bCs/>
                <w:sz w:val="24"/>
                <w:rtl/>
              </w:rPr>
              <w:t xml:space="preserve">أهداف التنمية المستدامة: </w:t>
            </w:r>
            <w:r w:rsidRPr="00EC149B">
              <w:rPr>
                <w:sz w:val="24"/>
                <w:rtl/>
              </w:rPr>
              <w:t>نظرًا لتركيز أهداف التنمية المستدامة على تعزيز التعاون والمساعدة الدوليين (بما في ذلك المساعدة المالية)، يدعم المؤشر الحالي عددًا من الأهداف والغايات. فعلى سبيل المثال، تعد الغاية 1 أ من أهداف التنمية المستدامة "كفالة حشد موارد كبيرة من مصادر متنوعة، بما في ذلك عن طريق التعاون الإنمائي المعزّز، من أجل تزويد البلدان النامية، ولا سيما أقل البلدان نموا، بما يكفيها من الوسائل التي يمكن التنبؤ بها من أجل تنفيذ البرامج والسياسات الرامية إلى القضاء على الفقر بجميع أبعاده''. وتعطي الغاية 10 ب من أهداف التنمية المستدامة أولوية خاصة للمساعدة المالية "للدول التي تشتد الحاجة فيها إليها، ولا سيما أقل البلدان نموا، والبلدان الأفريقية، والدول الجزرية الصغيرة النامية، والبلدان النامية غير الساحلية"، بينما تعد الغاية 17-3 من أهداف التنمية المستدامة "حشد موارد مالية إضافية من مصادر متعددة من أجل البلدان النامية"، وتشير الغاية 17-9 من أهداف التنمية المستدامة إلى الدعم الدولي لبناء القدرات في البلدان النامية. ويدعم عامل التقييم</w:t>
            </w:r>
            <w:r w:rsidR="00374610" w:rsidRPr="00EC149B">
              <w:rPr>
                <w:rFonts w:hint="cs"/>
                <w:sz w:val="24"/>
                <w:rtl/>
              </w:rPr>
              <w:t xml:space="preserve"> الشامل</w:t>
            </w:r>
            <w:r w:rsidRPr="00EC149B">
              <w:rPr>
                <w:sz w:val="24"/>
                <w:rtl/>
              </w:rPr>
              <w:t xml:space="preserve"> 26</w:t>
            </w:r>
            <w:r w:rsidR="00374610" w:rsidRPr="00EC149B">
              <w:rPr>
                <w:rFonts w:hint="cs"/>
                <w:sz w:val="24"/>
                <w:rtl/>
              </w:rPr>
              <w:t>-</w:t>
            </w:r>
            <w:r w:rsidRPr="00EC149B">
              <w:rPr>
                <w:sz w:val="24"/>
                <w:rtl/>
              </w:rPr>
              <w:t>3 الغاية 16-8 من أهداف التنمية المستدامة، "توسيع وتعزيز مشاركة البلدان النامية في مؤسسات الحوكمة العالمية". وبالطبع، يدعم هذا المؤشر الغاية 11-4 من أهداف التنمية المستدامة، "تعزيز الجهود الرامية إلى حماية وصون التراث الثقافي والطبيعي العالمي".</w:t>
            </w:r>
          </w:p>
          <w:p w14:paraId="6F743676" w14:textId="31FB789E" w:rsidR="005473CF" w:rsidRPr="00EC149B" w:rsidRDefault="006D380B" w:rsidP="00875001">
            <w:pPr>
              <w:keepLines/>
              <w:bidi/>
              <w:spacing w:before="120"/>
              <w:jc w:val="both"/>
              <w:rPr>
                <w:bCs/>
                <w:sz w:val="24"/>
              </w:rPr>
            </w:pPr>
            <w:r w:rsidRPr="00EC149B">
              <w:rPr>
                <w:bCs/>
                <w:sz w:val="24"/>
                <w:rtl/>
              </w:rPr>
              <w:t>العلاقة بالمؤشرات الأخرى:</w:t>
            </w:r>
            <w:r w:rsidRPr="00EC149B">
              <w:rPr>
                <w:b/>
                <w:sz w:val="24"/>
                <w:rtl/>
              </w:rPr>
              <w:t xml:space="preserve"> يكمل المؤشر الحالي عددًا من المؤشرات الأخرى </w:t>
            </w:r>
            <w:r w:rsidR="00F02383" w:rsidRPr="00EC149B">
              <w:rPr>
                <w:rFonts w:hint="cs"/>
                <w:b/>
                <w:sz w:val="24"/>
                <w:rtl/>
              </w:rPr>
              <w:t>ذات الصلة</w:t>
            </w:r>
            <w:r w:rsidRPr="00EC149B">
              <w:rPr>
                <w:b/>
                <w:sz w:val="24"/>
                <w:rtl/>
              </w:rPr>
              <w:t xml:space="preserve"> بأنشطة الصون المحددة، حيث </w:t>
            </w:r>
            <w:r w:rsidR="00F02383" w:rsidRPr="00EC149B">
              <w:rPr>
                <w:rFonts w:hint="cs"/>
                <w:b/>
                <w:sz w:val="24"/>
                <w:rtl/>
              </w:rPr>
              <w:t>يمكن</w:t>
            </w:r>
            <w:r w:rsidRPr="00EC149B">
              <w:rPr>
                <w:b/>
                <w:sz w:val="24"/>
                <w:rtl/>
              </w:rPr>
              <w:t xml:space="preserve"> </w:t>
            </w:r>
            <w:r w:rsidR="00F02383" w:rsidRPr="00EC149B">
              <w:rPr>
                <w:rFonts w:hint="cs"/>
                <w:b/>
                <w:sz w:val="24"/>
                <w:rtl/>
              </w:rPr>
              <w:t xml:space="preserve">استخدام </w:t>
            </w:r>
            <w:r w:rsidRPr="00EC149B">
              <w:rPr>
                <w:b/>
                <w:sz w:val="24"/>
                <w:rtl/>
              </w:rPr>
              <w:t>المساعدة المقدمة من صندوق صون التراث الثقافي غير المادي (</w:t>
            </w:r>
            <w:r w:rsidRPr="00EC149B">
              <w:rPr>
                <w:sz w:val="24"/>
              </w:rPr>
              <w:t>ICH Fund</w:t>
            </w:r>
            <w:r w:rsidRPr="00EC149B">
              <w:rPr>
                <w:sz w:val="24"/>
                <w:rtl/>
              </w:rPr>
              <w:t>)</w:t>
            </w:r>
            <w:r w:rsidRPr="00EC149B">
              <w:rPr>
                <w:b/>
                <w:sz w:val="24"/>
                <w:rtl/>
              </w:rPr>
              <w:t xml:space="preserve"> في برامج الصون بجميع أنواعها. مع إشارة محددة لدعم برنامج بناء القدرات العالمي، يكمل هذا المؤشر المؤشرين 2 و3. ويكمل عامل التقييم</w:t>
            </w:r>
            <w:r w:rsidR="00374610" w:rsidRPr="00EC149B">
              <w:rPr>
                <w:rFonts w:hint="cs"/>
                <w:b/>
                <w:sz w:val="24"/>
                <w:rtl/>
              </w:rPr>
              <w:t xml:space="preserve"> الشامل</w:t>
            </w:r>
            <w:r w:rsidRPr="00EC149B">
              <w:rPr>
                <w:b/>
                <w:sz w:val="24"/>
                <w:rtl/>
              </w:rPr>
              <w:t xml:space="preserve"> 26</w:t>
            </w:r>
            <w:r w:rsidR="00374610" w:rsidRPr="00EC149B">
              <w:rPr>
                <w:rFonts w:hint="cs"/>
                <w:b/>
                <w:sz w:val="24"/>
                <w:rtl/>
              </w:rPr>
              <w:t>-</w:t>
            </w:r>
            <w:r w:rsidRPr="00EC149B">
              <w:rPr>
                <w:b/>
                <w:sz w:val="24"/>
                <w:rtl/>
              </w:rPr>
              <w:t>3 المؤشر 23 المتعلق بالجهات الفاعلة التي دعتها اللجنة للمشاركة بصفة مشورية أو استشارية.</w:t>
            </w:r>
          </w:p>
        </w:tc>
      </w:tr>
      <w:tr w:rsidR="00235BCF" w:rsidRPr="006548DE" w14:paraId="449BFC85" w14:textId="77777777" w:rsidTr="00B04B21">
        <w:trPr>
          <w:cantSplit/>
        </w:trPr>
        <w:tc>
          <w:tcPr>
            <w:tcW w:w="786" w:type="pct"/>
            <w:shd w:val="clear" w:color="auto" w:fill="auto"/>
          </w:tcPr>
          <w:p w14:paraId="1B9BF9AB" w14:textId="6372EC02" w:rsidR="00896177" w:rsidRPr="00EC149B" w:rsidRDefault="00B04B21" w:rsidP="00875001">
            <w:pPr>
              <w:bidi/>
              <w:spacing w:before="120"/>
              <w:jc w:val="both"/>
              <w:rPr>
                <w:b/>
                <w:sz w:val="24"/>
              </w:rPr>
            </w:pPr>
            <w:r w:rsidRPr="00EC149B">
              <w:rPr>
                <w:b/>
                <w:bCs/>
                <w:sz w:val="24"/>
                <w:rtl/>
              </w:rPr>
              <w:t>الأسس المنطقية لل</w:t>
            </w:r>
            <w:r w:rsidR="00462AD5" w:rsidRPr="00EC149B">
              <w:rPr>
                <w:rFonts w:hint="cs"/>
                <w:b/>
                <w:bCs/>
                <w:sz w:val="24"/>
                <w:rtl/>
              </w:rPr>
              <w:t>إجراءات</w:t>
            </w:r>
          </w:p>
        </w:tc>
        <w:tc>
          <w:tcPr>
            <w:tcW w:w="4214" w:type="pct"/>
            <w:gridSpan w:val="2"/>
            <w:shd w:val="clear" w:color="auto" w:fill="auto"/>
          </w:tcPr>
          <w:p w14:paraId="49C5CED1" w14:textId="5B2517E3" w:rsidR="00704766" w:rsidRPr="00EC149B" w:rsidRDefault="00E634B1" w:rsidP="00875001">
            <w:pPr>
              <w:keepLines/>
              <w:bidi/>
              <w:spacing w:before="120"/>
              <w:jc w:val="both"/>
              <w:rPr>
                <w:sz w:val="24"/>
              </w:rPr>
            </w:pPr>
            <w:r w:rsidRPr="00EC149B">
              <w:rPr>
                <w:rFonts w:asciiTheme="majorBidi" w:hAnsiTheme="majorBidi"/>
                <w:sz w:val="24"/>
                <w:rtl/>
              </w:rPr>
              <w:t xml:space="preserve">كما </w:t>
            </w:r>
            <w:r w:rsidRPr="00EC149B">
              <w:rPr>
                <w:rFonts w:asciiTheme="majorBidi" w:hAnsiTheme="majorBidi" w:hint="cs"/>
                <w:sz w:val="24"/>
                <w:rtl/>
                <w:lang w:bidi="ar-EG"/>
              </w:rPr>
              <w:t xml:space="preserve">ورد في </w:t>
            </w:r>
            <w:r w:rsidRPr="00EC149B">
              <w:rPr>
                <w:rFonts w:asciiTheme="majorBidi" w:hAnsiTheme="majorBidi"/>
                <w:sz w:val="24"/>
                <w:rtl/>
              </w:rPr>
              <w:t xml:space="preserve">المؤشرين 24 و25، تعد أحد الأهداف الأربعة للاتفاقية "تحقيق التعاون الدولي والمساعدة الدولية" (المادة 1 (د))، وتحدد الاتفاقية التعاون الدولي ليشمل "إنشاء آلية لمساعدة الدول الأطراف في جهودها الرامية إلى صون التراث الثقافي غير المادي" (المادة 19). ولدعم هذه المساعدة، أنشأت الاتفاقية صندوق التراث الثقافي غير المادي، وتدعو الدول إلى تقديم مساهمات طوعية </w:t>
            </w:r>
            <w:r w:rsidR="00424C3F" w:rsidRPr="00EC149B">
              <w:rPr>
                <w:rFonts w:asciiTheme="majorBidi" w:hAnsiTheme="majorBidi" w:hint="cs"/>
                <w:sz w:val="24"/>
                <w:rtl/>
              </w:rPr>
              <w:t>إضافية</w:t>
            </w:r>
            <w:r w:rsidR="00424C3F" w:rsidRPr="00EC149B">
              <w:rPr>
                <w:rFonts w:asciiTheme="majorBidi" w:hAnsiTheme="majorBidi"/>
                <w:sz w:val="24"/>
                <w:rtl/>
              </w:rPr>
              <w:t xml:space="preserve"> </w:t>
            </w:r>
            <w:r w:rsidRPr="00EC149B">
              <w:rPr>
                <w:rFonts w:asciiTheme="majorBidi" w:hAnsiTheme="majorBidi"/>
                <w:sz w:val="24"/>
                <w:rtl/>
              </w:rPr>
              <w:t>لهذا الصندوق، بالإضافة إلى مساهماتها السنوية (المادة 27)، مع تح</w:t>
            </w:r>
            <w:r w:rsidR="006332AB" w:rsidRPr="00EC149B">
              <w:rPr>
                <w:rFonts w:asciiTheme="majorBidi" w:hAnsiTheme="majorBidi"/>
                <w:sz w:val="24"/>
                <w:rtl/>
              </w:rPr>
              <w:t xml:space="preserve">ديد أن هذه المساهمات قد تستخدم </w:t>
            </w:r>
            <w:r w:rsidRPr="00EC149B">
              <w:rPr>
                <w:rFonts w:asciiTheme="majorBidi" w:hAnsiTheme="majorBidi"/>
                <w:sz w:val="24"/>
                <w:rtl/>
              </w:rPr>
              <w:t xml:space="preserve">لأغراض عامة أو خاصة (المادة 25-5). وقد أولت الهيئات الإدارية أهمية خاصة لبناء القدرات كمحور لهذه </w:t>
            </w:r>
            <w:r w:rsidR="00424C3F" w:rsidRPr="00EC149B">
              <w:rPr>
                <w:rFonts w:asciiTheme="majorBidi" w:hAnsiTheme="majorBidi"/>
                <w:sz w:val="24"/>
                <w:rtl/>
              </w:rPr>
              <w:t>مساهمات إضافية</w:t>
            </w:r>
            <w:r w:rsidRPr="00EC149B">
              <w:rPr>
                <w:rFonts w:asciiTheme="majorBidi" w:hAnsiTheme="majorBidi"/>
                <w:sz w:val="24"/>
                <w:rtl/>
              </w:rPr>
              <w:t xml:space="preserve">. وأخيرًا، تنص اللجنة، "من أجل ضمان التمثيل العادل داخل اللجنة لمختلف المناطق الجغرافية''، في نظامها الداخلي على إتاحة المساعدة المالية لتسهيل مشاركة مجموعة واسعة من </w:t>
            </w:r>
            <w:r w:rsidR="006332AB" w:rsidRPr="00EC149B">
              <w:rPr>
                <w:rFonts w:asciiTheme="majorBidi" w:hAnsiTheme="majorBidi" w:hint="cs"/>
                <w:sz w:val="24"/>
                <w:rtl/>
              </w:rPr>
              <w:t xml:space="preserve">الجهات الفاعلة </w:t>
            </w:r>
            <w:r w:rsidRPr="00EC149B">
              <w:rPr>
                <w:rFonts w:asciiTheme="majorBidi" w:hAnsiTheme="majorBidi"/>
                <w:sz w:val="24"/>
                <w:rtl/>
              </w:rPr>
              <w:t>المعنية بالتراث الثقافي غير المادي في دوراتها، ولا سيما تلك من البلدان النامية</w:t>
            </w:r>
            <w:r w:rsidRPr="00EC149B">
              <w:rPr>
                <w:rFonts w:asciiTheme="majorBidi" w:hAnsiTheme="majorBidi" w:cstheme="majorBidi"/>
                <w:sz w:val="24"/>
              </w:rPr>
              <w:t>.</w:t>
            </w:r>
          </w:p>
        </w:tc>
      </w:tr>
      <w:tr w:rsidR="00235BCF" w:rsidRPr="006548DE" w14:paraId="13A5E994" w14:textId="77777777" w:rsidTr="00B04B21">
        <w:trPr>
          <w:cantSplit/>
        </w:trPr>
        <w:tc>
          <w:tcPr>
            <w:tcW w:w="786" w:type="pct"/>
            <w:shd w:val="clear" w:color="auto" w:fill="auto"/>
          </w:tcPr>
          <w:p w14:paraId="1C1B350A" w14:textId="77777777" w:rsidR="00B04B21" w:rsidRPr="00EC149B" w:rsidRDefault="00B04B21" w:rsidP="00875001">
            <w:pPr>
              <w:bidi/>
              <w:spacing w:before="120" w:after="60"/>
              <w:jc w:val="both"/>
              <w:rPr>
                <w:b/>
                <w:sz w:val="24"/>
              </w:rPr>
            </w:pPr>
            <w:r w:rsidRPr="00EC149B">
              <w:rPr>
                <w:b/>
                <w:bCs/>
                <w:sz w:val="24"/>
                <w:rtl/>
              </w:rPr>
              <w:lastRenderedPageBreak/>
              <w:t>المصطلحات الرئيسية</w:t>
            </w:r>
          </w:p>
          <w:p w14:paraId="12ECB7E3" w14:textId="01E07CAA" w:rsidR="00704766" w:rsidRPr="00EC149B" w:rsidRDefault="00704766" w:rsidP="00875001">
            <w:pPr>
              <w:bidi/>
              <w:spacing w:before="120" w:after="60"/>
              <w:jc w:val="both"/>
              <w:rPr>
                <w:b/>
                <w:sz w:val="24"/>
              </w:rPr>
            </w:pPr>
          </w:p>
        </w:tc>
        <w:tc>
          <w:tcPr>
            <w:tcW w:w="4214" w:type="pct"/>
            <w:gridSpan w:val="2"/>
            <w:shd w:val="clear" w:color="auto" w:fill="auto"/>
          </w:tcPr>
          <w:p w14:paraId="4F766109" w14:textId="28F2B47F" w:rsidR="0069117E" w:rsidRPr="00EC149B" w:rsidRDefault="00625FAE" w:rsidP="00875001">
            <w:pPr>
              <w:pStyle w:val="ListParagraph"/>
              <w:numPr>
                <w:ilvl w:val="0"/>
                <w:numId w:val="3"/>
              </w:numPr>
              <w:bidi/>
              <w:spacing w:before="120"/>
              <w:jc w:val="both"/>
              <w:rPr>
                <w:rFonts w:ascii="Times New Roman" w:hAnsi="Times New Roman"/>
                <w:sz w:val="24"/>
                <w:szCs w:val="24"/>
                <w:lang w:val="en-GB"/>
              </w:rPr>
            </w:pPr>
            <w:r w:rsidRPr="00EC149B">
              <w:rPr>
                <w:rFonts w:ascii="Times New Roman" w:hAnsi="Times New Roman" w:hint="cs"/>
                <w:sz w:val="24"/>
                <w:szCs w:val="24"/>
                <w:rtl/>
                <w:lang w:val="en-GB"/>
              </w:rPr>
              <w:t>ال</w:t>
            </w:r>
            <w:r w:rsidR="00424C3F" w:rsidRPr="00EC149B">
              <w:rPr>
                <w:rFonts w:ascii="Times New Roman" w:hAnsi="Times New Roman"/>
                <w:sz w:val="24"/>
                <w:szCs w:val="24"/>
                <w:rtl/>
                <w:lang w:val="en-GB"/>
              </w:rPr>
              <w:t xml:space="preserve">أطراف </w:t>
            </w:r>
            <w:r w:rsidRPr="00EC149B">
              <w:rPr>
                <w:rFonts w:ascii="Times New Roman" w:hAnsi="Times New Roman" w:hint="cs"/>
                <w:sz w:val="24"/>
                <w:szCs w:val="24"/>
                <w:rtl/>
                <w:lang w:val="en-GB"/>
              </w:rPr>
              <w:t>ال</w:t>
            </w:r>
            <w:r w:rsidR="0069117E" w:rsidRPr="00EC149B">
              <w:rPr>
                <w:rFonts w:ascii="Times New Roman" w:hAnsi="Times New Roman"/>
                <w:sz w:val="24"/>
                <w:szCs w:val="24"/>
                <w:rtl/>
                <w:lang w:val="en-GB"/>
              </w:rPr>
              <w:t>معنية</w:t>
            </w:r>
          </w:p>
          <w:p w14:paraId="0B756C37" w14:textId="56A318C8" w:rsidR="0069117E" w:rsidRPr="00EC149B" w:rsidRDefault="00625FAE" w:rsidP="00875001">
            <w:pPr>
              <w:pStyle w:val="ListParagraph"/>
              <w:numPr>
                <w:ilvl w:val="0"/>
                <w:numId w:val="3"/>
              </w:numPr>
              <w:bidi/>
              <w:spacing w:before="120"/>
              <w:jc w:val="both"/>
              <w:rPr>
                <w:rFonts w:ascii="Times New Roman" w:hAnsi="Times New Roman"/>
                <w:sz w:val="24"/>
                <w:szCs w:val="24"/>
                <w:lang w:val="en-GB"/>
              </w:rPr>
            </w:pPr>
            <w:r w:rsidRPr="00EC149B">
              <w:rPr>
                <w:rFonts w:ascii="Times New Roman" w:hAnsi="Times New Roman" w:hint="cs"/>
                <w:sz w:val="24"/>
                <w:szCs w:val="24"/>
                <w:rtl/>
                <w:lang w:val="en-GB"/>
              </w:rPr>
              <w:t>ال</w:t>
            </w:r>
            <w:r w:rsidR="00424C3F" w:rsidRPr="00EC149B">
              <w:rPr>
                <w:rFonts w:ascii="Times New Roman" w:hAnsi="Times New Roman"/>
                <w:sz w:val="24"/>
                <w:szCs w:val="24"/>
                <w:rtl/>
                <w:lang w:val="en-GB"/>
              </w:rPr>
              <w:t xml:space="preserve">منظمات غير </w:t>
            </w:r>
            <w:r w:rsidRPr="00EC149B">
              <w:rPr>
                <w:rFonts w:ascii="Times New Roman" w:hAnsi="Times New Roman" w:hint="cs"/>
                <w:sz w:val="24"/>
                <w:szCs w:val="24"/>
                <w:rtl/>
                <w:lang w:val="en-GB"/>
              </w:rPr>
              <w:t>ال</w:t>
            </w:r>
            <w:r w:rsidR="0069117E" w:rsidRPr="00EC149B">
              <w:rPr>
                <w:rFonts w:ascii="Times New Roman" w:hAnsi="Times New Roman"/>
                <w:sz w:val="24"/>
                <w:szCs w:val="24"/>
                <w:rtl/>
                <w:lang w:val="en-GB"/>
              </w:rPr>
              <w:t>حكومية</w:t>
            </w:r>
          </w:p>
          <w:p w14:paraId="1E573C02" w14:textId="2AF66371" w:rsidR="00872134" w:rsidRPr="00EC149B" w:rsidRDefault="00424C3F" w:rsidP="00875001">
            <w:pPr>
              <w:pStyle w:val="ListParagraph"/>
              <w:numPr>
                <w:ilvl w:val="0"/>
                <w:numId w:val="3"/>
              </w:numPr>
              <w:bidi/>
              <w:spacing w:before="120" w:after="120"/>
              <w:jc w:val="both"/>
              <w:rPr>
                <w:rFonts w:ascii="Times New Roman" w:hAnsi="Times New Roman"/>
                <w:sz w:val="24"/>
                <w:szCs w:val="24"/>
                <w:lang w:val="en-GB"/>
              </w:rPr>
            </w:pPr>
            <w:r w:rsidRPr="00EC149B">
              <w:rPr>
                <w:rFonts w:ascii="Times New Roman" w:hAnsi="Times New Roman"/>
                <w:sz w:val="24"/>
                <w:szCs w:val="24"/>
                <w:rtl/>
                <w:lang w:val="en-GB"/>
              </w:rPr>
              <w:t xml:space="preserve">جماعات أو مجموعات أو أحيانًا </w:t>
            </w:r>
            <w:r w:rsidR="0069117E" w:rsidRPr="00EC149B">
              <w:rPr>
                <w:rFonts w:ascii="Times New Roman" w:hAnsi="Times New Roman"/>
                <w:sz w:val="24"/>
                <w:szCs w:val="24"/>
                <w:rtl/>
                <w:lang w:val="en-GB"/>
              </w:rPr>
              <w:t>أفراد</w:t>
            </w:r>
          </w:p>
        </w:tc>
      </w:tr>
    </w:tbl>
    <w:p w14:paraId="5EFE85DD" w14:textId="77777777" w:rsidR="0054175C" w:rsidRPr="006548DE" w:rsidRDefault="0054175C" w:rsidP="00875001">
      <w:pPr>
        <w:bidi/>
        <w:jc w:val="center"/>
        <w:rPr>
          <w:b/>
          <w:sz w:val="24"/>
        </w:rPr>
        <w:sectPr w:rsidR="0054175C" w:rsidRPr="006548DE" w:rsidSect="000F25BA">
          <w:footerReference w:type="default" r:id="rId8"/>
          <w:pgSz w:w="11906" w:h="16838" w:code="9"/>
          <w:pgMar w:top="1418" w:right="1134" w:bottom="1134" w:left="1134" w:header="397" w:footer="284" w:gutter="0"/>
          <w:cols w:space="708"/>
          <w:docGrid w:linePitch="360"/>
        </w:sectPr>
      </w:pPr>
    </w:p>
    <w:p w14:paraId="56BDFFE8" w14:textId="4AAC0F91" w:rsidR="00DF18BB" w:rsidRPr="006548DE" w:rsidRDefault="00DF18BB" w:rsidP="00875001">
      <w:pPr>
        <w:keepNext/>
        <w:bidi/>
        <w:jc w:val="center"/>
        <w:rPr>
          <w:bCs/>
          <w:sz w:val="28"/>
          <w:szCs w:val="28"/>
        </w:rPr>
      </w:pPr>
      <w:r w:rsidRPr="006548DE">
        <w:rPr>
          <w:bCs/>
          <w:sz w:val="28"/>
          <w:szCs w:val="28"/>
          <w:rtl/>
        </w:rPr>
        <w:t>التوجيهات المحددة بشأن الرصد و</w:t>
      </w:r>
      <w:r w:rsidR="00410A71">
        <w:rPr>
          <w:rFonts w:hint="cs"/>
          <w:bCs/>
          <w:sz w:val="28"/>
          <w:szCs w:val="28"/>
          <w:rtl/>
        </w:rPr>
        <w:t>ال</w:t>
      </w:r>
      <w:r w:rsidR="00B24FC4">
        <w:rPr>
          <w:rFonts w:hint="cs"/>
          <w:bCs/>
          <w:sz w:val="28"/>
          <w:szCs w:val="28"/>
          <w:rtl/>
        </w:rPr>
        <w:t xml:space="preserve">تقرير </w:t>
      </w:r>
      <w:r w:rsidR="00410A71">
        <w:rPr>
          <w:rFonts w:hint="cs"/>
          <w:bCs/>
          <w:sz w:val="28"/>
          <w:szCs w:val="28"/>
          <w:rtl/>
        </w:rPr>
        <w:t xml:space="preserve"> </w:t>
      </w:r>
      <w:r w:rsidR="00410A71">
        <w:rPr>
          <w:bCs/>
          <w:sz w:val="28"/>
          <w:szCs w:val="28"/>
          <w:rtl/>
        </w:rPr>
        <w:t>الدوري</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DF18BB" w:rsidRPr="006548DE" w14:paraId="3210AACF" w14:textId="77777777" w:rsidTr="006D478D">
        <w:tc>
          <w:tcPr>
            <w:tcW w:w="730" w:type="pct"/>
            <w:shd w:val="clear" w:color="auto" w:fill="auto"/>
          </w:tcPr>
          <w:p w14:paraId="520F42C5" w14:textId="77777777" w:rsidR="00DF18BB" w:rsidRPr="006548DE" w:rsidRDefault="00DF18BB" w:rsidP="00875001">
            <w:pPr>
              <w:bidi/>
              <w:spacing w:before="120"/>
              <w:rPr>
                <w:b/>
                <w:bCs/>
                <w:sz w:val="24"/>
              </w:rPr>
            </w:pPr>
            <w:r w:rsidRPr="006548DE">
              <w:rPr>
                <w:b/>
                <w:bCs/>
                <w:sz w:val="24"/>
                <w:rtl/>
              </w:rPr>
              <w:t>فوائد الرصد</w:t>
            </w:r>
          </w:p>
        </w:tc>
        <w:tc>
          <w:tcPr>
            <w:tcW w:w="4270" w:type="pct"/>
            <w:shd w:val="clear" w:color="auto" w:fill="auto"/>
          </w:tcPr>
          <w:p w14:paraId="2E815117" w14:textId="30195EFD" w:rsidR="00DF18BB" w:rsidRPr="006548DE" w:rsidRDefault="00DF18BB" w:rsidP="00875001">
            <w:pPr>
              <w:keepLines/>
              <w:bidi/>
              <w:spacing w:before="120"/>
              <w:jc w:val="both"/>
              <w:rPr>
                <w:b/>
                <w:sz w:val="24"/>
              </w:rPr>
            </w:pPr>
            <w:r w:rsidRPr="006548DE">
              <w:rPr>
                <w:b/>
                <w:sz w:val="24"/>
                <w:rtl/>
              </w:rPr>
              <w:t xml:space="preserve">يمكن أن يساعد رصد هذا المؤشر على الصعيد العالمي اللجنة في </w:t>
            </w:r>
            <w:r w:rsidR="00F4682F">
              <w:rPr>
                <w:rFonts w:hint="cs"/>
                <w:b/>
                <w:sz w:val="24"/>
                <w:rtl/>
              </w:rPr>
              <w:t xml:space="preserve">إجراء </w:t>
            </w:r>
            <w:r w:rsidRPr="006548DE">
              <w:rPr>
                <w:b/>
                <w:sz w:val="24"/>
                <w:rtl/>
              </w:rPr>
              <w:t xml:space="preserve">تقييم </w:t>
            </w:r>
            <w:r w:rsidR="00F4682F">
              <w:rPr>
                <w:rFonts w:hint="cs"/>
                <w:b/>
                <w:sz w:val="24"/>
                <w:rtl/>
              </w:rPr>
              <w:t>شمل ل</w:t>
            </w:r>
            <w:r w:rsidRPr="006548DE">
              <w:rPr>
                <w:b/>
                <w:sz w:val="24"/>
                <w:rtl/>
              </w:rPr>
              <w:t xml:space="preserve">فعالية المساعدة </w:t>
            </w:r>
            <w:r w:rsidR="00F4682F">
              <w:rPr>
                <w:rFonts w:hint="cs"/>
                <w:b/>
                <w:sz w:val="24"/>
                <w:rtl/>
              </w:rPr>
              <w:t>المُقدمة</w:t>
            </w:r>
            <w:r w:rsidRPr="006548DE">
              <w:rPr>
                <w:b/>
                <w:sz w:val="24"/>
                <w:rtl/>
              </w:rPr>
              <w:t xml:space="preserve"> من خلال صندوق التراث الثقافي غير المادي، ويمكن أن يلفت الانتباه إلى العوائق المحتملة التي تحد من مشاركة البلدان النامية في منطقة أو أخرى. كما يمكن للرصد على الصعيد العالمي أن يسلط الضوء على الاتجاهات السائدة بين البلدان المانحة، ويحدد فجوات التمويل المحتملة حتى تتمكن اللجنة من اتخاذ تدابير لزيادة معدل </w:t>
            </w:r>
            <w:r w:rsidR="00424C3F" w:rsidRPr="006548DE">
              <w:rPr>
                <w:b/>
                <w:sz w:val="24"/>
                <w:rtl/>
              </w:rPr>
              <w:t>مساهمات إضافية</w:t>
            </w:r>
            <w:r w:rsidRPr="006548DE">
              <w:rPr>
                <w:b/>
                <w:sz w:val="24"/>
                <w:rtl/>
              </w:rPr>
              <w:t>. وأخيراً، فإن رصد المساعدة لدعم مشاركة مجموعة واسعة من الأطراف المعنية في اجتماعات الهيئات الرئاسية للاتفاقية يمكن أن يساعد في ضمان تحقيق أوسع مشاركة ممكنة.</w:t>
            </w:r>
          </w:p>
        </w:tc>
      </w:tr>
      <w:tr w:rsidR="00DF18BB" w:rsidRPr="006548DE" w14:paraId="6557A078" w14:textId="77777777" w:rsidTr="006D478D">
        <w:tc>
          <w:tcPr>
            <w:tcW w:w="730" w:type="pct"/>
            <w:shd w:val="clear" w:color="auto" w:fill="auto"/>
          </w:tcPr>
          <w:p w14:paraId="44759DAB" w14:textId="77777777" w:rsidR="00DF18BB" w:rsidRPr="006548DE" w:rsidRDefault="00DF18BB" w:rsidP="00875001">
            <w:pPr>
              <w:bidi/>
              <w:spacing w:before="120"/>
              <w:rPr>
                <w:b/>
                <w:bCs/>
                <w:sz w:val="24"/>
              </w:rPr>
            </w:pPr>
            <w:r w:rsidRPr="006548DE">
              <w:rPr>
                <w:b/>
                <w:bCs/>
                <w:sz w:val="24"/>
                <w:rtl/>
              </w:rPr>
              <w:t>مصادر البيانات وجمعها</w:t>
            </w:r>
          </w:p>
        </w:tc>
        <w:tc>
          <w:tcPr>
            <w:tcW w:w="4270" w:type="pct"/>
            <w:shd w:val="clear" w:color="auto" w:fill="auto"/>
          </w:tcPr>
          <w:p w14:paraId="6F2E741F" w14:textId="641B6B63" w:rsidR="00DF18BB" w:rsidRPr="006548DE" w:rsidRDefault="00DF18BB" w:rsidP="00875001">
            <w:pPr>
              <w:keepNext/>
              <w:bidi/>
              <w:spacing w:before="120" w:after="60"/>
              <w:jc w:val="both"/>
              <w:rPr>
                <w:sz w:val="24"/>
                <w:rtl/>
              </w:rPr>
            </w:pPr>
            <w:r w:rsidRPr="006548DE">
              <w:rPr>
                <w:sz w:val="24"/>
                <w:rtl/>
              </w:rPr>
              <w:t xml:space="preserve">ترصد  الأمانة هذا المؤشر على الصعيد العالمي، حيث تحتفظ بقاعدة بيانات وأدوات أخرى تحتوي على معلومات مفصلة بشأن صندوق التراث الثقافي غير المادي، ودخله (بما في ذلك </w:t>
            </w:r>
            <w:r w:rsidR="00424C3F" w:rsidRPr="006548DE">
              <w:rPr>
                <w:sz w:val="24"/>
                <w:rtl/>
              </w:rPr>
              <w:t>مساهمات طوعية إضافية</w:t>
            </w:r>
            <w:r w:rsidRPr="006548DE">
              <w:rPr>
                <w:sz w:val="24"/>
                <w:rtl/>
              </w:rPr>
              <w:t xml:space="preserve">)، ونفقاته (سواء للمساعدة الدولية أو لدعم تكاليف المشاركة في اجتماعات الهيئات الإدارية). كما تدعم قاعدة بيانات الأمانة نشر معلومات مفصلة عن طلبات التمويل على الموقع الإلكتروني الخاص بالاتفاقية. وتخضع الأنشطة الناتجة عن المساعدة الدولية لتقارير منتظمة إلى اللجنة من الدولة الطرف المستفيدة (المادة 24-3)؛ كما تتاح هذه التقارير على موقع الاتفاقية على الإنترنت. </w:t>
            </w:r>
          </w:p>
          <w:p w14:paraId="6429C2A5" w14:textId="77777777" w:rsidR="00DF18BB" w:rsidRPr="006548DE" w:rsidRDefault="00DF18BB" w:rsidP="00875001">
            <w:pPr>
              <w:keepNext/>
              <w:bidi/>
              <w:spacing w:before="120" w:after="60"/>
              <w:jc w:val="both"/>
              <w:rPr>
                <w:bCs/>
                <w:sz w:val="24"/>
              </w:rPr>
            </w:pPr>
            <w:r w:rsidRPr="006548DE">
              <w:rPr>
                <w:rFonts w:hint="cs"/>
                <w:bCs/>
                <w:sz w:val="24"/>
                <w:rtl/>
              </w:rPr>
              <w:t>مصادر البيانات المحتملة</w:t>
            </w:r>
          </w:p>
          <w:p w14:paraId="311D17AC" w14:textId="77777777" w:rsidR="00DF18BB" w:rsidRPr="006548DE" w:rsidRDefault="00DF18BB" w:rsidP="00875001">
            <w:pPr>
              <w:numPr>
                <w:ilvl w:val="0"/>
                <w:numId w:val="4"/>
              </w:numPr>
              <w:bidi/>
              <w:spacing w:before="120" w:after="160" w:line="259" w:lineRule="auto"/>
              <w:contextualSpacing/>
              <w:jc w:val="both"/>
              <w:rPr>
                <w:rFonts w:eastAsia="Calibri"/>
                <w:sz w:val="24"/>
                <w:lang w:eastAsia="en-US"/>
              </w:rPr>
            </w:pPr>
            <w:r w:rsidRPr="006548DE">
              <w:rPr>
                <w:rFonts w:eastAsia="Calibri"/>
                <w:sz w:val="24"/>
                <w:rtl/>
                <w:lang w:eastAsia="en-US"/>
              </w:rPr>
              <w:t>قاعدة بيانات وأدوات أخرى تحتفظ بها الأمانة</w:t>
            </w:r>
          </w:p>
          <w:p w14:paraId="4421F242" w14:textId="77777777" w:rsidR="00DF18BB" w:rsidRPr="006548DE" w:rsidRDefault="00DF18BB" w:rsidP="00875001">
            <w:pPr>
              <w:numPr>
                <w:ilvl w:val="0"/>
                <w:numId w:val="4"/>
              </w:numPr>
              <w:bidi/>
              <w:spacing w:before="120" w:after="160" w:line="259" w:lineRule="auto"/>
              <w:contextualSpacing/>
              <w:jc w:val="both"/>
              <w:rPr>
                <w:rFonts w:eastAsia="Calibri"/>
                <w:sz w:val="24"/>
                <w:lang w:eastAsia="en-US"/>
              </w:rPr>
            </w:pPr>
            <w:r w:rsidRPr="006548DE">
              <w:rPr>
                <w:rFonts w:eastAsia="Calibri"/>
                <w:sz w:val="24"/>
                <w:rtl/>
                <w:lang w:eastAsia="en-US"/>
              </w:rPr>
              <w:t>تقارير مقدمة إلى اللجنة من دول أطراف مستفيدة بشأن  مساعدة دولية متلقاه</w:t>
            </w:r>
          </w:p>
        </w:tc>
      </w:tr>
      <w:tr w:rsidR="00DF18BB" w:rsidRPr="006548DE" w14:paraId="260B16E3" w14:textId="77777777" w:rsidTr="006D478D">
        <w:tc>
          <w:tcPr>
            <w:tcW w:w="730" w:type="pct"/>
            <w:shd w:val="clear" w:color="auto" w:fill="auto"/>
          </w:tcPr>
          <w:p w14:paraId="6DB41B45" w14:textId="77777777" w:rsidR="00DF18BB" w:rsidRPr="006548DE" w:rsidRDefault="00DF18BB" w:rsidP="00875001">
            <w:pPr>
              <w:bidi/>
              <w:spacing w:before="120"/>
              <w:rPr>
                <w:b/>
                <w:bCs/>
                <w:sz w:val="24"/>
              </w:rPr>
            </w:pPr>
            <w:r w:rsidRPr="006548DE">
              <w:rPr>
                <w:b/>
                <w:bCs/>
                <w:sz w:val="24"/>
                <w:rtl/>
              </w:rPr>
              <w:t>مدى استيفاء المؤشر</w:t>
            </w:r>
          </w:p>
        </w:tc>
        <w:tc>
          <w:tcPr>
            <w:tcW w:w="4270" w:type="pct"/>
            <w:shd w:val="clear" w:color="auto" w:fill="auto"/>
          </w:tcPr>
          <w:p w14:paraId="318713B0" w14:textId="45DE1527" w:rsidR="00DF18BB" w:rsidRPr="006548DE" w:rsidRDefault="00DF18BB" w:rsidP="00875001">
            <w:pPr>
              <w:bidi/>
              <w:spacing w:before="120"/>
              <w:jc w:val="both"/>
              <w:rPr>
                <w:sz w:val="24"/>
              </w:rPr>
            </w:pPr>
            <w:r w:rsidRPr="006548DE">
              <w:rPr>
                <w:sz w:val="24"/>
                <w:rtl/>
              </w:rPr>
              <w:t xml:space="preserve">يتم تقييم هذا المؤشر على أساس ثلاثة عوامل على الصعيد </w:t>
            </w:r>
            <w:r w:rsidRPr="006548DE">
              <w:rPr>
                <w:rFonts w:hint="cs"/>
                <w:sz w:val="24"/>
                <w:rtl/>
              </w:rPr>
              <w:t>العالمي</w:t>
            </w:r>
            <w:r w:rsidRPr="006548DE">
              <w:rPr>
                <w:sz w:val="24"/>
                <w:rtl/>
              </w:rPr>
              <w:t xml:space="preserve"> ترصدها </w:t>
            </w:r>
            <w:r w:rsidRPr="006548DE">
              <w:rPr>
                <w:rFonts w:hint="cs"/>
                <w:sz w:val="24"/>
                <w:rtl/>
              </w:rPr>
              <w:t xml:space="preserve">الأمانة </w:t>
            </w:r>
            <w:r w:rsidRPr="006548DE">
              <w:rPr>
                <w:sz w:val="24"/>
                <w:rtl/>
              </w:rPr>
              <w:t>و</w:t>
            </w:r>
            <w:r w:rsidR="00021A80">
              <w:rPr>
                <w:rFonts w:hint="cs"/>
                <w:sz w:val="24"/>
                <w:rtl/>
              </w:rPr>
              <w:t>تُ</w:t>
            </w:r>
            <w:r w:rsidR="00B24FC4">
              <w:rPr>
                <w:rFonts w:hint="cs"/>
                <w:sz w:val="24"/>
                <w:rtl/>
              </w:rPr>
              <w:t>عد التقرير</w:t>
            </w:r>
            <w:r w:rsidR="00021A80">
              <w:rPr>
                <w:rFonts w:hint="cs"/>
                <w:sz w:val="24"/>
                <w:rtl/>
              </w:rPr>
              <w:t xml:space="preserve"> عنها.</w:t>
            </w:r>
          </w:p>
        </w:tc>
      </w:tr>
    </w:tbl>
    <w:p w14:paraId="1279D50A" w14:textId="77777777" w:rsidR="00DF18BB" w:rsidRPr="006548DE" w:rsidRDefault="00DF18BB" w:rsidP="00875001">
      <w:pPr>
        <w:bidi/>
        <w:jc w:val="both"/>
        <w:rPr>
          <w:sz w:val="24"/>
        </w:rPr>
      </w:pPr>
    </w:p>
    <w:sectPr w:rsidR="00DF18BB" w:rsidRPr="006548DE"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D33A7" w14:textId="77777777" w:rsidR="005F1D1C" w:rsidRDefault="005F1D1C" w:rsidP="002938F2">
      <w:r>
        <w:separator/>
      </w:r>
    </w:p>
    <w:p w14:paraId="39A36795" w14:textId="77777777" w:rsidR="005F1D1C" w:rsidRDefault="005F1D1C"/>
  </w:endnote>
  <w:endnote w:type="continuationSeparator" w:id="0">
    <w:p w14:paraId="6CD035D5" w14:textId="77777777" w:rsidR="005F1D1C" w:rsidRDefault="005F1D1C" w:rsidP="002938F2">
      <w:r>
        <w:continuationSeparator/>
      </w:r>
    </w:p>
    <w:p w14:paraId="0AAE2158" w14:textId="77777777" w:rsidR="005F1D1C" w:rsidRDefault="005F1D1C"/>
  </w:endnote>
  <w:endnote w:type="continuationNotice" w:id="1">
    <w:p w14:paraId="5E6B6322" w14:textId="77777777" w:rsidR="005F1D1C" w:rsidRDefault="005F1D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93DF" w14:textId="003DF074" w:rsidR="00C04344" w:rsidRPr="000A0709" w:rsidRDefault="000F25BA" w:rsidP="00424C3F">
    <w:pPr>
      <w:pStyle w:val="Footer"/>
      <w:bidi/>
      <w:jc w:val="center"/>
      <w:rPr>
        <w:rFonts w:ascii="Arial" w:hAnsi="Arial"/>
      </w:rPr>
    </w:pPr>
    <w:r w:rsidRPr="000F25BA">
      <w:rPr>
        <w:rFonts w:ascii="Arial" w:hAnsi="Arial" w:cs="Arial"/>
      </w:rPr>
      <w:fldChar w:fldCharType="begin"/>
    </w:r>
    <w:r w:rsidRPr="000F25BA">
      <w:rPr>
        <w:rFonts w:ascii="Arial" w:hAnsi="Arial" w:cs="Arial"/>
      </w:rPr>
      <w:instrText xml:space="preserve"> PAGE   \* MERGEFORMAT </w:instrText>
    </w:r>
    <w:r w:rsidRPr="000F25BA">
      <w:rPr>
        <w:rFonts w:ascii="Arial" w:hAnsi="Arial" w:cs="Arial"/>
      </w:rPr>
      <w:fldChar w:fldCharType="separate"/>
    </w:r>
    <w:r w:rsidR="00D22129">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3864" w14:textId="77777777" w:rsidR="005F1D1C" w:rsidRDefault="005F1D1C" w:rsidP="002938F2">
      <w:r>
        <w:separator/>
      </w:r>
    </w:p>
  </w:footnote>
  <w:footnote w:type="continuationSeparator" w:id="0">
    <w:p w14:paraId="2C9999D5" w14:textId="77777777" w:rsidR="005F1D1C" w:rsidRDefault="005F1D1C" w:rsidP="002938F2">
      <w:r>
        <w:continuationSeparator/>
      </w:r>
    </w:p>
    <w:p w14:paraId="1BAF3B33" w14:textId="77777777" w:rsidR="005F1D1C" w:rsidRDefault="005F1D1C"/>
  </w:footnote>
  <w:footnote w:type="continuationNotice" w:id="1">
    <w:p w14:paraId="1A067C1C" w14:textId="77777777" w:rsidR="005F1D1C" w:rsidRDefault="005F1D1C">
      <w:pPr>
        <w:spacing w:after="0"/>
      </w:pPr>
    </w:p>
  </w:footnote>
  <w:footnote w:id="2">
    <w:p w14:paraId="17A10F49" w14:textId="6A62A8A8" w:rsidR="00710CA1" w:rsidRPr="00710CA1" w:rsidRDefault="00710CA1" w:rsidP="00EC149B">
      <w:pPr>
        <w:pStyle w:val="FootnoteText"/>
        <w:bidi/>
        <w:jc w:val="both"/>
        <w:rPr>
          <w:lang w:val="en-US"/>
        </w:rPr>
      </w:pPr>
      <w:r>
        <w:rPr>
          <w:rStyle w:val="FootnoteReference"/>
        </w:rPr>
        <w:footnoteRef/>
      </w:r>
      <w:r w:rsidR="00EC149B">
        <w:rPr>
          <w:rFonts w:hint="cs"/>
          <w:rtl/>
        </w:rPr>
        <w:t xml:space="preserve"> </w:t>
      </w:r>
      <w:r w:rsidRPr="00710CA1">
        <w:rPr>
          <w:rtl/>
        </w:rPr>
        <w:t>يتمّ رصد هذا المؤشّر وذكره على الصعيد العالمي فقط.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C3886"/>
    <w:multiLevelType w:val="hybridMultilevel"/>
    <w:tmpl w:val="644ADE7C"/>
    <w:lvl w:ilvl="0" w:tplc="8A0A21E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34"/>
    <w:rsid w:val="000016A4"/>
    <w:rsid w:val="000019DB"/>
    <w:rsid w:val="000047CC"/>
    <w:rsid w:val="00005BA5"/>
    <w:rsid w:val="00005BFA"/>
    <w:rsid w:val="00006F66"/>
    <w:rsid w:val="00010E2D"/>
    <w:rsid w:val="000120FD"/>
    <w:rsid w:val="0001307A"/>
    <w:rsid w:val="00013961"/>
    <w:rsid w:val="00013A65"/>
    <w:rsid w:val="0001506E"/>
    <w:rsid w:val="00015B9D"/>
    <w:rsid w:val="0001601A"/>
    <w:rsid w:val="00021831"/>
    <w:rsid w:val="00021A80"/>
    <w:rsid w:val="00022C19"/>
    <w:rsid w:val="0003061D"/>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18A1"/>
    <w:rsid w:val="00142D78"/>
    <w:rsid w:val="00144A4D"/>
    <w:rsid w:val="00145763"/>
    <w:rsid w:val="00151351"/>
    <w:rsid w:val="00156788"/>
    <w:rsid w:val="001609A1"/>
    <w:rsid w:val="00162554"/>
    <w:rsid w:val="00163F68"/>
    <w:rsid w:val="00173B50"/>
    <w:rsid w:val="00173E0E"/>
    <w:rsid w:val="00174B39"/>
    <w:rsid w:val="00183F6C"/>
    <w:rsid w:val="00191406"/>
    <w:rsid w:val="00193F8B"/>
    <w:rsid w:val="00194802"/>
    <w:rsid w:val="00194AEB"/>
    <w:rsid w:val="001A431C"/>
    <w:rsid w:val="001A5519"/>
    <w:rsid w:val="001A7C3A"/>
    <w:rsid w:val="001B5C26"/>
    <w:rsid w:val="001C08BC"/>
    <w:rsid w:val="001C56BA"/>
    <w:rsid w:val="001C6D7D"/>
    <w:rsid w:val="001C7632"/>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5BCF"/>
    <w:rsid w:val="00237935"/>
    <w:rsid w:val="00237E43"/>
    <w:rsid w:val="00240070"/>
    <w:rsid w:val="00240A72"/>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02A7"/>
    <w:rsid w:val="002B43D6"/>
    <w:rsid w:val="002B6B98"/>
    <w:rsid w:val="002C28BA"/>
    <w:rsid w:val="002C3B8F"/>
    <w:rsid w:val="002C444C"/>
    <w:rsid w:val="002C5021"/>
    <w:rsid w:val="002C5280"/>
    <w:rsid w:val="002C5C29"/>
    <w:rsid w:val="002D1B68"/>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4610"/>
    <w:rsid w:val="00377E4B"/>
    <w:rsid w:val="00383BA9"/>
    <w:rsid w:val="003845B0"/>
    <w:rsid w:val="00385B34"/>
    <w:rsid w:val="00386C08"/>
    <w:rsid w:val="00387D88"/>
    <w:rsid w:val="0039446E"/>
    <w:rsid w:val="00396CFF"/>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0A71"/>
    <w:rsid w:val="0041110F"/>
    <w:rsid w:val="0041300C"/>
    <w:rsid w:val="00414B68"/>
    <w:rsid w:val="00424C3F"/>
    <w:rsid w:val="00430ED2"/>
    <w:rsid w:val="00434773"/>
    <w:rsid w:val="004367F5"/>
    <w:rsid w:val="004458C9"/>
    <w:rsid w:val="00446FF1"/>
    <w:rsid w:val="00447C66"/>
    <w:rsid w:val="00462AD5"/>
    <w:rsid w:val="00462F38"/>
    <w:rsid w:val="00466E76"/>
    <w:rsid w:val="00471B34"/>
    <w:rsid w:val="00471F73"/>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2ABD"/>
    <w:rsid w:val="00504256"/>
    <w:rsid w:val="00511D17"/>
    <w:rsid w:val="005157E2"/>
    <w:rsid w:val="0051699F"/>
    <w:rsid w:val="00516DE3"/>
    <w:rsid w:val="005300BF"/>
    <w:rsid w:val="00532631"/>
    <w:rsid w:val="00533F6A"/>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4B0E"/>
    <w:rsid w:val="005E6A2B"/>
    <w:rsid w:val="005E6DA7"/>
    <w:rsid w:val="005E7C7C"/>
    <w:rsid w:val="005F1D1C"/>
    <w:rsid w:val="00601DD6"/>
    <w:rsid w:val="006032AE"/>
    <w:rsid w:val="00603F71"/>
    <w:rsid w:val="00605202"/>
    <w:rsid w:val="00621092"/>
    <w:rsid w:val="00621208"/>
    <w:rsid w:val="00625FAE"/>
    <w:rsid w:val="00632B30"/>
    <w:rsid w:val="006332AB"/>
    <w:rsid w:val="006340A1"/>
    <w:rsid w:val="00636760"/>
    <w:rsid w:val="00644B92"/>
    <w:rsid w:val="00645B77"/>
    <w:rsid w:val="0065099D"/>
    <w:rsid w:val="006514D2"/>
    <w:rsid w:val="006515C9"/>
    <w:rsid w:val="00651944"/>
    <w:rsid w:val="00652318"/>
    <w:rsid w:val="00652484"/>
    <w:rsid w:val="00653314"/>
    <w:rsid w:val="006548DE"/>
    <w:rsid w:val="00660DA9"/>
    <w:rsid w:val="0067005F"/>
    <w:rsid w:val="0067015A"/>
    <w:rsid w:val="006736EC"/>
    <w:rsid w:val="00673D90"/>
    <w:rsid w:val="00676C1E"/>
    <w:rsid w:val="00686D60"/>
    <w:rsid w:val="0069117E"/>
    <w:rsid w:val="00691869"/>
    <w:rsid w:val="00693FF0"/>
    <w:rsid w:val="006A0D86"/>
    <w:rsid w:val="006A49AE"/>
    <w:rsid w:val="006A56C0"/>
    <w:rsid w:val="006A7FCB"/>
    <w:rsid w:val="006C0911"/>
    <w:rsid w:val="006C737A"/>
    <w:rsid w:val="006D380B"/>
    <w:rsid w:val="006D46FB"/>
    <w:rsid w:val="006D78B0"/>
    <w:rsid w:val="006E29C0"/>
    <w:rsid w:val="006E752A"/>
    <w:rsid w:val="006E7CF0"/>
    <w:rsid w:val="006F2A31"/>
    <w:rsid w:val="006F3E83"/>
    <w:rsid w:val="006F4B83"/>
    <w:rsid w:val="006F7F47"/>
    <w:rsid w:val="00701458"/>
    <w:rsid w:val="00701D7E"/>
    <w:rsid w:val="00704766"/>
    <w:rsid w:val="00705048"/>
    <w:rsid w:val="00710CA1"/>
    <w:rsid w:val="007119B8"/>
    <w:rsid w:val="0072415E"/>
    <w:rsid w:val="007247D7"/>
    <w:rsid w:val="007250E3"/>
    <w:rsid w:val="007277C8"/>
    <w:rsid w:val="00732057"/>
    <w:rsid w:val="007368A2"/>
    <w:rsid w:val="0074125C"/>
    <w:rsid w:val="007418AE"/>
    <w:rsid w:val="00742DD1"/>
    <w:rsid w:val="0074360F"/>
    <w:rsid w:val="00746204"/>
    <w:rsid w:val="00747715"/>
    <w:rsid w:val="00747F86"/>
    <w:rsid w:val="00750138"/>
    <w:rsid w:val="00753DA3"/>
    <w:rsid w:val="007610D3"/>
    <w:rsid w:val="007629DB"/>
    <w:rsid w:val="00764F50"/>
    <w:rsid w:val="007669D7"/>
    <w:rsid w:val="00767871"/>
    <w:rsid w:val="00770A92"/>
    <w:rsid w:val="00774D9C"/>
    <w:rsid w:val="00776A63"/>
    <w:rsid w:val="00787870"/>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15432"/>
    <w:rsid w:val="008269B0"/>
    <w:rsid w:val="0083067E"/>
    <w:rsid w:val="00832357"/>
    <w:rsid w:val="0083488D"/>
    <w:rsid w:val="008466C3"/>
    <w:rsid w:val="00846809"/>
    <w:rsid w:val="00851458"/>
    <w:rsid w:val="00861A47"/>
    <w:rsid w:val="008707FF"/>
    <w:rsid w:val="00872134"/>
    <w:rsid w:val="008724E5"/>
    <w:rsid w:val="00875001"/>
    <w:rsid w:val="00877AC5"/>
    <w:rsid w:val="00877F27"/>
    <w:rsid w:val="0088173A"/>
    <w:rsid w:val="00881EB9"/>
    <w:rsid w:val="0088276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8"/>
    <w:rsid w:val="00916F7B"/>
    <w:rsid w:val="00917A4D"/>
    <w:rsid w:val="00921F65"/>
    <w:rsid w:val="0092574C"/>
    <w:rsid w:val="009342E8"/>
    <w:rsid w:val="009357B4"/>
    <w:rsid w:val="00936C3D"/>
    <w:rsid w:val="0094276A"/>
    <w:rsid w:val="00946D71"/>
    <w:rsid w:val="00954D30"/>
    <w:rsid w:val="009577E1"/>
    <w:rsid w:val="00971CA1"/>
    <w:rsid w:val="0097349C"/>
    <w:rsid w:val="009814C2"/>
    <w:rsid w:val="00982FFD"/>
    <w:rsid w:val="00985265"/>
    <w:rsid w:val="00985856"/>
    <w:rsid w:val="009A4969"/>
    <w:rsid w:val="009B1466"/>
    <w:rsid w:val="009B6973"/>
    <w:rsid w:val="009C0510"/>
    <w:rsid w:val="009C2F77"/>
    <w:rsid w:val="009C3663"/>
    <w:rsid w:val="009D098F"/>
    <w:rsid w:val="009D4547"/>
    <w:rsid w:val="009D5A49"/>
    <w:rsid w:val="009D5E38"/>
    <w:rsid w:val="009D602F"/>
    <w:rsid w:val="009D68D0"/>
    <w:rsid w:val="009E17AF"/>
    <w:rsid w:val="009F0D42"/>
    <w:rsid w:val="009F1B82"/>
    <w:rsid w:val="009F34A4"/>
    <w:rsid w:val="009F3988"/>
    <w:rsid w:val="009F7C75"/>
    <w:rsid w:val="00A003D0"/>
    <w:rsid w:val="00A073FD"/>
    <w:rsid w:val="00A150C7"/>
    <w:rsid w:val="00A2307A"/>
    <w:rsid w:val="00A462C6"/>
    <w:rsid w:val="00A519A2"/>
    <w:rsid w:val="00A51BDC"/>
    <w:rsid w:val="00A52574"/>
    <w:rsid w:val="00A535B7"/>
    <w:rsid w:val="00A5709F"/>
    <w:rsid w:val="00A616C4"/>
    <w:rsid w:val="00A6176F"/>
    <w:rsid w:val="00A61F20"/>
    <w:rsid w:val="00A64796"/>
    <w:rsid w:val="00A66CD4"/>
    <w:rsid w:val="00A70883"/>
    <w:rsid w:val="00A76BBB"/>
    <w:rsid w:val="00A77AEB"/>
    <w:rsid w:val="00A81F0A"/>
    <w:rsid w:val="00A85C7A"/>
    <w:rsid w:val="00A86042"/>
    <w:rsid w:val="00AA36F9"/>
    <w:rsid w:val="00AA444A"/>
    <w:rsid w:val="00AB1528"/>
    <w:rsid w:val="00AD6BD4"/>
    <w:rsid w:val="00AE15EE"/>
    <w:rsid w:val="00AE1B18"/>
    <w:rsid w:val="00AE1D83"/>
    <w:rsid w:val="00AE2DFB"/>
    <w:rsid w:val="00AE3061"/>
    <w:rsid w:val="00AF15BA"/>
    <w:rsid w:val="00AF1C32"/>
    <w:rsid w:val="00AF65C6"/>
    <w:rsid w:val="00B010D5"/>
    <w:rsid w:val="00B04B21"/>
    <w:rsid w:val="00B11AE3"/>
    <w:rsid w:val="00B121A6"/>
    <w:rsid w:val="00B1234E"/>
    <w:rsid w:val="00B24FC4"/>
    <w:rsid w:val="00B300B8"/>
    <w:rsid w:val="00B32A28"/>
    <w:rsid w:val="00B33904"/>
    <w:rsid w:val="00B33AD8"/>
    <w:rsid w:val="00B3751E"/>
    <w:rsid w:val="00B427FE"/>
    <w:rsid w:val="00B51737"/>
    <w:rsid w:val="00B6102A"/>
    <w:rsid w:val="00B6167A"/>
    <w:rsid w:val="00B62ED0"/>
    <w:rsid w:val="00B64196"/>
    <w:rsid w:val="00B66A7A"/>
    <w:rsid w:val="00B70266"/>
    <w:rsid w:val="00B74304"/>
    <w:rsid w:val="00B76CBB"/>
    <w:rsid w:val="00B81492"/>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2623"/>
    <w:rsid w:val="00C276EE"/>
    <w:rsid w:val="00C43146"/>
    <w:rsid w:val="00C43757"/>
    <w:rsid w:val="00C43BCE"/>
    <w:rsid w:val="00C45B28"/>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C02C5"/>
    <w:rsid w:val="00CC2BC6"/>
    <w:rsid w:val="00CC3AAB"/>
    <w:rsid w:val="00CC4346"/>
    <w:rsid w:val="00CD324E"/>
    <w:rsid w:val="00CD4A28"/>
    <w:rsid w:val="00CD54BD"/>
    <w:rsid w:val="00CD659E"/>
    <w:rsid w:val="00CD6C36"/>
    <w:rsid w:val="00CE2586"/>
    <w:rsid w:val="00CF05D7"/>
    <w:rsid w:val="00CF34A6"/>
    <w:rsid w:val="00CF3F93"/>
    <w:rsid w:val="00D020F3"/>
    <w:rsid w:val="00D04515"/>
    <w:rsid w:val="00D065AD"/>
    <w:rsid w:val="00D22129"/>
    <w:rsid w:val="00D22831"/>
    <w:rsid w:val="00D404B7"/>
    <w:rsid w:val="00D44509"/>
    <w:rsid w:val="00D448CB"/>
    <w:rsid w:val="00D47226"/>
    <w:rsid w:val="00D47ED5"/>
    <w:rsid w:val="00D61779"/>
    <w:rsid w:val="00D73DB6"/>
    <w:rsid w:val="00D809E5"/>
    <w:rsid w:val="00D81948"/>
    <w:rsid w:val="00D90819"/>
    <w:rsid w:val="00D93291"/>
    <w:rsid w:val="00D9501F"/>
    <w:rsid w:val="00D97771"/>
    <w:rsid w:val="00DA2D07"/>
    <w:rsid w:val="00DB193F"/>
    <w:rsid w:val="00DB50D5"/>
    <w:rsid w:val="00DC5537"/>
    <w:rsid w:val="00DD11EE"/>
    <w:rsid w:val="00DD52A0"/>
    <w:rsid w:val="00DE5590"/>
    <w:rsid w:val="00DE6364"/>
    <w:rsid w:val="00DF18BB"/>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56C89"/>
    <w:rsid w:val="00E634B1"/>
    <w:rsid w:val="00E64BE4"/>
    <w:rsid w:val="00E85565"/>
    <w:rsid w:val="00E87F91"/>
    <w:rsid w:val="00E94BC6"/>
    <w:rsid w:val="00EA0563"/>
    <w:rsid w:val="00EA198F"/>
    <w:rsid w:val="00EA2EA1"/>
    <w:rsid w:val="00EA3CB9"/>
    <w:rsid w:val="00EA59EB"/>
    <w:rsid w:val="00EA67F3"/>
    <w:rsid w:val="00EB48F8"/>
    <w:rsid w:val="00EC05B9"/>
    <w:rsid w:val="00EC149B"/>
    <w:rsid w:val="00ED0C60"/>
    <w:rsid w:val="00ED3D26"/>
    <w:rsid w:val="00ED5218"/>
    <w:rsid w:val="00EE1D9D"/>
    <w:rsid w:val="00EF0BCB"/>
    <w:rsid w:val="00EF0E74"/>
    <w:rsid w:val="00EF2549"/>
    <w:rsid w:val="00F00E8A"/>
    <w:rsid w:val="00F02383"/>
    <w:rsid w:val="00F16242"/>
    <w:rsid w:val="00F17FCB"/>
    <w:rsid w:val="00F226CC"/>
    <w:rsid w:val="00F2691E"/>
    <w:rsid w:val="00F279DD"/>
    <w:rsid w:val="00F3242E"/>
    <w:rsid w:val="00F33643"/>
    <w:rsid w:val="00F33650"/>
    <w:rsid w:val="00F348F9"/>
    <w:rsid w:val="00F37E4B"/>
    <w:rsid w:val="00F4144E"/>
    <w:rsid w:val="00F41B00"/>
    <w:rsid w:val="00F4682F"/>
    <w:rsid w:val="00F473CB"/>
    <w:rsid w:val="00F50245"/>
    <w:rsid w:val="00F63DDA"/>
    <w:rsid w:val="00F67029"/>
    <w:rsid w:val="00F70858"/>
    <w:rsid w:val="00F71BBC"/>
    <w:rsid w:val="00F7397F"/>
    <w:rsid w:val="00F73C19"/>
    <w:rsid w:val="00F75949"/>
    <w:rsid w:val="00F75CF4"/>
    <w:rsid w:val="00F866CD"/>
    <w:rsid w:val="00F941F0"/>
    <w:rsid w:val="00F97FF5"/>
    <w:rsid w:val="00FA2231"/>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E4D49"/>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2FBC4"/>
  <w15:docId w15:val="{283FB243-131E-4A02-A460-9015088E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2"/>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B4B37-ED77-4D2B-92A0-F0D60483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0</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Joseph, George</cp:lastModifiedBy>
  <cp:revision>2</cp:revision>
  <dcterms:created xsi:type="dcterms:W3CDTF">2022-04-06T09:58:00Z</dcterms:created>
  <dcterms:modified xsi:type="dcterms:W3CDTF">2022-04-06T09:58:00Z</dcterms:modified>
</cp:coreProperties>
</file>