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4651C" w14:textId="77777777" w:rsidR="000A0709" w:rsidRPr="00954D30" w:rsidRDefault="003B31BE" w:rsidP="00886B71">
      <w:pPr>
        <w:pageBreakBefore/>
        <w:jc w:val="center"/>
        <w:rPr>
          <w:rFonts w:ascii="Arial" w:hAnsi="Arial" w:cs="Arial"/>
          <w:b/>
          <w:bCs/>
          <w:sz w:val="24"/>
          <w:szCs w:val="28"/>
        </w:rPr>
      </w:pPr>
      <w:r w:rsidRPr="00954D30">
        <w:rPr>
          <w:rFonts w:ascii="Arial" w:hAnsi="Arial" w:cs="Arial"/>
          <w:b/>
          <w:bCs/>
          <w:sz w:val="24"/>
          <w:szCs w:val="28"/>
        </w:rPr>
        <w:t>Overview and rationale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
        <w:gridCol w:w="6582"/>
        <w:gridCol w:w="1533"/>
      </w:tblGrid>
      <w:tr w:rsidR="005473CF" w:rsidRPr="00954D30" w14:paraId="70F5BB97" w14:textId="77777777" w:rsidTr="00BE5B3F">
        <w:trPr>
          <w:cantSplit/>
        </w:trPr>
        <w:tc>
          <w:tcPr>
            <w:tcW w:w="786" w:type="pct"/>
            <w:shd w:val="clear" w:color="auto" w:fill="auto"/>
          </w:tcPr>
          <w:p w14:paraId="0637A6D6" w14:textId="77777777" w:rsidR="005473CF" w:rsidRPr="00954D30" w:rsidRDefault="005B0FE5" w:rsidP="00DA2ECC">
            <w:pPr>
              <w:spacing w:before="120"/>
              <w:rPr>
                <w:rFonts w:ascii="Arial" w:hAnsi="Arial" w:cs="Arial"/>
                <w:b/>
                <w:szCs w:val="22"/>
              </w:rPr>
            </w:pPr>
            <w:r w:rsidRPr="00954D30">
              <w:rPr>
                <w:rFonts w:ascii="Arial" w:hAnsi="Arial" w:cs="Arial"/>
                <w:b/>
                <w:szCs w:val="22"/>
              </w:rPr>
              <w:t>Indicator</w:t>
            </w:r>
          </w:p>
        </w:tc>
        <w:tc>
          <w:tcPr>
            <w:tcW w:w="4214" w:type="pct"/>
            <w:gridSpan w:val="2"/>
            <w:shd w:val="clear" w:color="auto" w:fill="auto"/>
          </w:tcPr>
          <w:p w14:paraId="2008140B" w14:textId="09474A0D" w:rsidR="005473CF" w:rsidRPr="00954D30" w:rsidRDefault="00872134" w:rsidP="00872134">
            <w:pPr>
              <w:keepLines/>
              <w:spacing w:before="120"/>
              <w:ind w:left="567" w:hanging="567"/>
              <w:rPr>
                <w:rFonts w:ascii="Arial" w:hAnsi="Arial" w:cs="Arial"/>
                <w:b/>
                <w:szCs w:val="22"/>
              </w:rPr>
            </w:pPr>
            <w:r w:rsidRPr="00954D30">
              <w:rPr>
                <w:rFonts w:ascii="Arial" w:hAnsi="Arial" w:cs="Arial"/>
                <w:b/>
                <w:szCs w:val="22"/>
              </w:rPr>
              <w:t>26.</w:t>
            </w:r>
            <w:r w:rsidRPr="00954D30">
              <w:rPr>
                <w:rFonts w:ascii="Arial" w:hAnsi="Arial" w:cs="Arial"/>
                <w:b/>
                <w:szCs w:val="22"/>
              </w:rPr>
              <w:tab/>
              <w:t>ICH Fund effectively supports safeguarding and international engagement</w:t>
            </w:r>
          </w:p>
        </w:tc>
      </w:tr>
      <w:tr w:rsidR="005B0FE5" w:rsidRPr="00954D30" w14:paraId="1290C87B" w14:textId="77777777" w:rsidTr="00BE5B3F">
        <w:trPr>
          <w:cantSplit/>
        </w:trPr>
        <w:tc>
          <w:tcPr>
            <w:tcW w:w="786" w:type="pct"/>
            <w:vMerge w:val="restart"/>
            <w:shd w:val="clear" w:color="auto" w:fill="auto"/>
          </w:tcPr>
          <w:p w14:paraId="1E2A88A4" w14:textId="77777777" w:rsidR="005B0FE5" w:rsidRPr="00954D30" w:rsidRDefault="005B0FE5" w:rsidP="00DA2ECC">
            <w:pPr>
              <w:spacing w:before="120"/>
              <w:rPr>
                <w:rFonts w:ascii="Arial" w:hAnsi="Arial" w:cs="Arial"/>
                <w:b/>
                <w:szCs w:val="22"/>
              </w:rPr>
            </w:pPr>
            <w:r w:rsidRPr="00954D30">
              <w:rPr>
                <w:rFonts w:ascii="Arial" w:hAnsi="Arial" w:cs="Arial"/>
                <w:b/>
                <w:szCs w:val="22"/>
              </w:rPr>
              <w:t>Assessment factors</w:t>
            </w:r>
          </w:p>
        </w:tc>
        <w:tc>
          <w:tcPr>
            <w:tcW w:w="4214" w:type="pct"/>
            <w:gridSpan w:val="2"/>
            <w:shd w:val="clear" w:color="auto" w:fill="auto"/>
          </w:tcPr>
          <w:p w14:paraId="60C8CDEC" w14:textId="0C107820" w:rsidR="005B0FE5" w:rsidRPr="00954D30" w:rsidRDefault="005B0FE5" w:rsidP="00946D71">
            <w:pPr>
              <w:keepLines/>
              <w:spacing w:before="120"/>
              <w:jc w:val="both"/>
              <w:rPr>
                <w:rFonts w:ascii="Arial" w:hAnsi="Arial" w:cs="Arial"/>
                <w:b/>
                <w:szCs w:val="22"/>
              </w:rPr>
            </w:pPr>
            <w:r w:rsidRPr="00954D30">
              <w:rPr>
                <w:rFonts w:ascii="Arial" w:hAnsi="Arial" w:cs="Arial"/>
                <w:szCs w:val="22"/>
              </w:rPr>
              <w:t xml:space="preserve">This indicator is assessed on the basis of </w:t>
            </w:r>
            <w:r w:rsidR="00872134" w:rsidRPr="00954D30">
              <w:rPr>
                <w:rFonts w:ascii="Arial" w:hAnsi="Arial" w:cs="Arial"/>
                <w:szCs w:val="22"/>
              </w:rPr>
              <w:t>three global</w:t>
            </w:r>
            <w:r w:rsidRPr="00954D30">
              <w:rPr>
                <w:rFonts w:ascii="Arial" w:hAnsi="Arial" w:cs="Arial"/>
                <w:szCs w:val="22"/>
              </w:rPr>
              <w:t xml:space="preserve">-level factors monitored and reported by </w:t>
            </w:r>
            <w:r w:rsidR="00872134" w:rsidRPr="00954D30">
              <w:rPr>
                <w:rFonts w:ascii="Arial" w:hAnsi="Arial" w:cs="Arial"/>
                <w:szCs w:val="22"/>
              </w:rPr>
              <w:t>the Secretariat</w:t>
            </w:r>
            <w:r w:rsidRPr="00954D30">
              <w:rPr>
                <w:rFonts w:ascii="Arial" w:hAnsi="Arial" w:cs="Arial"/>
                <w:szCs w:val="22"/>
              </w:rPr>
              <w:t>:</w:t>
            </w:r>
          </w:p>
        </w:tc>
      </w:tr>
      <w:tr w:rsidR="00872134" w:rsidRPr="00954D30" w14:paraId="65CBFA6B" w14:textId="77777777" w:rsidTr="00BE5B3F">
        <w:trPr>
          <w:cantSplit/>
        </w:trPr>
        <w:tc>
          <w:tcPr>
            <w:tcW w:w="786" w:type="pct"/>
            <w:vMerge/>
            <w:shd w:val="clear" w:color="auto" w:fill="auto"/>
          </w:tcPr>
          <w:p w14:paraId="5767BFD1" w14:textId="77777777" w:rsidR="00872134" w:rsidRPr="00954D30" w:rsidRDefault="00872134" w:rsidP="00872134">
            <w:pPr>
              <w:spacing w:before="120"/>
              <w:rPr>
                <w:rFonts w:ascii="Arial" w:hAnsi="Arial" w:cs="Arial"/>
                <w:b/>
                <w:szCs w:val="22"/>
              </w:rPr>
            </w:pPr>
          </w:p>
        </w:tc>
        <w:tc>
          <w:tcPr>
            <w:tcW w:w="3418" w:type="pct"/>
            <w:shd w:val="clear" w:color="auto" w:fill="auto"/>
            <w:vAlign w:val="center"/>
          </w:tcPr>
          <w:p w14:paraId="4236AA6A" w14:textId="6BD30385" w:rsidR="00872134" w:rsidRPr="00466E76" w:rsidRDefault="00872134" w:rsidP="00466E76">
            <w:pPr>
              <w:pStyle w:val="ListParagraph"/>
              <w:keepLines/>
              <w:numPr>
                <w:ilvl w:val="1"/>
                <w:numId w:val="75"/>
              </w:numPr>
              <w:spacing w:before="120" w:after="120" w:line="240" w:lineRule="auto"/>
              <w:ind w:left="649" w:hanging="649"/>
              <w:contextualSpacing w:val="0"/>
              <w:rPr>
                <w:rFonts w:ascii="Arial" w:hAnsi="Arial" w:cs="Arial"/>
                <w:sz w:val="20"/>
                <w:szCs w:val="20"/>
                <w:lang w:val="en-GB"/>
              </w:rPr>
            </w:pPr>
            <w:r w:rsidRPr="00466E76">
              <w:rPr>
                <w:rFonts w:ascii="Arial" w:hAnsi="Arial" w:cs="Arial"/>
                <w:sz w:val="20"/>
                <w:szCs w:val="20"/>
                <w:lang w:val="en-GB"/>
              </w:rPr>
              <w:t>States Parties seek financial or technical assistance from the ICH Fund and implement safeguarding programmes resulting from such assistance.</w:t>
            </w:r>
          </w:p>
        </w:tc>
        <w:tc>
          <w:tcPr>
            <w:tcW w:w="796" w:type="pct"/>
            <w:shd w:val="clear" w:color="auto" w:fill="auto"/>
            <w:vAlign w:val="center"/>
          </w:tcPr>
          <w:p w14:paraId="46347727" w14:textId="139A822E" w:rsidR="00872134" w:rsidRPr="00954D30" w:rsidRDefault="00872134" w:rsidP="00872134">
            <w:pPr>
              <w:keepLines/>
              <w:spacing w:before="120"/>
              <w:rPr>
                <w:rFonts w:ascii="Arial" w:hAnsi="Arial" w:cs="Arial"/>
                <w:sz w:val="20"/>
                <w:szCs w:val="20"/>
              </w:rPr>
            </w:pPr>
            <w:r w:rsidRPr="00954D30">
              <w:rPr>
                <w:rFonts w:ascii="Arial" w:hAnsi="Arial" w:cs="Arial"/>
                <w:sz w:val="20"/>
                <w:szCs w:val="20"/>
              </w:rPr>
              <w:t xml:space="preserve">Article 19, </w:t>
            </w:r>
            <w:r w:rsidRPr="00954D30">
              <w:rPr>
                <w:rFonts w:ascii="Arial" w:hAnsi="Arial" w:cs="Arial"/>
                <w:sz w:val="20"/>
                <w:szCs w:val="20"/>
              </w:rPr>
              <w:br/>
              <w:t>Article 21</w:t>
            </w:r>
          </w:p>
        </w:tc>
      </w:tr>
      <w:tr w:rsidR="00872134" w:rsidRPr="00954D30" w14:paraId="3BE33262" w14:textId="77777777" w:rsidTr="00BE5B3F">
        <w:trPr>
          <w:cantSplit/>
        </w:trPr>
        <w:tc>
          <w:tcPr>
            <w:tcW w:w="786" w:type="pct"/>
            <w:vMerge/>
            <w:shd w:val="clear" w:color="auto" w:fill="auto"/>
          </w:tcPr>
          <w:p w14:paraId="5D52C03F" w14:textId="77777777" w:rsidR="00872134" w:rsidRPr="00954D30" w:rsidRDefault="00872134" w:rsidP="00872134">
            <w:pPr>
              <w:spacing w:before="120"/>
              <w:rPr>
                <w:rFonts w:ascii="Arial" w:hAnsi="Arial" w:cs="Arial"/>
                <w:b/>
                <w:szCs w:val="22"/>
              </w:rPr>
            </w:pPr>
          </w:p>
        </w:tc>
        <w:tc>
          <w:tcPr>
            <w:tcW w:w="3418" w:type="pct"/>
            <w:shd w:val="clear" w:color="auto" w:fill="auto"/>
            <w:vAlign w:val="center"/>
          </w:tcPr>
          <w:p w14:paraId="4AA627DF" w14:textId="2D885F11" w:rsidR="00872134" w:rsidRPr="00466E76" w:rsidRDefault="00872134" w:rsidP="00466E76">
            <w:pPr>
              <w:pStyle w:val="ListParagraph"/>
              <w:keepLines/>
              <w:numPr>
                <w:ilvl w:val="1"/>
                <w:numId w:val="75"/>
              </w:numPr>
              <w:spacing w:before="120" w:after="120" w:line="240" w:lineRule="auto"/>
              <w:ind w:left="649" w:hanging="649"/>
              <w:contextualSpacing w:val="0"/>
              <w:rPr>
                <w:rFonts w:ascii="Arial" w:hAnsi="Arial" w:cs="Arial"/>
                <w:sz w:val="20"/>
                <w:szCs w:val="20"/>
                <w:lang w:val="en-GB"/>
              </w:rPr>
            </w:pPr>
            <w:r w:rsidRPr="00466E76">
              <w:rPr>
                <w:rFonts w:ascii="Arial" w:hAnsi="Arial" w:cs="Arial"/>
                <w:sz w:val="20"/>
                <w:szCs w:val="20"/>
                <w:lang w:val="en-GB"/>
              </w:rPr>
              <w:t>States Parties or other entities provide voluntary supplementary contributions to the ICH Fund, for general or specific purposes, in particular the global capacity-building programme.</w:t>
            </w:r>
          </w:p>
        </w:tc>
        <w:tc>
          <w:tcPr>
            <w:tcW w:w="796" w:type="pct"/>
            <w:shd w:val="clear" w:color="auto" w:fill="auto"/>
            <w:vAlign w:val="center"/>
          </w:tcPr>
          <w:p w14:paraId="2980CB85" w14:textId="77777777" w:rsidR="00872134" w:rsidRPr="00954D30" w:rsidRDefault="00872134" w:rsidP="00872134">
            <w:pPr>
              <w:spacing w:before="60" w:after="60"/>
              <w:rPr>
                <w:rFonts w:ascii="Arial" w:hAnsi="Arial" w:cs="Arial"/>
                <w:sz w:val="20"/>
                <w:szCs w:val="20"/>
              </w:rPr>
            </w:pPr>
            <w:r w:rsidRPr="00954D30">
              <w:rPr>
                <w:rFonts w:ascii="Arial" w:hAnsi="Arial" w:cs="Arial"/>
                <w:sz w:val="20"/>
                <w:szCs w:val="20"/>
              </w:rPr>
              <w:t>Article 25.5, Article 27</w:t>
            </w:r>
          </w:p>
          <w:p w14:paraId="635480EF" w14:textId="4D0C789E" w:rsidR="00872134" w:rsidRPr="00954D30" w:rsidRDefault="00872134" w:rsidP="00872134">
            <w:pPr>
              <w:spacing w:before="60" w:after="60"/>
              <w:rPr>
                <w:rFonts w:ascii="Arial" w:hAnsi="Arial" w:cs="Arial"/>
                <w:sz w:val="20"/>
                <w:szCs w:val="20"/>
              </w:rPr>
            </w:pPr>
            <w:r w:rsidRPr="00954D30">
              <w:rPr>
                <w:rFonts w:ascii="Arial" w:hAnsi="Arial" w:cs="Arial"/>
                <w:sz w:val="20"/>
                <w:szCs w:val="20"/>
              </w:rPr>
              <w:t>ODs 68-71</w:t>
            </w:r>
          </w:p>
        </w:tc>
      </w:tr>
      <w:tr w:rsidR="00872134" w:rsidRPr="00954D30" w14:paraId="2FEB307F" w14:textId="77777777" w:rsidTr="00BE5B3F">
        <w:trPr>
          <w:cantSplit/>
        </w:trPr>
        <w:tc>
          <w:tcPr>
            <w:tcW w:w="786" w:type="pct"/>
            <w:vMerge/>
            <w:shd w:val="clear" w:color="auto" w:fill="auto"/>
          </w:tcPr>
          <w:p w14:paraId="1610A01D" w14:textId="77777777" w:rsidR="00872134" w:rsidRPr="00954D30" w:rsidRDefault="00872134" w:rsidP="00872134">
            <w:pPr>
              <w:spacing w:before="120"/>
              <w:rPr>
                <w:rFonts w:ascii="Arial" w:hAnsi="Arial" w:cs="Arial"/>
                <w:b/>
                <w:szCs w:val="22"/>
              </w:rPr>
            </w:pPr>
          </w:p>
        </w:tc>
        <w:tc>
          <w:tcPr>
            <w:tcW w:w="3418" w:type="pct"/>
            <w:shd w:val="clear" w:color="auto" w:fill="auto"/>
            <w:vAlign w:val="center"/>
          </w:tcPr>
          <w:p w14:paraId="16DB2917" w14:textId="051691A0" w:rsidR="00872134" w:rsidRPr="00466E76" w:rsidRDefault="00872134" w:rsidP="00466E76">
            <w:pPr>
              <w:pStyle w:val="ListParagraph"/>
              <w:keepLines/>
              <w:numPr>
                <w:ilvl w:val="1"/>
                <w:numId w:val="75"/>
              </w:numPr>
              <w:spacing w:before="120" w:after="120" w:line="240" w:lineRule="auto"/>
              <w:ind w:left="649" w:hanging="649"/>
              <w:contextualSpacing w:val="0"/>
              <w:rPr>
                <w:rFonts w:ascii="Arial" w:hAnsi="Arial" w:cs="Arial"/>
                <w:sz w:val="20"/>
                <w:szCs w:val="20"/>
                <w:lang w:val="en-GB"/>
              </w:rPr>
            </w:pPr>
            <w:r w:rsidRPr="00466E76">
              <w:rPr>
                <w:rFonts w:ascii="Arial" w:hAnsi="Arial" w:cs="Arial"/>
                <w:sz w:val="20"/>
                <w:szCs w:val="20"/>
                <w:lang w:val="en-GB"/>
              </w:rPr>
              <w:t>The ICH Fund is utilized to support costs of participation in the meetings of the governing bodies of the Convention by a wide range of stakeholders, including ICH experts and accredited NGOs from developing countries, public and private bodies, as well as members of communities and groups, invited to those meetings to act in an advisory capacity.</w:t>
            </w:r>
          </w:p>
        </w:tc>
        <w:tc>
          <w:tcPr>
            <w:tcW w:w="796" w:type="pct"/>
            <w:shd w:val="clear" w:color="auto" w:fill="auto"/>
            <w:vAlign w:val="center"/>
          </w:tcPr>
          <w:p w14:paraId="727C344A" w14:textId="77777777" w:rsidR="00872134" w:rsidRPr="00954D30" w:rsidRDefault="00872134" w:rsidP="00872134">
            <w:pPr>
              <w:spacing w:before="60" w:after="60"/>
              <w:rPr>
                <w:rFonts w:ascii="Arial" w:hAnsi="Arial" w:cs="Arial"/>
                <w:sz w:val="20"/>
                <w:szCs w:val="20"/>
              </w:rPr>
            </w:pPr>
            <w:r w:rsidRPr="00954D30">
              <w:rPr>
                <w:rFonts w:ascii="Arial" w:hAnsi="Arial" w:cs="Arial"/>
                <w:sz w:val="20"/>
                <w:szCs w:val="20"/>
              </w:rPr>
              <w:t xml:space="preserve">Article 8, </w:t>
            </w:r>
            <w:r w:rsidRPr="00954D30">
              <w:rPr>
                <w:rFonts w:ascii="Arial" w:hAnsi="Arial" w:cs="Arial"/>
                <w:sz w:val="20"/>
                <w:szCs w:val="20"/>
              </w:rPr>
              <w:br/>
              <w:t>Article 9</w:t>
            </w:r>
          </w:p>
          <w:p w14:paraId="70C425CE" w14:textId="21EEF47E" w:rsidR="00872134" w:rsidRPr="00954D30" w:rsidRDefault="00872134" w:rsidP="00872134">
            <w:pPr>
              <w:keepLines/>
              <w:spacing w:before="120"/>
              <w:rPr>
                <w:rFonts w:ascii="Arial" w:hAnsi="Arial" w:cs="Arial"/>
                <w:sz w:val="20"/>
                <w:szCs w:val="20"/>
              </w:rPr>
            </w:pPr>
            <w:r w:rsidRPr="00954D30">
              <w:rPr>
                <w:rFonts w:ascii="Arial" w:hAnsi="Arial" w:cs="Arial"/>
                <w:sz w:val="20"/>
                <w:szCs w:val="20"/>
              </w:rPr>
              <w:t>OD 67</w:t>
            </w:r>
          </w:p>
        </w:tc>
      </w:tr>
      <w:tr w:rsidR="005473CF" w:rsidRPr="00954D30" w14:paraId="585A4F2B" w14:textId="77777777" w:rsidTr="00BE5B3F">
        <w:trPr>
          <w:cantSplit/>
        </w:trPr>
        <w:tc>
          <w:tcPr>
            <w:tcW w:w="786" w:type="pct"/>
            <w:shd w:val="clear" w:color="auto" w:fill="auto"/>
          </w:tcPr>
          <w:p w14:paraId="77970C8F" w14:textId="77777777" w:rsidR="005473CF" w:rsidRPr="00954D30" w:rsidRDefault="005473CF" w:rsidP="005473CF">
            <w:pPr>
              <w:spacing w:before="120"/>
              <w:rPr>
                <w:rFonts w:ascii="Arial" w:hAnsi="Arial" w:cs="Arial"/>
                <w:b/>
                <w:szCs w:val="22"/>
              </w:rPr>
            </w:pPr>
            <w:r w:rsidRPr="00954D30">
              <w:rPr>
                <w:rFonts w:ascii="Arial" w:hAnsi="Arial" w:cs="Arial"/>
                <w:b/>
                <w:szCs w:val="22"/>
              </w:rPr>
              <w:t>Relation with SDGs and other indicators</w:t>
            </w:r>
          </w:p>
        </w:tc>
        <w:tc>
          <w:tcPr>
            <w:tcW w:w="4214" w:type="pct"/>
            <w:gridSpan w:val="2"/>
            <w:shd w:val="clear" w:color="auto" w:fill="auto"/>
          </w:tcPr>
          <w:p w14:paraId="18BBFD71" w14:textId="7108FE6C" w:rsidR="00954D30" w:rsidRPr="00145763" w:rsidRDefault="005473CF" w:rsidP="00CD659E">
            <w:pPr>
              <w:keepLines/>
              <w:spacing w:before="120"/>
              <w:jc w:val="both"/>
              <w:rPr>
                <w:rFonts w:asciiTheme="minorBidi" w:eastAsia="SimSun" w:hAnsiTheme="minorBidi" w:cstheme="minorBidi"/>
                <w:szCs w:val="22"/>
                <w:lang w:eastAsia="en-US" w:bidi="he-IL"/>
              </w:rPr>
            </w:pPr>
            <w:r w:rsidRPr="00954D30">
              <w:rPr>
                <w:rFonts w:ascii="Arial" w:hAnsi="Arial" w:cs="Arial"/>
                <w:b/>
                <w:bCs/>
                <w:szCs w:val="22"/>
              </w:rPr>
              <w:t xml:space="preserve">Sustainable Development Goals: </w:t>
            </w:r>
            <w:r w:rsidR="00954D30" w:rsidRPr="00954D30">
              <w:rPr>
                <w:rFonts w:ascii="Arial" w:hAnsi="Arial" w:cs="Arial"/>
                <w:szCs w:val="22"/>
              </w:rPr>
              <w:t xml:space="preserve">Given the SDGs’ focus on promoting international cooperation and assistance (including financial assistance), the present indicator supports a number of </w:t>
            </w:r>
            <w:r w:rsidR="001C7632">
              <w:rPr>
                <w:rFonts w:ascii="Arial" w:hAnsi="Arial" w:cs="Arial"/>
                <w:szCs w:val="22"/>
              </w:rPr>
              <w:t>goals and targets</w:t>
            </w:r>
            <w:r w:rsidR="00954D30" w:rsidRPr="00954D30">
              <w:rPr>
                <w:rFonts w:ascii="Arial" w:hAnsi="Arial" w:cs="Arial"/>
                <w:szCs w:val="22"/>
              </w:rPr>
              <w:t>. For example, SDG Target 1.a is to ‘e</w:t>
            </w:r>
            <w:r w:rsidR="00954D30" w:rsidRPr="00954D30">
              <w:rPr>
                <w:rFonts w:asciiTheme="minorBidi" w:eastAsia="SimSun" w:hAnsiTheme="minorBidi" w:cstheme="minorBidi"/>
                <w:szCs w:val="22"/>
                <w:lang w:eastAsia="en-US" w:bidi="he-IL"/>
              </w:rPr>
              <w:t xml:space="preserve">nsure significant mobilization of resources from a variety of sources, including through enhanced development cooperation, in order to provide adequate and predictable means for developing countries, in particular least developed countries, to implement programmes and policies to end poverty in all its dimensions.’ </w:t>
            </w:r>
            <w:r w:rsidR="00954D30">
              <w:rPr>
                <w:rFonts w:asciiTheme="minorBidi" w:eastAsia="SimSun" w:hAnsiTheme="minorBidi" w:cstheme="minorBidi"/>
                <w:szCs w:val="22"/>
                <w:lang w:eastAsia="en-US" w:bidi="he-IL"/>
              </w:rPr>
              <w:t xml:space="preserve">SGD Target 10.b specifically prioritizes financial assistance to ‘States where the need is greatest, in particular least developed countries, African countries, small island developing States and landlocked </w:t>
            </w:r>
            <w:r w:rsidR="00954D30" w:rsidRPr="00CD659E">
              <w:rPr>
                <w:rFonts w:ascii="Arial" w:hAnsi="Arial" w:cs="Arial"/>
                <w:szCs w:val="22"/>
              </w:rPr>
              <w:t>developing</w:t>
            </w:r>
            <w:r w:rsidR="00954D30">
              <w:rPr>
                <w:rFonts w:asciiTheme="minorBidi" w:eastAsia="SimSun" w:hAnsiTheme="minorBidi" w:cstheme="minorBidi"/>
                <w:szCs w:val="22"/>
                <w:lang w:eastAsia="en-US" w:bidi="he-IL"/>
              </w:rPr>
              <w:t xml:space="preserve"> countries’, while SDG Target 17.3 is to ‘mobilize additional financial resources for developing countries from multiple sources’ and SDG Target 17.9 refers to international support for capacity building in developing countries. Assessment Factor 26.3 supports SDG Target 16.8, ‘broaden and strengthen the participation of developing countries in the institutions of global governance.’</w:t>
            </w:r>
            <w:r w:rsidR="00E56C89">
              <w:rPr>
                <w:rFonts w:asciiTheme="minorBidi" w:eastAsia="SimSun" w:hAnsiTheme="minorBidi" w:cstheme="minorBidi"/>
                <w:szCs w:val="22"/>
                <w:lang w:eastAsia="en-US" w:bidi="he-IL"/>
              </w:rPr>
              <w:t xml:space="preserve"> Of course, this indicator also supports SDG Target 11.4, ‘strengthen efforts to protect and safeguard the world’s cultural and natural heritage.’</w:t>
            </w:r>
          </w:p>
          <w:p w14:paraId="6F743676" w14:textId="3866F3A1" w:rsidR="005473CF" w:rsidRPr="00145763" w:rsidRDefault="005473CF" w:rsidP="00882769">
            <w:pPr>
              <w:keepLines/>
              <w:spacing w:before="120"/>
              <w:jc w:val="both"/>
              <w:rPr>
                <w:rFonts w:ascii="Arial" w:hAnsi="Arial" w:cs="Arial"/>
                <w:bCs/>
                <w:szCs w:val="22"/>
              </w:rPr>
            </w:pPr>
            <w:r w:rsidRPr="00954D30">
              <w:rPr>
                <w:rFonts w:ascii="Arial" w:hAnsi="Arial" w:cs="Arial"/>
                <w:b/>
                <w:szCs w:val="22"/>
              </w:rPr>
              <w:t>Relation to other indicators:</w:t>
            </w:r>
            <w:r w:rsidRPr="00954D30">
              <w:rPr>
                <w:rFonts w:ascii="Arial" w:hAnsi="Arial" w:cs="Arial"/>
                <w:bCs/>
                <w:szCs w:val="22"/>
              </w:rPr>
              <w:t xml:space="preserve"> </w:t>
            </w:r>
            <w:r w:rsidR="00E56C89">
              <w:rPr>
                <w:rFonts w:ascii="Arial" w:hAnsi="Arial" w:cs="Arial"/>
                <w:bCs/>
                <w:szCs w:val="22"/>
              </w:rPr>
              <w:t xml:space="preserve">The present indicator complements a number of other indicators involved with specific safeguarding activities, </w:t>
            </w:r>
            <w:r w:rsidR="00882769">
              <w:rPr>
                <w:rFonts w:ascii="Arial" w:hAnsi="Arial" w:cs="Arial"/>
                <w:bCs/>
                <w:szCs w:val="22"/>
              </w:rPr>
              <w:t xml:space="preserve">since </w:t>
            </w:r>
            <w:r w:rsidR="00E56C89">
              <w:rPr>
                <w:rFonts w:ascii="Arial" w:hAnsi="Arial" w:cs="Arial"/>
                <w:bCs/>
                <w:szCs w:val="22"/>
              </w:rPr>
              <w:t xml:space="preserve">assistance from the </w:t>
            </w:r>
            <w:r w:rsidR="00882769">
              <w:rPr>
                <w:rFonts w:ascii="Arial" w:hAnsi="Arial" w:cs="Arial"/>
                <w:bCs/>
                <w:szCs w:val="22"/>
              </w:rPr>
              <w:t>Fund for the Safeguarding of Intangible Cultural Heritage (</w:t>
            </w:r>
            <w:r w:rsidR="00E56C89">
              <w:rPr>
                <w:rFonts w:ascii="Arial" w:hAnsi="Arial" w:cs="Arial"/>
                <w:bCs/>
                <w:szCs w:val="22"/>
              </w:rPr>
              <w:t>ICH Fund</w:t>
            </w:r>
            <w:r w:rsidR="00882769">
              <w:rPr>
                <w:rFonts w:ascii="Arial" w:hAnsi="Arial" w:cs="Arial"/>
                <w:bCs/>
                <w:szCs w:val="22"/>
              </w:rPr>
              <w:t>)</w:t>
            </w:r>
            <w:r w:rsidR="00E56C89">
              <w:rPr>
                <w:rFonts w:ascii="Arial" w:hAnsi="Arial" w:cs="Arial"/>
                <w:bCs/>
                <w:szCs w:val="22"/>
              </w:rPr>
              <w:t xml:space="preserve"> </w:t>
            </w:r>
            <w:r w:rsidR="00533F6A">
              <w:rPr>
                <w:rFonts w:ascii="Arial" w:hAnsi="Arial" w:cs="Arial"/>
                <w:bCs/>
                <w:szCs w:val="22"/>
              </w:rPr>
              <w:t>can be used for safeguarding programmes of all sorts. With specific reference to support to the global capacity-building programme, this indicator complements Indicators 2 and 3. Assessment Factor 26.3 complements Indicator 23 which concerns those actors invited by the Committee to participate in an advisory or consultative capacity.</w:t>
            </w:r>
          </w:p>
        </w:tc>
      </w:tr>
      <w:tr w:rsidR="00896177" w:rsidRPr="00954D30" w14:paraId="449BFC85" w14:textId="77777777" w:rsidTr="00BE5B3F">
        <w:trPr>
          <w:cantSplit/>
        </w:trPr>
        <w:tc>
          <w:tcPr>
            <w:tcW w:w="786" w:type="pct"/>
            <w:shd w:val="clear" w:color="auto" w:fill="auto"/>
          </w:tcPr>
          <w:p w14:paraId="1B9BF9AB" w14:textId="77777777" w:rsidR="00896177" w:rsidRPr="00954D30" w:rsidRDefault="002C28BA" w:rsidP="00A7283F">
            <w:pPr>
              <w:spacing w:before="120"/>
              <w:rPr>
                <w:rFonts w:ascii="Arial" w:hAnsi="Arial" w:cs="Arial"/>
                <w:b/>
                <w:szCs w:val="22"/>
              </w:rPr>
            </w:pPr>
            <w:r w:rsidRPr="00954D30">
              <w:rPr>
                <w:rFonts w:ascii="Arial" w:hAnsi="Arial" w:cs="Arial"/>
                <w:b/>
                <w:szCs w:val="22"/>
              </w:rPr>
              <w:lastRenderedPageBreak/>
              <w:t>Rationale for action</w:t>
            </w:r>
          </w:p>
        </w:tc>
        <w:tc>
          <w:tcPr>
            <w:tcW w:w="4214" w:type="pct"/>
            <w:gridSpan w:val="2"/>
            <w:shd w:val="clear" w:color="auto" w:fill="auto"/>
          </w:tcPr>
          <w:p w14:paraId="49C5CED1" w14:textId="66BB1229" w:rsidR="00704766" w:rsidRPr="00954D30" w:rsidRDefault="00B1234E" w:rsidP="00882769">
            <w:pPr>
              <w:keepLines/>
              <w:spacing w:before="120"/>
              <w:jc w:val="both"/>
              <w:rPr>
                <w:rFonts w:asciiTheme="minorBidi" w:hAnsiTheme="minorBidi" w:cstheme="minorBidi"/>
                <w:szCs w:val="22"/>
              </w:rPr>
            </w:pPr>
            <w:r w:rsidRPr="00B1234E">
              <w:rPr>
                <w:rFonts w:asciiTheme="minorBidi" w:hAnsiTheme="minorBidi" w:cstheme="minorBidi"/>
                <w:szCs w:val="22"/>
              </w:rPr>
              <w:t>As noted with regard to Indicator</w:t>
            </w:r>
            <w:r>
              <w:rPr>
                <w:rFonts w:asciiTheme="minorBidi" w:hAnsiTheme="minorBidi" w:cstheme="minorBidi"/>
                <w:szCs w:val="22"/>
              </w:rPr>
              <w:t>s</w:t>
            </w:r>
            <w:r w:rsidRPr="00B1234E">
              <w:rPr>
                <w:rFonts w:asciiTheme="minorBidi" w:hAnsiTheme="minorBidi" w:cstheme="minorBidi"/>
                <w:szCs w:val="22"/>
              </w:rPr>
              <w:t xml:space="preserve"> 24</w:t>
            </w:r>
            <w:r>
              <w:rPr>
                <w:rFonts w:asciiTheme="minorBidi" w:hAnsiTheme="minorBidi" w:cstheme="minorBidi"/>
                <w:szCs w:val="22"/>
              </w:rPr>
              <w:t xml:space="preserve"> and 25</w:t>
            </w:r>
            <w:r w:rsidRPr="00B1234E">
              <w:rPr>
                <w:rFonts w:asciiTheme="minorBidi" w:hAnsiTheme="minorBidi" w:cstheme="minorBidi"/>
                <w:szCs w:val="22"/>
              </w:rPr>
              <w:t xml:space="preserve">, one of the Convention’s four purposes is ‘to provide for international cooperation and assistance’ (Article 1(d)), and the Convention further defines international cooperation to include </w:t>
            </w:r>
            <w:r>
              <w:rPr>
                <w:rFonts w:asciiTheme="minorBidi" w:hAnsiTheme="minorBidi" w:cstheme="minorBidi"/>
                <w:szCs w:val="22"/>
              </w:rPr>
              <w:t>‘</w:t>
            </w:r>
            <w:r w:rsidRPr="00B1234E">
              <w:rPr>
                <w:rFonts w:asciiTheme="minorBidi" w:hAnsiTheme="minorBidi" w:cstheme="minorBidi"/>
                <w:szCs w:val="22"/>
              </w:rPr>
              <w:t>the establishment of a</w:t>
            </w:r>
            <w:r>
              <w:rPr>
                <w:rFonts w:asciiTheme="minorBidi" w:hAnsiTheme="minorBidi" w:cstheme="minorBidi"/>
                <w:szCs w:val="22"/>
              </w:rPr>
              <w:t xml:space="preserve"> </w:t>
            </w:r>
            <w:r w:rsidRPr="00B1234E">
              <w:rPr>
                <w:rFonts w:asciiTheme="minorBidi" w:hAnsiTheme="minorBidi" w:cstheme="minorBidi"/>
                <w:szCs w:val="22"/>
              </w:rPr>
              <w:t>mechanism of assistance to States in their efforts to safeguard the intangible cultural</w:t>
            </w:r>
            <w:r>
              <w:rPr>
                <w:rFonts w:asciiTheme="minorBidi" w:hAnsiTheme="minorBidi" w:cstheme="minorBidi"/>
                <w:szCs w:val="22"/>
              </w:rPr>
              <w:t xml:space="preserve"> </w:t>
            </w:r>
            <w:r w:rsidRPr="00B1234E">
              <w:rPr>
                <w:rFonts w:asciiTheme="minorBidi" w:hAnsiTheme="minorBidi" w:cstheme="minorBidi"/>
                <w:szCs w:val="22"/>
              </w:rPr>
              <w:t>heritage</w:t>
            </w:r>
            <w:r>
              <w:rPr>
                <w:rFonts w:asciiTheme="minorBidi" w:hAnsiTheme="minorBidi" w:cstheme="minorBidi"/>
                <w:szCs w:val="22"/>
              </w:rPr>
              <w:t xml:space="preserve">’ </w:t>
            </w:r>
            <w:r w:rsidRPr="00B1234E">
              <w:rPr>
                <w:rFonts w:asciiTheme="minorBidi" w:hAnsiTheme="minorBidi" w:cstheme="minorBidi"/>
                <w:szCs w:val="22"/>
              </w:rPr>
              <w:t>(Article 19).</w:t>
            </w:r>
            <w:r>
              <w:rPr>
                <w:rFonts w:asciiTheme="minorBidi" w:hAnsiTheme="minorBidi" w:cstheme="minorBidi"/>
                <w:szCs w:val="22"/>
              </w:rPr>
              <w:t xml:space="preserve"> To </w:t>
            </w:r>
            <w:r w:rsidR="005E6DA7">
              <w:rPr>
                <w:rFonts w:asciiTheme="minorBidi" w:hAnsiTheme="minorBidi" w:cstheme="minorBidi"/>
                <w:szCs w:val="22"/>
              </w:rPr>
              <w:t>support</w:t>
            </w:r>
            <w:r>
              <w:rPr>
                <w:rFonts w:asciiTheme="minorBidi" w:hAnsiTheme="minorBidi" w:cstheme="minorBidi"/>
                <w:szCs w:val="22"/>
              </w:rPr>
              <w:t xml:space="preserve"> such assistance, the Convention establishes the </w:t>
            </w:r>
            <w:r w:rsidR="00882769">
              <w:rPr>
                <w:rFonts w:asciiTheme="minorBidi" w:hAnsiTheme="minorBidi" w:cstheme="minorBidi"/>
                <w:szCs w:val="22"/>
              </w:rPr>
              <w:t>ICH</w:t>
            </w:r>
            <w:r>
              <w:rPr>
                <w:rFonts w:asciiTheme="minorBidi" w:hAnsiTheme="minorBidi" w:cstheme="minorBidi"/>
                <w:szCs w:val="22"/>
              </w:rPr>
              <w:t xml:space="preserve"> Fund, and invites States to make voluntary supplementary contributions to that Fund, in addition to their annual contributions (Article 27), further specifying that such contributions may be used for general and specific purposes (Article 25.5)</w:t>
            </w:r>
            <w:r w:rsidR="005E6DA7">
              <w:rPr>
                <w:rFonts w:asciiTheme="minorBidi" w:hAnsiTheme="minorBidi" w:cstheme="minorBidi"/>
                <w:szCs w:val="22"/>
              </w:rPr>
              <w:t>. T</w:t>
            </w:r>
            <w:r>
              <w:rPr>
                <w:rFonts w:asciiTheme="minorBidi" w:hAnsiTheme="minorBidi" w:cstheme="minorBidi"/>
                <w:szCs w:val="22"/>
              </w:rPr>
              <w:t xml:space="preserve">he governing bodies have attached particular importance to capacity building as a focus for such </w:t>
            </w:r>
            <w:r w:rsidR="005E6DA7">
              <w:rPr>
                <w:rFonts w:asciiTheme="minorBidi" w:hAnsiTheme="minorBidi" w:cstheme="minorBidi"/>
                <w:szCs w:val="22"/>
              </w:rPr>
              <w:t xml:space="preserve">supplementary </w:t>
            </w:r>
            <w:r>
              <w:rPr>
                <w:rFonts w:asciiTheme="minorBidi" w:hAnsiTheme="minorBidi" w:cstheme="minorBidi"/>
                <w:szCs w:val="22"/>
              </w:rPr>
              <w:t>contributions. Finally, the Committee, ‘i</w:t>
            </w:r>
            <w:r w:rsidRPr="00B1234E">
              <w:rPr>
                <w:rFonts w:asciiTheme="minorBidi" w:hAnsiTheme="minorBidi" w:cstheme="minorBidi"/>
                <w:szCs w:val="22"/>
              </w:rPr>
              <w:t>n order to ensure a fair representation within the Committee of the various geographical</w:t>
            </w:r>
            <w:r>
              <w:rPr>
                <w:rFonts w:asciiTheme="minorBidi" w:hAnsiTheme="minorBidi" w:cstheme="minorBidi"/>
                <w:szCs w:val="22"/>
              </w:rPr>
              <w:t xml:space="preserve"> </w:t>
            </w:r>
            <w:r w:rsidRPr="00B1234E">
              <w:rPr>
                <w:rFonts w:asciiTheme="minorBidi" w:hAnsiTheme="minorBidi" w:cstheme="minorBidi"/>
                <w:szCs w:val="22"/>
              </w:rPr>
              <w:t>areas,</w:t>
            </w:r>
            <w:r>
              <w:rPr>
                <w:rFonts w:asciiTheme="minorBidi" w:hAnsiTheme="minorBidi" w:cstheme="minorBidi"/>
                <w:szCs w:val="22"/>
              </w:rPr>
              <w:t xml:space="preserve">’ </w:t>
            </w:r>
            <w:r w:rsidR="005E6DA7">
              <w:rPr>
                <w:rFonts w:asciiTheme="minorBidi" w:hAnsiTheme="minorBidi" w:cstheme="minorBidi"/>
                <w:szCs w:val="22"/>
              </w:rPr>
              <w:t xml:space="preserve">provides in its Rules of Procedure </w:t>
            </w:r>
            <w:r>
              <w:rPr>
                <w:rFonts w:asciiTheme="minorBidi" w:hAnsiTheme="minorBidi" w:cstheme="minorBidi"/>
                <w:szCs w:val="22"/>
              </w:rPr>
              <w:t xml:space="preserve">that </w:t>
            </w:r>
            <w:r w:rsidR="00A52574">
              <w:rPr>
                <w:rFonts w:asciiTheme="minorBidi" w:hAnsiTheme="minorBidi" w:cstheme="minorBidi"/>
                <w:szCs w:val="22"/>
              </w:rPr>
              <w:t xml:space="preserve">financial </w:t>
            </w:r>
            <w:r>
              <w:rPr>
                <w:rFonts w:asciiTheme="minorBidi" w:hAnsiTheme="minorBidi" w:cstheme="minorBidi"/>
                <w:szCs w:val="22"/>
              </w:rPr>
              <w:t>assistance be available to facilitate participation in its sessions by a wide range of ICH actors, particularly those from developing countries.</w:t>
            </w:r>
          </w:p>
        </w:tc>
      </w:tr>
      <w:tr w:rsidR="00704766" w:rsidRPr="00954D30" w14:paraId="13A5E994" w14:textId="77777777" w:rsidTr="00BE5B3F">
        <w:trPr>
          <w:cantSplit/>
        </w:trPr>
        <w:tc>
          <w:tcPr>
            <w:tcW w:w="786" w:type="pct"/>
            <w:shd w:val="clear" w:color="auto" w:fill="auto"/>
          </w:tcPr>
          <w:p w14:paraId="12ECB7E3" w14:textId="77777777" w:rsidR="00704766" w:rsidRPr="00954D30" w:rsidRDefault="00704766" w:rsidP="00BE5B3F">
            <w:pPr>
              <w:spacing w:before="120" w:after="60"/>
              <w:jc w:val="both"/>
              <w:rPr>
                <w:rFonts w:asciiTheme="minorBidi" w:hAnsiTheme="minorBidi" w:cstheme="minorBidi"/>
                <w:b/>
                <w:szCs w:val="22"/>
              </w:rPr>
            </w:pPr>
            <w:r w:rsidRPr="00954D30">
              <w:rPr>
                <w:rFonts w:asciiTheme="minorBidi" w:hAnsiTheme="minorBidi" w:cstheme="minorBidi"/>
                <w:b/>
                <w:szCs w:val="22"/>
              </w:rPr>
              <w:t>Key terms</w:t>
            </w:r>
          </w:p>
        </w:tc>
        <w:tc>
          <w:tcPr>
            <w:tcW w:w="4214" w:type="pct"/>
            <w:gridSpan w:val="2"/>
            <w:shd w:val="clear" w:color="auto" w:fill="auto"/>
          </w:tcPr>
          <w:p w14:paraId="6E809B2D" w14:textId="77777777" w:rsidR="00704766" w:rsidRPr="00954D30" w:rsidRDefault="00872134" w:rsidP="00704766">
            <w:pPr>
              <w:pStyle w:val="ListParagraph"/>
              <w:numPr>
                <w:ilvl w:val="0"/>
                <w:numId w:val="71"/>
              </w:numPr>
              <w:spacing w:before="120" w:after="120"/>
              <w:ind w:left="714" w:hanging="357"/>
              <w:jc w:val="both"/>
              <w:rPr>
                <w:rFonts w:asciiTheme="minorBidi" w:hAnsiTheme="minorBidi" w:cstheme="minorBidi"/>
                <w:lang w:val="en-GB"/>
              </w:rPr>
            </w:pPr>
            <w:r w:rsidRPr="00954D30">
              <w:rPr>
                <w:rFonts w:asciiTheme="minorBidi" w:hAnsiTheme="minorBidi" w:cstheme="minorBidi"/>
                <w:lang w:val="en-GB"/>
              </w:rPr>
              <w:t>Stakeholders</w:t>
            </w:r>
          </w:p>
          <w:p w14:paraId="1F92B449" w14:textId="1062C07C" w:rsidR="00872134" w:rsidRPr="00954D30" w:rsidRDefault="00882769"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Non-governmental organizations</w:t>
            </w:r>
          </w:p>
          <w:p w14:paraId="1E573C02" w14:textId="5B686089" w:rsidR="00872134" w:rsidRPr="00954D30" w:rsidRDefault="00872134" w:rsidP="00704766">
            <w:pPr>
              <w:pStyle w:val="ListParagraph"/>
              <w:numPr>
                <w:ilvl w:val="0"/>
                <w:numId w:val="71"/>
              </w:numPr>
              <w:spacing w:before="120" w:after="120"/>
              <w:ind w:left="714" w:hanging="357"/>
              <w:jc w:val="both"/>
              <w:rPr>
                <w:rFonts w:asciiTheme="minorBidi" w:hAnsiTheme="minorBidi" w:cstheme="minorBidi"/>
                <w:lang w:val="en-GB"/>
              </w:rPr>
            </w:pPr>
            <w:r w:rsidRPr="00954D30">
              <w:rPr>
                <w:rFonts w:asciiTheme="minorBidi" w:hAnsiTheme="minorBidi" w:cstheme="minorBidi"/>
                <w:lang w:val="en-GB"/>
              </w:rPr>
              <w:t>Communities, groups or, in some cases, individuals</w:t>
            </w:r>
          </w:p>
        </w:tc>
      </w:tr>
    </w:tbl>
    <w:p w14:paraId="5EFE85DD" w14:textId="77777777" w:rsidR="0054175C" w:rsidRPr="00954D30" w:rsidRDefault="0054175C" w:rsidP="0054175C">
      <w:pPr>
        <w:jc w:val="center"/>
        <w:rPr>
          <w:rFonts w:ascii="Arial" w:hAnsi="Arial" w:cs="Arial"/>
          <w:b/>
          <w:sz w:val="24"/>
        </w:rPr>
        <w:sectPr w:rsidR="0054175C" w:rsidRPr="00954D30" w:rsidSect="000F25BA">
          <w:headerReference w:type="default" r:id="rId8"/>
          <w:footerReference w:type="default" r:id="rId9"/>
          <w:pgSz w:w="11906" w:h="16838" w:code="9"/>
          <w:pgMar w:top="1418" w:right="1134" w:bottom="1134" w:left="1134" w:header="397" w:footer="284" w:gutter="0"/>
          <w:cols w:space="708"/>
          <w:docGrid w:linePitch="360"/>
        </w:sectPr>
      </w:pPr>
    </w:p>
    <w:p w14:paraId="65626AD7" w14:textId="77777777" w:rsidR="0054175C" w:rsidRPr="00954D30" w:rsidRDefault="0054175C" w:rsidP="005E4B0E">
      <w:pPr>
        <w:keepNext/>
        <w:jc w:val="center"/>
        <w:rPr>
          <w:rFonts w:ascii="Arial" w:hAnsi="Arial" w:cs="Arial"/>
          <w:b/>
          <w:sz w:val="24"/>
        </w:rPr>
      </w:pPr>
      <w:r w:rsidRPr="00954D30">
        <w:rPr>
          <w:rFonts w:ascii="Arial" w:hAnsi="Arial" w:cs="Arial"/>
          <w:b/>
          <w:sz w:val="24"/>
        </w:rPr>
        <w:t>Specific guidance on monitoring and periodic reporting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8222"/>
      </w:tblGrid>
      <w:tr w:rsidR="009C0510" w:rsidRPr="00954D30" w14:paraId="2BBEA479" w14:textId="77777777" w:rsidTr="005473CF">
        <w:tc>
          <w:tcPr>
            <w:tcW w:w="730" w:type="pct"/>
            <w:shd w:val="clear" w:color="auto" w:fill="auto"/>
          </w:tcPr>
          <w:p w14:paraId="0BA9A81B" w14:textId="77777777" w:rsidR="002C28BA" w:rsidRPr="00954D30" w:rsidRDefault="002C28BA" w:rsidP="006B0DB6">
            <w:pPr>
              <w:spacing w:before="120"/>
              <w:rPr>
                <w:rFonts w:ascii="Arial" w:hAnsi="Arial" w:cs="Arial"/>
                <w:b/>
                <w:szCs w:val="22"/>
              </w:rPr>
            </w:pPr>
            <w:r w:rsidRPr="00954D30">
              <w:rPr>
                <w:rFonts w:ascii="Arial" w:hAnsi="Arial" w:cs="Arial"/>
                <w:b/>
                <w:szCs w:val="22"/>
              </w:rPr>
              <w:t>Benefits of monitoring</w:t>
            </w:r>
          </w:p>
        </w:tc>
        <w:tc>
          <w:tcPr>
            <w:tcW w:w="4270" w:type="pct"/>
            <w:shd w:val="clear" w:color="auto" w:fill="auto"/>
          </w:tcPr>
          <w:p w14:paraId="06A2B9CD" w14:textId="377F1A35" w:rsidR="002C28BA" w:rsidRPr="00954D30" w:rsidRDefault="00916F78" w:rsidP="00A52574">
            <w:pPr>
              <w:keepLines/>
              <w:spacing w:before="120"/>
              <w:jc w:val="both"/>
              <w:rPr>
                <w:rFonts w:ascii="Arial" w:hAnsi="Arial" w:cs="Arial"/>
                <w:bCs/>
                <w:szCs w:val="22"/>
              </w:rPr>
            </w:pPr>
            <w:r>
              <w:rPr>
                <w:rFonts w:ascii="Arial" w:hAnsi="Arial" w:cs="Arial"/>
                <w:bCs/>
                <w:szCs w:val="22"/>
              </w:rPr>
              <w:t xml:space="preserve">Monitoring of this indicator at the global level can assist the Committee to assess the effectiveness of the assistance it provides through the ICH Fund, and can draw attention to possible barriers limiting participation from developing countries in one or another region. Global-level monitoring can also </w:t>
            </w:r>
            <w:r w:rsidR="00A52574">
              <w:rPr>
                <w:rFonts w:ascii="Arial" w:hAnsi="Arial" w:cs="Arial"/>
                <w:bCs/>
                <w:szCs w:val="22"/>
              </w:rPr>
              <w:t xml:space="preserve">highlight </w:t>
            </w:r>
            <w:r>
              <w:rPr>
                <w:rFonts w:ascii="Arial" w:hAnsi="Arial" w:cs="Arial"/>
                <w:bCs/>
                <w:szCs w:val="22"/>
              </w:rPr>
              <w:t xml:space="preserve">trends among donor countries and identify potential funding gaps so the Committee can take measures to increase the rate of supplementary contributions. Finally, monitoring of assistance to support participation in </w:t>
            </w:r>
            <w:r w:rsidRPr="00916F78">
              <w:rPr>
                <w:rFonts w:ascii="Arial" w:hAnsi="Arial" w:cs="Arial"/>
                <w:bCs/>
                <w:szCs w:val="22"/>
              </w:rPr>
              <w:t>meetings of the governing bodies of the Convention by a wide range of stakeholders</w:t>
            </w:r>
            <w:r>
              <w:rPr>
                <w:rFonts w:ascii="Arial" w:hAnsi="Arial" w:cs="Arial"/>
                <w:bCs/>
                <w:szCs w:val="22"/>
              </w:rPr>
              <w:t xml:space="preserve"> can help ensure that the widest possible participation can be achieved.</w:t>
            </w:r>
          </w:p>
        </w:tc>
      </w:tr>
      <w:tr w:rsidR="0054175C" w:rsidRPr="00954D30" w14:paraId="3DFC9271" w14:textId="77777777" w:rsidTr="005473CF">
        <w:tc>
          <w:tcPr>
            <w:tcW w:w="730" w:type="pct"/>
            <w:shd w:val="clear" w:color="auto" w:fill="auto"/>
          </w:tcPr>
          <w:p w14:paraId="4BB875DF" w14:textId="77777777" w:rsidR="0054175C" w:rsidRPr="00954D30" w:rsidRDefault="0054175C" w:rsidP="0054175C">
            <w:pPr>
              <w:spacing w:before="120"/>
              <w:rPr>
                <w:rFonts w:ascii="Arial" w:hAnsi="Arial" w:cs="Arial"/>
                <w:b/>
                <w:szCs w:val="22"/>
              </w:rPr>
            </w:pPr>
            <w:r w:rsidRPr="00954D30">
              <w:rPr>
                <w:rFonts w:ascii="Arial" w:hAnsi="Arial" w:cs="Arial"/>
                <w:b/>
                <w:szCs w:val="22"/>
              </w:rPr>
              <w:t>Data sources and collection</w:t>
            </w:r>
          </w:p>
        </w:tc>
        <w:tc>
          <w:tcPr>
            <w:tcW w:w="4270" w:type="pct"/>
            <w:shd w:val="clear" w:color="auto" w:fill="auto"/>
          </w:tcPr>
          <w:p w14:paraId="1B010AD1" w14:textId="28EDEA20" w:rsidR="00013961" w:rsidRPr="00F866CD" w:rsidRDefault="00013961" w:rsidP="00013961">
            <w:pPr>
              <w:spacing w:before="120"/>
              <w:jc w:val="both"/>
              <w:rPr>
                <w:rFonts w:ascii="Arial" w:hAnsi="Arial" w:cs="Arial"/>
                <w:szCs w:val="22"/>
              </w:rPr>
            </w:pPr>
            <w:r>
              <w:rPr>
                <w:rFonts w:ascii="Arial" w:hAnsi="Arial" w:cs="Arial"/>
                <w:szCs w:val="22"/>
              </w:rPr>
              <w:t xml:space="preserve">This indicator is monitored at the global level by the Secretariat, which maintains a database </w:t>
            </w:r>
            <w:r w:rsidR="00A52574">
              <w:rPr>
                <w:rFonts w:ascii="Arial" w:hAnsi="Arial" w:cs="Arial"/>
                <w:szCs w:val="22"/>
              </w:rPr>
              <w:t xml:space="preserve">and other tools </w:t>
            </w:r>
            <w:r>
              <w:rPr>
                <w:rFonts w:ascii="Arial" w:hAnsi="Arial" w:cs="Arial"/>
                <w:szCs w:val="22"/>
              </w:rPr>
              <w:t xml:space="preserve">with detailed information about the ICH Fund, its income (including voluntary supplementary contributions) and its expenditures (both for </w:t>
            </w:r>
            <w:r w:rsidR="00A52574">
              <w:rPr>
                <w:rFonts w:ascii="Arial" w:hAnsi="Arial" w:cs="Arial"/>
                <w:szCs w:val="22"/>
              </w:rPr>
              <w:t>I</w:t>
            </w:r>
            <w:r>
              <w:rPr>
                <w:rFonts w:ascii="Arial" w:hAnsi="Arial" w:cs="Arial"/>
                <w:szCs w:val="22"/>
              </w:rPr>
              <w:t xml:space="preserve">nternational </w:t>
            </w:r>
            <w:r w:rsidR="00A52574">
              <w:rPr>
                <w:rFonts w:ascii="Arial" w:hAnsi="Arial" w:cs="Arial"/>
                <w:szCs w:val="22"/>
              </w:rPr>
              <w:t>A</w:t>
            </w:r>
            <w:r>
              <w:rPr>
                <w:rFonts w:ascii="Arial" w:hAnsi="Arial" w:cs="Arial"/>
                <w:szCs w:val="22"/>
              </w:rPr>
              <w:t xml:space="preserve">ssistance and to </w:t>
            </w:r>
            <w:r w:rsidR="00AE15EE">
              <w:rPr>
                <w:rFonts w:ascii="Arial" w:hAnsi="Arial" w:cs="Arial"/>
                <w:szCs w:val="22"/>
              </w:rPr>
              <w:t xml:space="preserve">support </w:t>
            </w:r>
            <w:r>
              <w:rPr>
                <w:rFonts w:ascii="Arial" w:hAnsi="Arial" w:cs="Arial"/>
                <w:szCs w:val="22"/>
              </w:rPr>
              <w:t xml:space="preserve">the costs of participation in meetings of the governing bodies). The Secretariat’s database also </w:t>
            </w:r>
            <w:r w:rsidR="00396CFF">
              <w:rPr>
                <w:rFonts w:ascii="Arial" w:hAnsi="Arial" w:cs="Arial"/>
                <w:szCs w:val="22"/>
              </w:rPr>
              <w:t xml:space="preserve">supports publication of </w:t>
            </w:r>
            <w:r>
              <w:rPr>
                <w:rFonts w:ascii="Arial" w:hAnsi="Arial" w:cs="Arial"/>
                <w:szCs w:val="22"/>
              </w:rPr>
              <w:t>detailed information on funding requests</w:t>
            </w:r>
            <w:r w:rsidR="00A52574">
              <w:rPr>
                <w:rFonts w:ascii="Arial" w:hAnsi="Arial" w:cs="Arial"/>
                <w:szCs w:val="22"/>
              </w:rPr>
              <w:t xml:space="preserve"> </w:t>
            </w:r>
            <w:r>
              <w:rPr>
                <w:rFonts w:ascii="Arial" w:hAnsi="Arial" w:cs="Arial"/>
                <w:szCs w:val="22"/>
              </w:rPr>
              <w:t xml:space="preserve">on the website of the Convention. Activities resulting from </w:t>
            </w:r>
            <w:r w:rsidR="00A52574">
              <w:rPr>
                <w:rFonts w:ascii="Arial" w:hAnsi="Arial" w:cs="Arial"/>
                <w:szCs w:val="22"/>
              </w:rPr>
              <w:t>I</w:t>
            </w:r>
            <w:r>
              <w:rPr>
                <w:rFonts w:ascii="Arial" w:hAnsi="Arial" w:cs="Arial"/>
                <w:szCs w:val="22"/>
              </w:rPr>
              <w:t xml:space="preserve">nternational </w:t>
            </w:r>
            <w:r w:rsidR="00A52574">
              <w:rPr>
                <w:rFonts w:ascii="Arial" w:hAnsi="Arial" w:cs="Arial"/>
                <w:szCs w:val="22"/>
              </w:rPr>
              <w:t>A</w:t>
            </w:r>
            <w:r>
              <w:rPr>
                <w:rFonts w:ascii="Arial" w:hAnsi="Arial" w:cs="Arial"/>
                <w:szCs w:val="22"/>
              </w:rPr>
              <w:t xml:space="preserve">ssistance are also the subject of regular reports to the Committee from the beneficiary State Party (Article 24.3); such reports are also </w:t>
            </w:r>
            <w:r w:rsidR="00A52574">
              <w:rPr>
                <w:rFonts w:ascii="Arial" w:hAnsi="Arial" w:cs="Arial"/>
                <w:szCs w:val="22"/>
              </w:rPr>
              <w:t xml:space="preserve">made available </w:t>
            </w:r>
            <w:r>
              <w:rPr>
                <w:rFonts w:ascii="Arial" w:hAnsi="Arial" w:cs="Arial"/>
                <w:szCs w:val="22"/>
              </w:rPr>
              <w:t>on the Convention</w:t>
            </w:r>
            <w:r w:rsidR="00A52574">
              <w:rPr>
                <w:rFonts w:ascii="Arial" w:hAnsi="Arial" w:cs="Arial"/>
                <w:szCs w:val="22"/>
              </w:rPr>
              <w:t>’s</w:t>
            </w:r>
            <w:r>
              <w:rPr>
                <w:rFonts w:ascii="Arial" w:hAnsi="Arial" w:cs="Arial"/>
                <w:szCs w:val="22"/>
              </w:rPr>
              <w:t xml:space="preserve"> website.</w:t>
            </w:r>
          </w:p>
          <w:p w14:paraId="1208B6C4" w14:textId="77777777" w:rsidR="00013961" w:rsidRPr="00F866CD" w:rsidRDefault="00013961" w:rsidP="00013961">
            <w:pPr>
              <w:keepNext/>
              <w:spacing w:before="120" w:after="60"/>
              <w:jc w:val="both"/>
              <w:rPr>
                <w:rFonts w:ascii="Arial" w:hAnsi="Arial" w:cs="Arial"/>
                <w:b/>
                <w:szCs w:val="22"/>
              </w:rPr>
            </w:pPr>
            <w:r w:rsidRPr="00F866CD">
              <w:rPr>
                <w:rFonts w:ascii="Arial" w:hAnsi="Arial" w:cs="Arial"/>
                <w:b/>
                <w:szCs w:val="22"/>
              </w:rPr>
              <w:t>Possible data sources</w:t>
            </w:r>
          </w:p>
          <w:p w14:paraId="73583193" w14:textId="79E65E10" w:rsidR="00013961" w:rsidRDefault="00013961" w:rsidP="00013961">
            <w:pPr>
              <w:pStyle w:val="ListParagraph"/>
              <w:numPr>
                <w:ilvl w:val="0"/>
                <w:numId w:val="73"/>
              </w:numPr>
              <w:spacing w:before="120"/>
              <w:jc w:val="both"/>
              <w:rPr>
                <w:rFonts w:ascii="Arial" w:hAnsi="Arial" w:cs="Arial"/>
                <w:lang w:val="en-GB"/>
              </w:rPr>
            </w:pPr>
            <w:r>
              <w:rPr>
                <w:rFonts w:ascii="Arial" w:hAnsi="Arial" w:cs="Arial"/>
                <w:lang w:val="en-GB"/>
              </w:rPr>
              <w:t xml:space="preserve">Database </w:t>
            </w:r>
            <w:r w:rsidR="00A52574">
              <w:rPr>
                <w:rFonts w:ascii="Arial" w:hAnsi="Arial" w:cs="Arial"/>
              </w:rPr>
              <w:t xml:space="preserve">and other tools </w:t>
            </w:r>
            <w:r>
              <w:rPr>
                <w:rFonts w:ascii="Arial" w:hAnsi="Arial" w:cs="Arial"/>
                <w:lang w:val="en-GB"/>
              </w:rPr>
              <w:t>maintained by the Secretariat</w:t>
            </w:r>
          </w:p>
          <w:p w14:paraId="211F0481" w14:textId="48AFF2C5" w:rsidR="0054175C" w:rsidRPr="00954D30" w:rsidRDefault="00013961" w:rsidP="00A52574">
            <w:pPr>
              <w:pStyle w:val="ListParagraph"/>
              <w:numPr>
                <w:ilvl w:val="0"/>
                <w:numId w:val="73"/>
              </w:numPr>
              <w:spacing w:before="120"/>
              <w:jc w:val="both"/>
              <w:rPr>
                <w:rFonts w:ascii="Arial" w:hAnsi="Arial" w:cs="Arial"/>
                <w:lang w:val="en-GB"/>
              </w:rPr>
            </w:pPr>
            <w:r>
              <w:rPr>
                <w:rFonts w:ascii="Arial" w:hAnsi="Arial" w:cs="Arial"/>
                <w:lang w:val="en-GB"/>
              </w:rPr>
              <w:t xml:space="preserve">Reports to the Committee from beneficiary States Parties concerning </w:t>
            </w:r>
            <w:r w:rsidR="00A52574">
              <w:rPr>
                <w:rFonts w:ascii="Arial" w:hAnsi="Arial" w:cs="Arial"/>
                <w:lang w:val="en-GB"/>
              </w:rPr>
              <w:t>I</w:t>
            </w:r>
            <w:r>
              <w:rPr>
                <w:rFonts w:ascii="Arial" w:hAnsi="Arial" w:cs="Arial"/>
                <w:lang w:val="en-GB"/>
              </w:rPr>
              <w:t xml:space="preserve">nternational </w:t>
            </w:r>
            <w:r w:rsidR="00A52574">
              <w:rPr>
                <w:rFonts w:ascii="Arial" w:hAnsi="Arial" w:cs="Arial"/>
                <w:lang w:val="en-GB"/>
              </w:rPr>
              <w:t>A</w:t>
            </w:r>
            <w:r>
              <w:rPr>
                <w:rFonts w:ascii="Arial" w:hAnsi="Arial" w:cs="Arial"/>
                <w:lang w:val="en-GB"/>
              </w:rPr>
              <w:t>ssistance received</w:t>
            </w:r>
          </w:p>
        </w:tc>
      </w:tr>
    </w:tbl>
    <w:p w14:paraId="533500A7" w14:textId="77777777" w:rsidR="00320242" w:rsidRPr="00954D30" w:rsidRDefault="00320242" w:rsidP="00A5709F">
      <w:pPr>
        <w:rPr>
          <w:rFonts w:ascii="Arial" w:hAnsi="Arial" w:cs="Arial"/>
        </w:rPr>
      </w:pPr>
      <w:bookmarkStart w:id="0" w:name="_GoBack"/>
      <w:bookmarkEnd w:id="0"/>
    </w:p>
    <w:sectPr w:rsidR="00320242" w:rsidRPr="00954D30"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A6251" w14:textId="77777777" w:rsidR="006F2A31" w:rsidRDefault="006F2A31" w:rsidP="002938F2">
      <w:r>
        <w:separator/>
      </w:r>
    </w:p>
    <w:p w14:paraId="274A988A" w14:textId="77777777" w:rsidR="006F2A31" w:rsidRDefault="006F2A31"/>
  </w:endnote>
  <w:endnote w:type="continuationSeparator" w:id="0">
    <w:p w14:paraId="437B8D68" w14:textId="77777777" w:rsidR="006F2A31" w:rsidRDefault="006F2A31" w:rsidP="002938F2">
      <w:r>
        <w:continuationSeparator/>
      </w:r>
    </w:p>
    <w:p w14:paraId="75ECA386" w14:textId="77777777" w:rsidR="006F2A31" w:rsidRDefault="006F2A31"/>
  </w:endnote>
  <w:endnote w:type="continuationNotice" w:id="1">
    <w:p w14:paraId="440F344C" w14:textId="77777777" w:rsidR="006F2A31" w:rsidRDefault="006F2A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893DF" w14:textId="161D197E" w:rsidR="00C04344" w:rsidRPr="000A0709" w:rsidRDefault="000F25BA" w:rsidP="000A0709">
    <w:pPr>
      <w:pStyle w:val="Footer"/>
      <w:jc w:val="center"/>
      <w:rPr>
        <w:rFonts w:ascii="Arial" w:hAnsi="Arial"/>
      </w:rPr>
    </w:pPr>
    <w:r w:rsidRPr="000F25BA">
      <w:rPr>
        <w:rFonts w:ascii="Arial" w:hAnsi="Arial" w:cs="Arial"/>
      </w:rPr>
      <w:fldChar w:fldCharType="begin"/>
    </w:r>
    <w:r w:rsidRPr="000F25BA">
      <w:rPr>
        <w:rFonts w:ascii="Arial" w:hAnsi="Arial" w:cs="Arial"/>
      </w:rPr>
      <w:instrText xml:space="preserve"> PAGE   \* MERGEFORMAT </w:instrText>
    </w:r>
    <w:r w:rsidRPr="000F25BA">
      <w:rPr>
        <w:rFonts w:ascii="Arial" w:hAnsi="Arial" w:cs="Arial"/>
      </w:rPr>
      <w:fldChar w:fldCharType="separate"/>
    </w:r>
    <w:r w:rsidR="00466E76">
      <w:rPr>
        <w:rFonts w:ascii="Arial" w:hAnsi="Arial" w:cs="Arial"/>
        <w:noProof/>
      </w:rPr>
      <w:t>1</w:t>
    </w:r>
    <w:r w:rsidRPr="000F25B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B5FF1" w14:textId="77777777" w:rsidR="006F2A31" w:rsidRDefault="006F2A31" w:rsidP="002938F2">
      <w:r>
        <w:separator/>
      </w:r>
    </w:p>
  </w:footnote>
  <w:footnote w:type="continuationSeparator" w:id="0">
    <w:p w14:paraId="58E8FFED" w14:textId="77777777" w:rsidR="006F2A31" w:rsidRDefault="006F2A31" w:rsidP="002938F2">
      <w:r>
        <w:continuationSeparator/>
      </w:r>
    </w:p>
    <w:p w14:paraId="7DAF0E45" w14:textId="77777777" w:rsidR="006F2A31" w:rsidRDefault="006F2A31"/>
  </w:footnote>
  <w:footnote w:type="continuationNotice" w:id="1">
    <w:p w14:paraId="47F319D9" w14:textId="77777777" w:rsidR="006F2A31" w:rsidRDefault="006F2A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BDE97" w14:textId="77777777" w:rsidR="0074125C" w:rsidRDefault="00741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93A08B6"/>
    <w:multiLevelType w:val="multilevel"/>
    <w:tmpl w:val="E2C43C88"/>
    <w:lvl w:ilvl="0">
      <w:start w:val="26"/>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3"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4"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7"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8"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1"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3"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5"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7"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9"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26"/>
  </w:num>
  <w:num w:numId="3">
    <w:abstractNumId w:val="12"/>
  </w:num>
  <w:num w:numId="4">
    <w:abstractNumId w:val="55"/>
  </w:num>
  <w:num w:numId="5">
    <w:abstractNumId w:val="46"/>
  </w:num>
  <w:num w:numId="6">
    <w:abstractNumId w:val="4"/>
  </w:num>
  <w:num w:numId="7">
    <w:abstractNumId w:val="16"/>
  </w:num>
  <w:num w:numId="8">
    <w:abstractNumId w:val="25"/>
  </w:num>
  <w:num w:numId="9">
    <w:abstractNumId w:val="49"/>
  </w:num>
  <w:num w:numId="10">
    <w:abstractNumId w:val="25"/>
  </w:num>
  <w:num w:numId="11">
    <w:abstractNumId w:val="25"/>
  </w:num>
  <w:num w:numId="12">
    <w:abstractNumId w:val="25"/>
  </w:num>
  <w:num w:numId="13">
    <w:abstractNumId w:val="25"/>
  </w:num>
  <w:num w:numId="14">
    <w:abstractNumId w:val="25"/>
  </w:num>
  <w:num w:numId="15">
    <w:abstractNumId w:val="25"/>
  </w:num>
  <w:num w:numId="16">
    <w:abstractNumId w:val="23"/>
  </w:num>
  <w:num w:numId="17">
    <w:abstractNumId w:val="39"/>
  </w:num>
  <w:num w:numId="18">
    <w:abstractNumId w:val="25"/>
  </w:num>
  <w:num w:numId="19">
    <w:abstractNumId w:val="25"/>
  </w:num>
  <w:num w:numId="20">
    <w:abstractNumId w:val="25"/>
  </w:num>
  <w:num w:numId="21">
    <w:abstractNumId w:val="25"/>
  </w:num>
  <w:num w:numId="22">
    <w:abstractNumId w:val="25"/>
  </w:num>
  <w:num w:numId="23">
    <w:abstractNumId w:val="25"/>
  </w:num>
  <w:num w:numId="24">
    <w:abstractNumId w:val="25"/>
  </w:num>
  <w:num w:numId="25">
    <w:abstractNumId w:val="25"/>
  </w:num>
  <w:num w:numId="26">
    <w:abstractNumId w:val="53"/>
  </w:num>
  <w:num w:numId="27">
    <w:abstractNumId w:val="25"/>
  </w:num>
  <w:num w:numId="28">
    <w:abstractNumId w:val="25"/>
  </w:num>
  <w:num w:numId="29">
    <w:abstractNumId w:val="25"/>
  </w:num>
  <w:num w:numId="30">
    <w:abstractNumId w:val="25"/>
  </w:num>
  <w:num w:numId="31">
    <w:abstractNumId w:val="10"/>
  </w:num>
  <w:num w:numId="32">
    <w:abstractNumId w:val="8"/>
  </w:num>
  <w:num w:numId="33">
    <w:abstractNumId w:val="17"/>
  </w:num>
  <w:num w:numId="34">
    <w:abstractNumId w:val="47"/>
  </w:num>
  <w:num w:numId="35">
    <w:abstractNumId w:val="21"/>
  </w:num>
  <w:num w:numId="36">
    <w:abstractNumId w:val="41"/>
  </w:num>
  <w:num w:numId="37">
    <w:abstractNumId w:val="18"/>
  </w:num>
  <w:num w:numId="38">
    <w:abstractNumId w:val="9"/>
  </w:num>
  <w:num w:numId="39">
    <w:abstractNumId w:val="6"/>
  </w:num>
  <w:num w:numId="40">
    <w:abstractNumId w:val="20"/>
  </w:num>
  <w:num w:numId="41">
    <w:abstractNumId w:val="54"/>
  </w:num>
  <w:num w:numId="42">
    <w:abstractNumId w:val="51"/>
  </w:num>
  <w:num w:numId="43">
    <w:abstractNumId w:val="29"/>
  </w:num>
  <w:num w:numId="44">
    <w:abstractNumId w:val="13"/>
  </w:num>
  <w:num w:numId="45">
    <w:abstractNumId w:val="52"/>
  </w:num>
  <w:num w:numId="46">
    <w:abstractNumId w:val="5"/>
  </w:num>
  <w:num w:numId="47">
    <w:abstractNumId w:val="36"/>
  </w:num>
  <w:num w:numId="48">
    <w:abstractNumId w:val="56"/>
  </w:num>
  <w:num w:numId="49">
    <w:abstractNumId w:val="32"/>
  </w:num>
  <w:num w:numId="50">
    <w:abstractNumId w:val="30"/>
  </w:num>
  <w:num w:numId="51">
    <w:abstractNumId w:val="27"/>
  </w:num>
  <w:num w:numId="52">
    <w:abstractNumId w:val="38"/>
  </w:num>
  <w:num w:numId="53">
    <w:abstractNumId w:val="15"/>
  </w:num>
  <w:num w:numId="54">
    <w:abstractNumId w:val="1"/>
  </w:num>
  <w:num w:numId="55">
    <w:abstractNumId w:val="34"/>
  </w:num>
  <w:num w:numId="56">
    <w:abstractNumId w:val="40"/>
  </w:num>
  <w:num w:numId="57">
    <w:abstractNumId w:val="0"/>
  </w:num>
  <w:num w:numId="58">
    <w:abstractNumId w:val="3"/>
  </w:num>
  <w:num w:numId="59">
    <w:abstractNumId w:val="44"/>
  </w:num>
  <w:num w:numId="60">
    <w:abstractNumId w:val="2"/>
  </w:num>
  <w:num w:numId="61">
    <w:abstractNumId w:val="31"/>
  </w:num>
  <w:num w:numId="62">
    <w:abstractNumId w:val="22"/>
  </w:num>
  <w:num w:numId="63">
    <w:abstractNumId w:val="48"/>
  </w:num>
  <w:num w:numId="64">
    <w:abstractNumId w:val="19"/>
  </w:num>
  <w:num w:numId="65">
    <w:abstractNumId w:val="24"/>
  </w:num>
  <w:num w:numId="66">
    <w:abstractNumId w:val="45"/>
  </w:num>
  <w:num w:numId="67">
    <w:abstractNumId w:val="37"/>
  </w:num>
  <w:num w:numId="68">
    <w:abstractNumId w:val="14"/>
  </w:num>
  <w:num w:numId="69">
    <w:abstractNumId w:val="42"/>
  </w:num>
  <w:num w:numId="70">
    <w:abstractNumId w:val="33"/>
  </w:num>
  <w:num w:numId="71">
    <w:abstractNumId w:val="28"/>
  </w:num>
  <w:num w:numId="72">
    <w:abstractNumId w:val="50"/>
  </w:num>
  <w:num w:numId="73">
    <w:abstractNumId w:val="7"/>
  </w:num>
  <w:num w:numId="74">
    <w:abstractNumId w:val="35"/>
  </w:num>
  <w:num w:numId="75">
    <w:abstractNumId w:val="1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134"/>
    <w:rsid w:val="000016A4"/>
    <w:rsid w:val="000019DB"/>
    <w:rsid w:val="000047CC"/>
    <w:rsid w:val="00005BA5"/>
    <w:rsid w:val="00005BFA"/>
    <w:rsid w:val="00006F66"/>
    <w:rsid w:val="00010E2D"/>
    <w:rsid w:val="000120FD"/>
    <w:rsid w:val="00013961"/>
    <w:rsid w:val="00013A65"/>
    <w:rsid w:val="0001506E"/>
    <w:rsid w:val="00015B9D"/>
    <w:rsid w:val="0001601A"/>
    <w:rsid w:val="00021831"/>
    <w:rsid w:val="00022C19"/>
    <w:rsid w:val="00031A37"/>
    <w:rsid w:val="00036843"/>
    <w:rsid w:val="00047E58"/>
    <w:rsid w:val="00054FDC"/>
    <w:rsid w:val="000632E2"/>
    <w:rsid w:val="0007203D"/>
    <w:rsid w:val="000729D2"/>
    <w:rsid w:val="00073D20"/>
    <w:rsid w:val="00074E7D"/>
    <w:rsid w:val="000755E1"/>
    <w:rsid w:val="0007681B"/>
    <w:rsid w:val="000769F1"/>
    <w:rsid w:val="00083694"/>
    <w:rsid w:val="00085541"/>
    <w:rsid w:val="00092AE6"/>
    <w:rsid w:val="00093063"/>
    <w:rsid w:val="000A0709"/>
    <w:rsid w:val="000A0F0D"/>
    <w:rsid w:val="000A112A"/>
    <w:rsid w:val="000A21DA"/>
    <w:rsid w:val="000A34CE"/>
    <w:rsid w:val="000C03BF"/>
    <w:rsid w:val="000C15BD"/>
    <w:rsid w:val="000C65E4"/>
    <w:rsid w:val="000C7EE0"/>
    <w:rsid w:val="000D1EBC"/>
    <w:rsid w:val="000D260B"/>
    <w:rsid w:val="000D345F"/>
    <w:rsid w:val="000D7375"/>
    <w:rsid w:val="000E2EE7"/>
    <w:rsid w:val="000F25BA"/>
    <w:rsid w:val="000F2B3F"/>
    <w:rsid w:val="000F7E6F"/>
    <w:rsid w:val="00106B72"/>
    <w:rsid w:val="00106D19"/>
    <w:rsid w:val="0011334A"/>
    <w:rsid w:val="00115830"/>
    <w:rsid w:val="00116489"/>
    <w:rsid w:val="0011750D"/>
    <w:rsid w:val="00121B41"/>
    <w:rsid w:val="001301DF"/>
    <w:rsid w:val="001412DE"/>
    <w:rsid w:val="001418A1"/>
    <w:rsid w:val="00142D78"/>
    <w:rsid w:val="00144A4D"/>
    <w:rsid w:val="00145763"/>
    <w:rsid w:val="00151351"/>
    <w:rsid w:val="00156788"/>
    <w:rsid w:val="001609A1"/>
    <w:rsid w:val="00162554"/>
    <w:rsid w:val="00163F68"/>
    <w:rsid w:val="00173B50"/>
    <w:rsid w:val="00173E0E"/>
    <w:rsid w:val="00174B39"/>
    <w:rsid w:val="00183F6C"/>
    <w:rsid w:val="00194802"/>
    <w:rsid w:val="00194AEB"/>
    <w:rsid w:val="001A431C"/>
    <w:rsid w:val="001A5519"/>
    <w:rsid w:val="001A7C3A"/>
    <w:rsid w:val="001B5C26"/>
    <w:rsid w:val="001C08BC"/>
    <w:rsid w:val="001C56BA"/>
    <w:rsid w:val="001C6D7D"/>
    <w:rsid w:val="001C7632"/>
    <w:rsid w:val="001D00B5"/>
    <w:rsid w:val="001D3B29"/>
    <w:rsid w:val="001D59C8"/>
    <w:rsid w:val="001E4EEB"/>
    <w:rsid w:val="001E6026"/>
    <w:rsid w:val="001F3696"/>
    <w:rsid w:val="001F37CA"/>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5E42"/>
    <w:rsid w:val="00266B45"/>
    <w:rsid w:val="0027198B"/>
    <w:rsid w:val="00273658"/>
    <w:rsid w:val="00281AA4"/>
    <w:rsid w:val="00282A9D"/>
    <w:rsid w:val="00286C0C"/>
    <w:rsid w:val="00287687"/>
    <w:rsid w:val="00290D5F"/>
    <w:rsid w:val="002938F2"/>
    <w:rsid w:val="00293CCC"/>
    <w:rsid w:val="002A195D"/>
    <w:rsid w:val="002B43D6"/>
    <w:rsid w:val="002B6B98"/>
    <w:rsid w:val="002C28BA"/>
    <w:rsid w:val="002C3B8F"/>
    <w:rsid w:val="002C444C"/>
    <w:rsid w:val="002C5021"/>
    <w:rsid w:val="002C5280"/>
    <w:rsid w:val="002C5C29"/>
    <w:rsid w:val="002D396D"/>
    <w:rsid w:val="002D71D4"/>
    <w:rsid w:val="002E113D"/>
    <w:rsid w:val="002F17E1"/>
    <w:rsid w:val="003043A9"/>
    <w:rsid w:val="0030454E"/>
    <w:rsid w:val="00320242"/>
    <w:rsid w:val="00322A3A"/>
    <w:rsid w:val="00324A32"/>
    <w:rsid w:val="00325D6E"/>
    <w:rsid w:val="00334977"/>
    <w:rsid w:val="00337194"/>
    <w:rsid w:val="00342EE8"/>
    <w:rsid w:val="00344D78"/>
    <w:rsid w:val="00346517"/>
    <w:rsid w:val="00351CCB"/>
    <w:rsid w:val="0035648A"/>
    <w:rsid w:val="00362B41"/>
    <w:rsid w:val="00363995"/>
    <w:rsid w:val="00364E5E"/>
    <w:rsid w:val="00370E9B"/>
    <w:rsid w:val="00377E4B"/>
    <w:rsid w:val="00383BA9"/>
    <w:rsid w:val="003845B0"/>
    <w:rsid w:val="00385B34"/>
    <w:rsid w:val="00386C08"/>
    <w:rsid w:val="00387D88"/>
    <w:rsid w:val="0039446E"/>
    <w:rsid w:val="00396CFF"/>
    <w:rsid w:val="003A260A"/>
    <w:rsid w:val="003A2BC4"/>
    <w:rsid w:val="003B31BE"/>
    <w:rsid w:val="003B504D"/>
    <w:rsid w:val="003C7065"/>
    <w:rsid w:val="003D2E0D"/>
    <w:rsid w:val="003D5113"/>
    <w:rsid w:val="003D5BFC"/>
    <w:rsid w:val="003D6E10"/>
    <w:rsid w:val="003E0C0F"/>
    <w:rsid w:val="003E0E28"/>
    <w:rsid w:val="003E19D5"/>
    <w:rsid w:val="003E76A8"/>
    <w:rsid w:val="003F5B90"/>
    <w:rsid w:val="00404856"/>
    <w:rsid w:val="00406ED7"/>
    <w:rsid w:val="004108B6"/>
    <w:rsid w:val="0041110F"/>
    <w:rsid w:val="0041300C"/>
    <w:rsid w:val="00414B68"/>
    <w:rsid w:val="00430ED2"/>
    <w:rsid w:val="00434773"/>
    <w:rsid w:val="004367F5"/>
    <w:rsid w:val="004458C9"/>
    <w:rsid w:val="00447C66"/>
    <w:rsid w:val="00462F38"/>
    <w:rsid w:val="00466E76"/>
    <w:rsid w:val="00471B34"/>
    <w:rsid w:val="00474AFE"/>
    <w:rsid w:val="00477E66"/>
    <w:rsid w:val="00480809"/>
    <w:rsid w:val="004831C7"/>
    <w:rsid w:val="00486A5E"/>
    <w:rsid w:val="00493F92"/>
    <w:rsid w:val="004A0C2B"/>
    <w:rsid w:val="004A610E"/>
    <w:rsid w:val="004C20E2"/>
    <w:rsid w:val="004E056C"/>
    <w:rsid w:val="004E2817"/>
    <w:rsid w:val="004E2AE8"/>
    <w:rsid w:val="004E418A"/>
    <w:rsid w:val="005016FB"/>
    <w:rsid w:val="00504256"/>
    <w:rsid w:val="00511D17"/>
    <w:rsid w:val="005157E2"/>
    <w:rsid w:val="0051699F"/>
    <w:rsid w:val="00516DE3"/>
    <w:rsid w:val="005300BF"/>
    <w:rsid w:val="00532631"/>
    <w:rsid w:val="00533F6A"/>
    <w:rsid w:val="005414A1"/>
    <w:rsid w:val="0054175C"/>
    <w:rsid w:val="005473CF"/>
    <w:rsid w:val="00570355"/>
    <w:rsid w:val="00574530"/>
    <w:rsid w:val="0058142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E3A3E"/>
    <w:rsid w:val="005E4B0E"/>
    <w:rsid w:val="005E6A2B"/>
    <w:rsid w:val="005E6DA7"/>
    <w:rsid w:val="005E7C7C"/>
    <w:rsid w:val="00601DD6"/>
    <w:rsid w:val="006032AE"/>
    <w:rsid w:val="00603F71"/>
    <w:rsid w:val="00605202"/>
    <w:rsid w:val="00621092"/>
    <w:rsid w:val="00621208"/>
    <w:rsid w:val="00632B30"/>
    <w:rsid w:val="006340A1"/>
    <w:rsid w:val="00636760"/>
    <w:rsid w:val="00644B92"/>
    <w:rsid w:val="00645B77"/>
    <w:rsid w:val="0065099D"/>
    <w:rsid w:val="006515C9"/>
    <w:rsid w:val="00651944"/>
    <w:rsid w:val="00652318"/>
    <w:rsid w:val="00652484"/>
    <w:rsid w:val="00653314"/>
    <w:rsid w:val="0067005F"/>
    <w:rsid w:val="0067015A"/>
    <w:rsid w:val="006736EC"/>
    <w:rsid w:val="00673D90"/>
    <w:rsid w:val="00676C1E"/>
    <w:rsid w:val="00686D60"/>
    <w:rsid w:val="00691869"/>
    <w:rsid w:val="006A0D86"/>
    <w:rsid w:val="006A49AE"/>
    <w:rsid w:val="006A56C0"/>
    <w:rsid w:val="006C0911"/>
    <w:rsid w:val="006C737A"/>
    <w:rsid w:val="006D46FB"/>
    <w:rsid w:val="006E29C0"/>
    <w:rsid w:val="006E752A"/>
    <w:rsid w:val="006E7CF0"/>
    <w:rsid w:val="006F2A31"/>
    <w:rsid w:val="006F3E83"/>
    <w:rsid w:val="006F4B83"/>
    <w:rsid w:val="006F7F47"/>
    <w:rsid w:val="00701458"/>
    <w:rsid w:val="00701D7E"/>
    <w:rsid w:val="00704766"/>
    <w:rsid w:val="007119B8"/>
    <w:rsid w:val="0072415E"/>
    <w:rsid w:val="007247D7"/>
    <w:rsid w:val="007250E3"/>
    <w:rsid w:val="007277C8"/>
    <w:rsid w:val="00732057"/>
    <w:rsid w:val="007368A2"/>
    <w:rsid w:val="0074125C"/>
    <w:rsid w:val="007418AE"/>
    <w:rsid w:val="00742DD1"/>
    <w:rsid w:val="0074360F"/>
    <w:rsid w:val="00746204"/>
    <w:rsid w:val="00747715"/>
    <w:rsid w:val="00747F86"/>
    <w:rsid w:val="00750138"/>
    <w:rsid w:val="00753DA3"/>
    <w:rsid w:val="007610D3"/>
    <w:rsid w:val="007629DB"/>
    <w:rsid w:val="00764F50"/>
    <w:rsid w:val="00767871"/>
    <w:rsid w:val="00770A92"/>
    <w:rsid w:val="00774D9C"/>
    <w:rsid w:val="00776A63"/>
    <w:rsid w:val="00790C65"/>
    <w:rsid w:val="0079316B"/>
    <w:rsid w:val="007A0565"/>
    <w:rsid w:val="007A0EAA"/>
    <w:rsid w:val="007A1247"/>
    <w:rsid w:val="007A1E0A"/>
    <w:rsid w:val="007A6F91"/>
    <w:rsid w:val="007A7D45"/>
    <w:rsid w:val="007B4ADA"/>
    <w:rsid w:val="007C105C"/>
    <w:rsid w:val="007C1B00"/>
    <w:rsid w:val="007D0F1D"/>
    <w:rsid w:val="007D2881"/>
    <w:rsid w:val="007D31CE"/>
    <w:rsid w:val="007D3AD8"/>
    <w:rsid w:val="007D5BB7"/>
    <w:rsid w:val="007D6A69"/>
    <w:rsid w:val="007E0621"/>
    <w:rsid w:val="007E4E37"/>
    <w:rsid w:val="007F4B07"/>
    <w:rsid w:val="008029A6"/>
    <w:rsid w:val="008147BA"/>
    <w:rsid w:val="00815432"/>
    <w:rsid w:val="008269B0"/>
    <w:rsid w:val="0083067E"/>
    <w:rsid w:val="00832357"/>
    <w:rsid w:val="0083488D"/>
    <w:rsid w:val="008466C3"/>
    <w:rsid w:val="00846809"/>
    <w:rsid w:val="00851458"/>
    <w:rsid w:val="00861A47"/>
    <w:rsid w:val="008707FF"/>
    <w:rsid w:val="00872134"/>
    <w:rsid w:val="008724E5"/>
    <w:rsid w:val="00877AC5"/>
    <w:rsid w:val="00877F27"/>
    <w:rsid w:val="0088173A"/>
    <w:rsid w:val="00881EB9"/>
    <w:rsid w:val="00882769"/>
    <w:rsid w:val="008848E9"/>
    <w:rsid w:val="00884C09"/>
    <w:rsid w:val="00885596"/>
    <w:rsid w:val="00885B33"/>
    <w:rsid w:val="00886B71"/>
    <w:rsid w:val="0089499E"/>
    <w:rsid w:val="00896177"/>
    <w:rsid w:val="008A0BE3"/>
    <w:rsid w:val="008A2566"/>
    <w:rsid w:val="008A6663"/>
    <w:rsid w:val="008B6B4C"/>
    <w:rsid w:val="008B7346"/>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8"/>
    <w:rsid w:val="00916F7B"/>
    <w:rsid w:val="00917A4D"/>
    <w:rsid w:val="00921F65"/>
    <w:rsid w:val="0092574C"/>
    <w:rsid w:val="009342E8"/>
    <w:rsid w:val="009357B4"/>
    <w:rsid w:val="00946D71"/>
    <w:rsid w:val="00954D30"/>
    <w:rsid w:val="009577E1"/>
    <w:rsid w:val="00971CA1"/>
    <w:rsid w:val="0097349C"/>
    <w:rsid w:val="009814C2"/>
    <w:rsid w:val="00982FFD"/>
    <w:rsid w:val="00985265"/>
    <w:rsid w:val="00985856"/>
    <w:rsid w:val="009A4969"/>
    <w:rsid w:val="009B1466"/>
    <w:rsid w:val="009B6973"/>
    <w:rsid w:val="009C0510"/>
    <w:rsid w:val="009C3663"/>
    <w:rsid w:val="009D098F"/>
    <w:rsid w:val="009D4547"/>
    <w:rsid w:val="009D5A49"/>
    <w:rsid w:val="009D5E38"/>
    <w:rsid w:val="009D602F"/>
    <w:rsid w:val="009D68D0"/>
    <w:rsid w:val="009E17AF"/>
    <w:rsid w:val="009F0D42"/>
    <w:rsid w:val="009F1B82"/>
    <w:rsid w:val="009F34A4"/>
    <w:rsid w:val="009F3988"/>
    <w:rsid w:val="009F7C75"/>
    <w:rsid w:val="00A003D0"/>
    <w:rsid w:val="00A073FD"/>
    <w:rsid w:val="00A150C7"/>
    <w:rsid w:val="00A2307A"/>
    <w:rsid w:val="00A462C6"/>
    <w:rsid w:val="00A519A2"/>
    <w:rsid w:val="00A51BDC"/>
    <w:rsid w:val="00A52574"/>
    <w:rsid w:val="00A535B7"/>
    <w:rsid w:val="00A5709F"/>
    <w:rsid w:val="00A616C4"/>
    <w:rsid w:val="00A61F20"/>
    <w:rsid w:val="00A64796"/>
    <w:rsid w:val="00A66CD4"/>
    <w:rsid w:val="00A70883"/>
    <w:rsid w:val="00A77AEB"/>
    <w:rsid w:val="00A81F0A"/>
    <w:rsid w:val="00A85C7A"/>
    <w:rsid w:val="00A86042"/>
    <w:rsid w:val="00AA36F9"/>
    <w:rsid w:val="00AA444A"/>
    <w:rsid w:val="00AB1528"/>
    <w:rsid w:val="00AD6BD4"/>
    <w:rsid w:val="00AE15EE"/>
    <w:rsid w:val="00AE1B18"/>
    <w:rsid w:val="00AE1D83"/>
    <w:rsid w:val="00AE2DFB"/>
    <w:rsid w:val="00AE3061"/>
    <w:rsid w:val="00AF15BA"/>
    <w:rsid w:val="00AF1C32"/>
    <w:rsid w:val="00AF65C6"/>
    <w:rsid w:val="00B11AE3"/>
    <w:rsid w:val="00B121A6"/>
    <w:rsid w:val="00B1234E"/>
    <w:rsid w:val="00B300B8"/>
    <w:rsid w:val="00B32A28"/>
    <w:rsid w:val="00B33904"/>
    <w:rsid w:val="00B3751E"/>
    <w:rsid w:val="00B427FE"/>
    <w:rsid w:val="00B51737"/>
    <w:rsid w:val="00B6102A"/>
    <w:rsid w:val="00B6167A"/>
    <w:rsid w:val="00B62ED0"/>
    <w:rsid w:val="00B64196"/>
    <w:rsid w:val="00B66A7A"/>
    <w:rsid w:val="00B70266"/>
    <w:rsid w:val="00B74304"/>
    <w:rsid w:val="00B82F05"/>
    <w:rsid w:val="00B87142"/>
    <w:rsid w:val="00B8750E"/>
    <w:rsid w:val="00B92374"/>
    <w:rsid w:val="00B924C8"/>
    <w:rsid w:val="00B95E33"/>
    <w:rsid w:val="00B973B5"/>
    <w:rsid w:val="00B97FD1"/>
    <w:rsid w:val="00BA6367"/>
    <w:rsid w:val="00BB1062"/>
    <w:rsid w:val="00BB28EF"/>
    <w:rsid w:val="00BB5DEE"/>
    <w:rsid w:val="00BC002E"/>
    <w:rsid w:val="00BC393F"/>
    <w:rsid w:val="00BC75FC"/>
    <w:rsid w:val="00BD59BD"/>
    <w:rsid w:val="00BE5B3F"/>
    <w:rsid w:val="00BF351F"/>
    <w:rsid w:val="00BF3F50"/>
    <w:rsid w:val="00BF6F37"/>
    <w:rsid w:val="00C02924"/>
    <w:rsid w:val="00C04344"/>
    <w:rsid w:val="00C17FE4"/>
    <w:rsid w:val="00C21897"/>
    <w:rsid w:val="00C276EE"/>
    <w:rsid w:val="00C43146"/>
    <w:rsid w:val="00C43757"/>
    <w:rsid w:val="00C43BCE"/>
    <w:rsid w:val="00C47CF1"/>
    <w:rsid w:val="00C52006"/>
    <w:rsid w:val="00C53AB4"/>
    <w:rsid w:val="00C542F1"/>
    <w:rsid w:val="00C572B3"/>
    <w:rsid w:val="00C57CA1"/>
    <w:rsid w:val="00C6300B"/>
    <w:rsid w:val="00C6426B"/>
    <w:rsid w:val="00C6478B"/>
    <w:rsid w:val="00C87194"/>
    <w:rsid w:val="00C90629"/>
    <w:rsid w:val="00C90C51"/>
    <w:rsid w:val="00CA3ED6"/>
    <w:rsid w:val="00CA7CF4"/>
    <w:rsid w:val="00CB0F37"/>
    <w:rsid w:val="00CB1135"/>
    <w:rsid w:val="00CB590B"/>
    <w:rsid w:val="00CC02C5"/>
    <w:rsid w:val="00CC2BC6"/>
    <w:rsid w:val="00CC3AAB"/>
    <w:rsid w:val="00CD324E"/>
    <w:rsid w:val="00CD4A28"/>
    <w:rsid w:val="00CD54BD"/>
    <w:rsid w:val="00CD659E"/>
    <w:rsid w:val="00CD6C36"/>
    <w:rsid w:val="00CE2586"/>
    <w:rsid w:val="00CF05D7"/>
    <w:rsid w:val="00CF34A6"/>
    <w:rsid w:val="00CF3F93"/>
    <w:rsid w:val="00D020F3"/>
    <w:rsid w:val="00D04515"/>
    <w:rsid w:val="00D065AD"/>
    <w:rsid w:val="00D22831"/>
    <w:rsid w:val="00D404B7"/>
    <w:rsid w:val="00D44509"/>
    <w:rsid w:val="00D448CB"/>
    <w:rsid w:val="00D47226"/>
    <w:rsid w:val="00D47ED5"/>
    <w:rsid w:val="00D61779"/>
    <w:rsid w:val="00D73DB6"/>
    <w:rsid w:val="00D809E5"/>
    <w:rsid w:val="00D81948"/>
    <w:rsid w:val="00D90819"/>
    <w:rsid w:val="00D93291"/>
    <w:rsid w:val="00D9501F"/>
    <w:rsid w:val="00DB193F"/>
    <w:rsid w:val="00DB50D5"/>
    <w:rsid w:val="00DC5537"/>
    <w:rsid w:val="00DD11EE"/>
    <w:rsid w:val="00DD52A0"/>
    <w:rsid w:val="00DE5590"/>
    <w:rsid w:val="00DE6364"/>
    <w:rsid w:val="00DF1D9E"/>
    <w:rsid w:val="00DF3DA3"/>
    <w:rsid w:val="00DF5DA4"/>
    <w:rsid w:val="00E06492"/>
    <w:rsid w:val="00E065CE"/>
    <w:rsid w:val="00E06A00"/>
    <w:rsid w:val="00E13E03"/>
    <w:rsid w:val="00E22B99"/>
    <w:rsid w:val="00E24A9D"/>
    <w:rsid w:val="00E258D9"/>
    <w:rsid w:val="00E35B8C"/>
    <w:rsid w:val="00E439CA"/>
    <w:rsid w:val="00E46DDB"/>
    <w:rsid w:val="00E473F3"/>
    <w:rsid w:val="00E5219B"/>
    <w:rsid w:val="00E56905"/>
    <w:rsid w:val="00E56C89"/>
    <w:rsid w:val="00E64BE4"/>
    <w:rsid w:val="00E85565"/>
    <w:rsid w:val="00E87F91"/>
    <w:rsid w:val="00E94BC6"/>
    <w:rsid w:val="00EA0563"/>
    <w:rsid w:val="00EA198F"/>
    <w:rsid w:val="00EA2EA1"/>
    <w:rsid w:val="00EA3CB9"/>
    <w:rsid w:val="00EA59EB"/>
    <w:rsid w:val="00EA67F3"/>
    <w:rsid w:val="00EB48F8"/>
    <w:rsid w:val="00ED0C60"/>
    <w:rsid w:val="00ED3D26"/>
    <w:rsid w:val="00ED5218"/>
    <w:rsid w:val="00EE1D9D"/>
    <w:rsid w:val="00EF0BCB"/>
    <w:rsid w:val="00EF0E74"/>
    <w:rsid w:val="00EF2549"/>
    <w:rsid w:val="00F00E8A"/>
    <w:rsid w:val="00F0613C"/>
    <w:rsid w:val="00F16242"/>
    <w:rsid w:val="00F17FCB"/>
    <w:rsid w:val="00F226CC"/>
    <w:rsid w:val="00F2691E"/>
    <w:rsid w:val="00F279DD"/>
    <w:rsid w:val="00F3242E"/>
    <w:rsid w:val="00F33650"/>
    <w:rsid w:val="00F348F9"/>
    <w:rsid w:val="00F37E4B"/>
    <w:rsid w:val="00F4144E"/>
    <w:rsid w:val="00F41B00"/>
    <w:rsid w:val="00F473CB"/>
    <w:rsid w:val="00F50245"/>
    <w:rsid w:val="00F63DDA"/>
    <w:rsid w:val="00F67029"/>
    <w:rsid w:val="00F70858"/>
    <w:rsid w:val="00F71BBC"/>
    <w:rsid w:val="00F7397F"/>
    <w:rsid w:val="00F75949"/>
    <w:rsid w:val="00F75CF4"/>
    <w:rsid w:val="00F866CD"/>
    <w:rsid w:val="00F941F0"/>
    <w:rsid w:val="00F97FF5"/>
    <w:rsid w:val="00FA2231"/>
    <w:rsid w:val="00FA7CE6"/>
    <w:rsid w:val="00FB1313"/>
    <w:rsid w:val="00FC2238"/>
    <w:rsid w:val="00FC2459"/>
    <w:rsid w:val="00FC268E"/>
    <w:rsid w:val="00FC2BFD"/>
    <w:rsid w:val="00FC309D"/>
    <w:rsid w:val="00FC47E0"/>
    <w:rsid w:val="00FD1C42"/>
    <w:rsid w:val="00FD1E96"/>
    <w:rsid w:val="00FD1FE7"/>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52FBC4"/>
  <w15:docId w15:val="{897C91E6-E25A-4BBC-A87B-7B4AE420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08F67-029B-4AD9-821B-32ACEC4F1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4</TotalTime>
  <Pages>2</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scepi</cp:lastModifiedBy>
  <cp:revision>5</cp:revision>
  <dcterms:created xsi:type="dcterms:W3CDTF">2019-07-24T14:59:00Z</dcterms:created>
  <dcterms:modified xsi:type="dcterms:W3CDTF">2019-12-06T17:09:00Z</dcterms:modified>
</cp:coreProperties>
</file>