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E529" w14:textId="77777777" w:rsidR="000A0709" w:rsidRPr="00820BA3" w:rsidRDefault="003B31BE" w:rsidP="00886B71">
      <w:pPr>
        <w:pageBreakBefore/>
        <w:jc w:val="center"/>
        <w:rPr>
          <w:rFonts w:ascii="Arial" w:hAnsi="Arial" w:cs="Arial"/>
          <w:b/>
          <w:bCs/>
          <w:sz w:val="24"/>
          <w:szCs w:val="28"/>
        </w:rPr>
      </w:pPr>
      <w:r w:rsidRPr="00820BA3">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820BA3" w14:paraId="5B37B8E1" w14:textId="77777777" w:rsidTr="004B4CDA">
        <w:trPr>
          <w:cantSplit/>
        </w:trPr>
        <w:tc>
          <w:tcPr>
            <w:tcW w:w="786" w:type="pct"/>
            <w:shd w:val="clear" w:color="auto" w:fill="auto"/>
          </w:tcPr>
          <w:p w14:paraId="1B97FECF" w14:textId="77777777" w:rsidR="005473CF" w:rsidRPr="00820BA3" w:rsidRDefault="005B0FE5" w:rsidP="00DA2ECC">
            <w:pPr>
              <w:spacing w:before="120"/>
              <w:rPr>
                <w:rFonts w:ascii="Arial" w:hAnsi="Arial" w:cs="Arial"/>
                <w:b/>
                <w:szCs w:val="22"/>
              </w:rPr>
            </w:pPr>
            <w:r w:rsidRPr="00820BA3">
              <w:rPr>
                <w:rFonts w:ascii="Arial" w:hAnsi="Arial" w:cs="Arial"/>
                <w:b/>
                <w:szCs w:val="22"/>
              </w:rPr>
              <w:t>Indicator</w:t>
            </w:r>
          </w:p>
        </w:tc>
        <w:tc>
          <w:tcPr>
            <w:tcW w:w="4214" w:type="pct"/>
            <w:gridSpan w:val="2"/>
            <w:shd w:val="clear" w:color="auto" w:fill="auto"/>
          </w:tcPr>
          <w:p w14:paraId="3117056B" w14:textId="77777777" w:rsidR="005473CF" w:rsidRPr="00820BA3" w:rsidRDefault="0001188E" w:rsidP="00C37B40">
            <w:pPr>
              <w:keepLines/>
              <w:spacing w:before="120"/>
              <w:ind w:left="567" w:hanging="567"/>
              <w:rPr>
                <w:rFonts w:ascii="Arial" w:hAnsi="Arial" w:cs="Arial"/>
                <w:b/>
                <w:szCs w:val="22"/>
              </w:rPr>
            </w:pPr>
            <w:r w:rsidRPr="00820BA3">
              <w:rPr>
                <w:rFonts w:ascii="Arial" w:hAnsi="Arial" w:cs="Arial"/>
                <w:b/>
                <w:szCs w:val="22"/>
              </w:rPr>
              <w:t>3.</w:t>
            </w:r>
            <w:r w:rsidRPr="00820BA3">
              <w:rPr>
                <w:rFonts w:ascii="Arial" w:hAnsi="Arial" w:cs="Arial"/>
                <w:b/>
                <w:szCs w:val="22"/>
              </w:rPr>
              <w:tab/>
              <w:t>Extent to which training is operated by or addressed to communities, groups and individuals, as well as to those working in the fields of culture and heritage</w:t>
            </w:r>
          </w:p>
        </w:tc>
      </w:tr>
      <w:tr w:rsidR="005B0FE5" w:rsidRPr="00820BA3" w14:paraId="2D3D8C26" w14:textId="77777777" w:rsidTr="004B4CDA">
        <w:trPr>
          <w:cantSplit/>
        </w:trPr>
        <w:tc>
          <w:tcPr>
            <w:tcW w:w="786" w:type="pct"/>
            <w:vMerge w:val="restart"/>
            <w:shd w:val="clear" w:color="auto" w:fill="auto"/>
          </w:tcPr>
          <w:p w14:paraId="03BC75DF" w14:textId="77777777" w:rsidR="005B0FE5" w:rsidRPr="00820BA3" w:rsidRDefault="005B0FE5" w:rsidP="00DA2ECC">
            <w:pPr>
              <w:spacing w:before="120"/>
              <w:rPr>
                <w:rFonts w:ascii="Arial" w:hAnsi="Arial" w:cs="Arial"/>
                <w:b/>
                <w:szCs w:val="22"/>
              </w:rPr>
            </w:pPr>
            <w:r w:rsidRPr="00820BA3">
              <w:rPr>
                <w:rFonts w:ascii="Arial" w:hAnsi="Arial" w:cs="Arial"/>
                <w:b/>
                <w:szCs w:val="22"/>
              </w:rPr>
              <w:t>Assessment factors</w:t>
            </w:r>
          </w:p>
        </w:tc>
        <w:tc>
          <w:tcPr>
            <w:tcW w:w="4214" w:type="pct"/>
            <w:gridSpan w:val="2"/>
            <w:shd w:val="clear" w:color="auto" w:fill="auto"/>
          </w:tcPr>
          <w:p w14:paraId="70028F3A" w14:textId="77777777" w:rsidR="005B0FE5" w:rsidRPr="00820BA3" w:rsidRDefault="005B0FE5" w:rsidP="00946D71">
            <w:pPr>
              <w:keepLines/>
              <w:spacing w:before="120"/>
              <w:jc w:val="both"/>
              <w:rPr>
                <w:rFonts w:ascii="Arial" w:hAnsi="Arial" w:cs="Arial"/>
                <w:b/>
                <w:szCs w:val="22"/>
              </w:rPr>
            </w:pPr>
            <w:r w:rsidRPr="00820BA3">
              <w:rPr>
                <w:rFonts w:ascii="Arial" w:hAnsi="Arial" w:cs="Arial"/>
                <w:szCs w:val="22"/>
              </w:rPr>
              <w:t xml:space="preserve">This indicator is assessed on the basis of </w:t>
            </w:r>
            <w:r w:rsidR="0001188E" w:rsidRPr="00820BA3">
              <w:rPr>
                <w:rFonts w:ascii="Arial" w:hAnsi="Arial" w:cs="Arial"/>
                <w:szCs w:val="22"/>
              </w:rPr>
              <w:t>two</w:t>
            </w:r>
            <w:r w:rsidRPr="00820BA3">
              <w:rPr>
                <w:rFonts w:ascii="Arial" w:hAnsi="Arial" w:cs="Arial"/>
                <w:szCs w:val="22"/>
              </w:rPr>
              <w:t xml:space="preserve"> country-level factors monitored and reported by each State Party:</w:t>
            </w:r>
          </w:p>
        </w:tc>
      </w:tr>
      <w:tr w:rsidR="0001188E" w:rsidRPr="00820BA3" w14:paraId="67A5214D" w14:textId="77777777" w:rsidTr="004B4CDA">
        <w:trPr>
          <w:cantSplit/>
        </w:trPr>
        <w:tc>
          <w:tcPr>
            <w:tcW w:w="786" w:type="pct"/>
            <w:vMerge/>
            <w:shd w:val="clear" w:color="auto" w:fill="auto"/>
          </w:tcPr>
          <w:p w14:paraId="2D364CD2" w14:textId="77777777" w:rsidR="0001188E" w:rsidRPr="00820BA3" w:rsidRDefault="0001188E" w:rsidP="0001188E">
            <w:pPr>
              <w:spacing w:before="120"/>
              <w:rPr>
                <w:rFonts w:ascii="Arial" w:hAnsi="Arial" w:cs="Arial"/>
                <w:b/>
                <w:szCs w:val="22"/>
              </w:rPr>
            </w:pPr>
          </w:p>
        </w:tc>
        <w:tc>
          <w:tcPr>
            <w:tcW w:w="3418" w:type="pct"/>
            <w:shd w:val="clear" w:color="auto" w:fill="auto"/>
            <w:vAlign w:val="center"/>
          </w:tcPr>
          <w:p w14:paraId="172DE4EA" w14:textId="77777777" w:rsidR="0001188E" w:rsidRPr="00820BA3" w:rsidRDefault="0001188E" w:rsidP="00682321">
            <w:pPr>
              <w:pStyle w:val="ListParagraph"/>
              <w:keepLines/>
              <w:numPr>
                <w:ilvl w:val="1"/>
                <w:numId w:val="74"/>
              </w:numPr>
              <w:spacing w:before="120"/>
              <w:ind w:left="508" w:hanging="508"/>
              <w:rPr>
                <w:rFonts w:ascii="Arial" w:hAnsi="Arial" w:cs="Arial"/>
                <w:sz w:val="20"/>
                <w:szCs w:val="20"/>
                <w:lang w:val="en-GB"/>
              </w:rPr>
            </w:pPr>
            <w:r w:rsidRPr="00820BA3">
              <w:rPr>
                <w:rFonts w:ascii="Arial" w:hAnsi="Arial" w:cs="Arial"/>
                <w:sz w:val="20"/>
                <w:szCs w:val="20"/>
                <w:lang w:val="en-GB"/>
              </w:rPr>
              <w:t>Training programmes, including those operated by communities themselves, provide capacity building in ICH addressed on an inclusive basis to communities, groups and individuals.</w:t>
            </w:r>
          </w:p>
        </w:tc>
        <w:tc>
          <w:tcPr>
            <w:tcW w:w="796" w:type="pct"/>
            <w:shd w:val="clear" w:color="auto" w:fill="auto"/>
            <w:vAlign w:val="center"/>
          </w:tcPr>
          <w:p w14:paraId="56B3A991" w14:textId="77777777" w:rsidR="0001188E" w:rsidRPr="00820BA3" w:rsidRDefault="0001188E" w:rsidP="0001188E">
            <w:pPr>
              <w:spacing w:before="60" w:after="60"/>
              <w:rPr>
                <w:rFonts w:ascii="Arial" w:hAnsi="Arial" w:cs="Arial"/>
                <w:sz w:val="20"/>
                <w:szCs w:val="20"/>
              </w:rPr>
            </w:pPr>
            <w:r w:rsidRPr="00820BA3">
              <w:rPr>
                <w:rFonts w:ascii="Arial" w:hAnsi="Arial" w:cs="Arial"/>
                <w:sz w:val="20"/>
                <w:szCs w:val="20"/>
              </w:rPr>
              <w:t>Article 14(a)(ii)</w:t>
            </w:r>
          </w:p>
          <w:p w14:paraId="457D013B" w14:textId="77777777" w:rsidR="0001188E" w:rsidRPr="00820BA3" w:rsidRDefault="0001188E" w:rsidP="0001188E">
            <w:pPr>
              <w:keepLines/>
              <w:spacing w:before="120"/>
              <w:rPr>
                <w:rFonts w:ascii="Arial" w:hAnsi="Arial" w:cs="Arial"/>
                <w:sz w:val="20"/>
                <w:szCs w:val="20"/>
              </w:rPr>
            </w:pPr>
            <w:r w:rsidRPr="00820BA3">
              <w:rPr>
                <w:rFonts w:ascii="Arial" w:hAnsi="Arial" w:cs="Arial"/>
                <w:sz w:val="20"/>
                <w:szCs w:val="20"/>
              </w:rPr>
              <w:t xml:space="preserve">OD 82, </w:t>
            </w:r>
            <w:r w:rsidRPr="00820BA3">
              <w:rPr>
                <w:rFonts w:ascii="Arial" w:hAnsi="Arial" w:cs="Arial"/>
                <w:sz w:val="20"/>
                <w:szCs w:val="20"/>
              </w:rPr>
              <w:br/>
              <w:t xml:space="preserve">OD 153(b), </w:t>
            </w:r>
            <w:r w:rsidRPr="00820BA3">
              <w:rPr>
                <w:rFonts w:ascii="Arial" w:hAnsi="Arial" w:cs="Arial"/>
                <w:sz w:val="20"/>
                <w:szCs w:val="20"/>
              </w:rPr>
              <w:br/>
              <w:t>OD 155(b)</w:t>
            </w:r>
          </w:p>
        </w:tc>
      </w:tr>
      <w:tr w:rsidR="0001188E" w:rsidRPr="00820BA3" w14:paraId="56B003AE" w14:textId="77777777" w:rsidTr="004B4CDA">
        <w:trPr>
          <w:cantSplit/>
        </w:trPr>
        <w:tc>
          <w:tcPr>
            <w:tcW w:w="786" w:type="pct"/>
            <w:vMerge/>
            <w:shd w:val="clear" w:color="auto" w:fill="auto"/>
          </w:tcPr>
          <w:p w14:paraId="44FB8441" w14:textId="77777777" w:rsidR="0001188E" w:rsidRPr="00820BA3" w:rsidRDefault="0001188E" w:rsidP="0001188E">
            <w:pPr>
              <w:spacing w:before="120"/>
              <w:rPr>
                <w:rFonts w:ascii="Arial" w:hAnsi="Arial" w:cs="Arial"/>
                <w:b/>
                <w:szCs w:val="22"/>
              </w:rPr>
            </w:pPr>
          </w:p>
        </w:tc>
        <w:tc>
          <w:tcPr>
            <w:tcW w:w="3418" w:type="pct"/>
            <w:shd w:val="clear" w:color="auto" w:fill="auto"/>
            <w:vAlign w:val="center"/>
          </w:tcPr>
          <w:p w14:paraId="000D8011" w14:textId="77777777" w:rsidR="0001188E" w:rsidRPr="00820BA3" w:rsidRDefault="0001188E" w:rsidP="00682321">
            <w:pPr>
              <w:pStyle w:val="ListParagraph"/>
              <w:keepLines/>
              <w:numPr>
                <w:ilvl w:val="1"/>
                <w:numId w:val="74"/>
              </w:numPr>
              <w:spacing w:before="120"/>
              <w:ind w:left="508" w:hanging="508"/>
              <w:rPr>
                <w:rFonts w:ascii="Arial" w:hAnsi="Arial" w:cs="Arial"/>
                <w:sz w:val="20"/>
                <w:szCs w:val="20"/>
                <w:lang w:val="en-GB"/>
              </w:rPr>
            </w:pPr>
            <w:r w:rsidRPr="00820BA3">
              <w:rPr>
                <w:rFonts w:ascii="Arial" w:hAnsi="Arial" w:cs="Arial"/>
                <w:sz w:val="20"/>
                <w:szCs w:val="20"/>
                <w:lang w:val="en-GB"/>
              </w:rPr>
              <w:t>Training programmes provide capacity building in ICH addressed on an inclusive basis to those working in the fields of culture and heritage.</w:t>
            </w:r>
          </w:p>
        </w:tc>
        <w:tc>
          <w:tcPr>
            <w:tcW w:w="796" w:type="pct"/>
            <w:shd w:val="clear" w:color="auto" w:fill="auto"/>
            <w:vAlign w:val="center"/>
          </w:tcPr>
          <w:p w14:paraId="20F6C679" w14:textId="77777777" w:rsidR="0001188E" w:rsidRPr="00820BA3" w:rsidRDefault="0001188E" w:rsidP="0001188E">
            <w:pPr>
              <w:spacing w:before="60" w:after="60"/>
              <w:rPr>
                <w:rFonts w:ascii="Arial" w:hAnsi="Arial" w:cs="Arial"/>
                <w:sz w:val="20"/>
                <w:szCs w:val="20"/>
              </w:rPr>
            </w:pPr>
            <w:r w:rsidRPr="00820BA3">
              <w:rPr>
                <w:rFonts w:ascii="Arial" w:hAnsi="Arial" w:cs="Arial"/>
                <w:sz w:val="20"/>
                <w:szCs w:val="20"/>
              </w:rPr>
              <w:t>Article 14(a)(iii)</w:t>
            </w:r>
          </w:p>
          <w:p w14:paraId="3628CF93" w14:textId="77777777" w:rsidR="0001188E" w:rsidRPr="00820BA3" w:rsidRDefault="0001188E" w:rsidP="0001188E">
            <w:pPr>
              <w:spacing w:before="60" w:after="60"/>
              <w:rPr>
                <w:rFonts w:ascii="Arial" w:hAnsi="Arial" w:cs="Arial"/>
                <w:sz w:val="20"/>
                <w:szCs w:val="20"/>
              </w:rPr>
            </w:pPr>
            <w:r w:rsidRPr="00820BA3">
              <w:rPr>
                <w:rFonts w:ascii="Arial" w:hAnsi="Arial" w:cs="Arial"/>
                <w:sz w:val="20"/>
                <w:szCs w:val="20"/>
              </w:rPr>
              <w:t>OD 153(b)</w:t>
            </w:r>
          </w:p>
        </w:tc>
      </w:tr>
      <w:tr w:rsidR="005473CF" w:rsidRPr="00820BA3" w14:paraId="7C1FDAC4" w14:textId="77777777" w:rsidTr="004B4CDA">
        <w:trPr>
          <w:cantSplit/>
        </w:trPr>
        <w:tc>
          <w:tcPr>
            <w:tcW w:w="786" w:type="pct"/>
            <w:shd w:val="clear" w:color="auto" w:fill="auto"/>
          </w:tcPr>
          <w:p w14:paraId="398A1CC7" w14:textId="77777777" w:rsidR="005473CF" w:rsidRPr="00820BA3" w:rsidRDefault="005473CF" w:rsidP="005473CF">
            <w:pPr>
              <w:spacing w:before="120"/>
              <w:rPr>
                <w:rFonts w:ascii="Arial" w:hAnsi="Arial" w:cs="Arial"/>
                <w:b/>
                <w:szCs w:val="22"/>
              </w:rPr>
            </w:pPr>
            <w:r w:rsidRPr="00820BA3">
              <w:rPr>
                <w:rFonts w:ascii="Arial" w:hAnsi="Arial" w:cs="Arial"/>
                <w:b/>
                <w:szCs w:val="22"/>
              </w:rPr>
              <w:t>Relation with SDGs and other indicators</w:t>
            </w:r>
          </w:p>
        </w:tc>
        <w:tc>
          <w:tcPr>
            <w:tcW w:w="4214" w:type="pct"/>
            <w:gridSpan w:val="2"/>
            <w:shd w:val="clear" w:color="auto" w:fill="auto"/>
          </w:tcPr>
          <w:p w14:paraId="027ECDB9" w14:textId="33DE8B0A" w:rsidR="005473CF" w:rsidRPr="00820BA3" w:rsidRDefault="005473CF" w:rsidP="005473CF">
            <w:pPr>
              <w:keepLines/>
              <w:spacing w:before="120"/>
              <w:jc w:val="both"/>
              <w:rPr>
                <w:rFonts w:ascii="Arial" w:hAnsi="Arial" w:cs="Arial"/>
                <w:szCs w:val="22"/>
              </w:rPr>
            </w:pPr>
            <w:r w:rsidRPr="00820BA3">
              <w:rPr>
                <w:rFonts w:ascii="Arial" w:hAnsi="Arial" w:cs="Arial"/>
                <w:b/>
                <w:bCs/>
                <w:szCs w:val="22"/>
              </w:rPr>
              <w:t xml:space="preserve">Sustainable Development Goals: </w:t>
            </w:r>
            <w:r w:rsidR="00FC75EF" w:rsidRPr="00820BA3">
              <w:rPr>
                <w:rFonts w:ascii="Arial" w:hAnsi="Arial" w:cs="Arial"/>
                <w:szCs w:val="22"/>
              </w:rPr>
              <w:t xml:space="preserve">Like </w:t>
            </w:r>
            <w:r w:rsidR="004B4CDA" w:rsidRPr="00820BA3">
              <w:rPr>
                <w:rFonts w:ascii="Arial" w:hAnsi="Arial" w:cs="Arial"/>
                <w:szCs w:val="22"/>
              </w:rPr>
              <w:t>all indicators</w:t>
            </w:r>
            <w:r w:rsidR="00FC75EF" w:rsidRPr="00820BA3">
              <w:rPr>
                <w:rFonts w:ascii="Arial" w:hAnsi="Arial" w:cs="Arial"/>
                <w:szCs w:val="22"/>
              </w:rPr>
              <w:t>, the present indicator also responds to SDG Target 11.4, ‘</w:t>
            </w:r>
            <w:r w:rsidR="00E54295" w:rsidRPr="00820BA3">
              <w:rPr>
                <w:rFonts w:ascii="Arial" w:hAnsi="Arial" w:cs="Arial"/>
                <w:szCs w:val="22"/>
              </w:rPr>
              <w:t>s</w:t>
            </w:r>
            <w:r w:rsidR="00FC75EF" w:rsidRPr="00820BA3">
              <w:rPr>
                <w:rFonts w:ascii="Arial" w:hAnsi="Arial" w:cs="Arial"/>
                <w:szCs w:val="22"/>
              </w:rPr>
              <w:t>trengthen efforts to protect and safeguard the world’s cultural and natural heritage.’ If a developing State benefits from international support for its capacity-building efforts, this indicator also responds to SDG Target 17.9, which focuses on international support for effective and targeted capacity-building to support national implementation of the SDGs.</w:t>
            </w:r>
            <w:r w:rsidR="00CC5973" w:rsidRPr="00820BA3">
              <w:rPr>
                <w:rFonts w:ascii="Arial" w:hAnsi="Arial" w:cs="Arial"/>
                <w:szCs w:val="22"/>
              </w:rPr>
              <w:t xml:space="preserve"> </w:t>
            </w:r>
            <w:r w:rsidR="00820BA3">
              <w:rPr>
                <w:rFonts w:ascii="Arial" w:hAnsi="Arial" w:cs="Arial"/>
                <w:szCs w:val="22"/>
              </w:rPr>
              <w:t>Like</w:t>
            </w:r>
            <w:r w:rsidR="00AE166B" w:rsidRPr="00820BA3">
              <w:rPr>
                <w:rFonts w:ascii="Arial" w:hAnsi="Arial" w:cs="Arial"/>
                <w:szCs w:val="22"/>
              </w:rPr>
              <w:t xml:space="preserve"> I</w:t>
            </w:r>
            <w:r w:rsidR="00CC5973" w:rsidRPr="00820BA3">
              <w:rPr>
                <w:rFonts w:ascii="Arial" w:hAnsi="Arial" w:cs="Arial"/>
                <w:szCs w:val="22"/>
              </w:rPr>
              <w:t>ndicator 2, this indicator also complements SDG Target 4.7, which refers to learners acquiring ‘the knowledge and skills needed to promote sustainable development…[notably] appreciation of culture’s contribution to sustainable development.’</w:t>
            </w:r>
          </w:p>
          <w:p w14:paraId="55A6D400" w14:textId="015CDFB6" w:rsidR="00AE166B" w:rsidRPr="00820BA3" w:rsidRDefault="005473CF" w:rsidP="00FA32B1">
            <w:pPr>
              <w:keepLines/>
              <w:spacing w:before="120"/>
              <w:jc w:val="both"/>
              <w:rPr>
                <w:rFonts w:ascii="Arial" w:hAnsi="Arial" w:cs="Arial"/>
                <w:bCs/>
                <w:szCs w:val="22"/>
              </w:rPr>
            </w:pPr>
            <w:r w:rsidRPr="00820BA3">
              <w:rPr>
                <w:rFonts w:ascii="Arial" w:hAnsi="Arial" w:cs="Arial"/>
                <w:b/>
                <w:szCs w:val="22"/>
              </w:rPr>
              <w:t>Relation to other indicators:</w:t>
            </w:r>
            <w:r w:rsidRPr="00820BA3">
              <w:rPr>
                <w:rFonts w:ascii="Arial" w:hAnsi="Arial" w:cs="Arial"/>
                <w:bCs/>
                <w:szCs w:val="22"/>
              </w:rPr>
              <w:t xml:space="preserve"> </w:t>
            </w:r>
            <w:r w:rsidR="00FC75EF" w:rsidRPr="00820BA3">
              <w:rPr>
                <w:rFonts w:ascii="Arial" w:hAnsi="Arial" w:cs="Arial"/>
                <w:bCs/>
                <w:szCs w:val="22"/>
              </w:rPr>
              <w:t>Where</w:t>
            </w:r>
            <w:r w:rsidR="00AE166B" w:rsidRPr="00820BA3">
              <w:rPr>
                <w:rFonts w:ascii="Arial" w:hAnsi="Arial" w:cs="Arial"/>
                <w:bCs/>
                <w:szCs w:val="22"/>
              </w:rPr>
              <w:t>as</w:t>
            </w:r>
            <w:r w:rsidR="00FC75EF" w:rsidRPr="00820BA3">
              <w:rPr>
                <w:rFonts w:ascii="Arial" w:hAnsi="Arial" w:cs="Arial"/>
                <w:bCs/>
                <w:szCs w:val="22"/>
              </w:rPr>
              <w:t xml:space="preserve"> Indicator 2 focuses on the institutions, bodies or other organizations offering capacity-building programmes in ICH safeguarding and management, this indicator focuses on the persons who are addressed by those programmes. The focus here on</w:t>
            </w:r>
            <w:r w:rsidR="00E54295" w:rsidRPr="00820BA3">
              <w:rPr>
                <w:rFonts w:ascii="Arial" w:hAnsi="Arial" w:cs="Arial"/>
                <w:bCs/>
                <w:szCs w:val="22"/>
              </w:rPr>
              <w:t xml:space="preserve"> </w:t>
            </w:r>
            <w:r w:rsidR="00AE166B" w:rsidRPr="00820BA3">
              <w:rPr>
                <w:rFonts w:ascii="Arial" w:hAnsi="Arial" w:cs="Arial"/>
                <w:bCs/>
                <w:szCs w:val="22"/>
              </w:rPr>
              <w:t xml:space="preserve">capacity building for </w:t>
            </w:r>
            <w:r w:rsidR="00FC75EF" w:rsidRPr="00820BA3">
              <w:rPr>
                <w:rFonts w:ascii="Arial" w:hAnsi="Arial" w:cs="Arial"/>
                <w:bCs/>
                <w:szCs w:val="22"/>
              </w:rPr>
              <w:t xml:space="preserve">ICH safeguarding and management distinguishes the present indicator from Indicators 4, 5 and 6, which </w:t>
            </w:r>
            <w:r w:rsidR="00AE166B" w:rsidRPr="00820BA3">
              <w:rPr>
                <w:rFonts w:ascii="Arial" w:hAnsi="Arial" w:cs="Arial"/>
                <w:bCs/>
                <w:szCs w:val="22"/>
              </w:rPr>
              <w:t xml:space="preserve">are more directly </w:t>
            </w:r>
            <w:r w:rsidR="00FC75EF" w:rsidRPr="00820BA3">
              <w:rPr>
                <w:rFonts w:ascii="Arial" w:hAnsi="Arial" w:cs="Arial"/>
                <w:bCs/>
                <w:szCs w:val="22"/>
              </w:rPr>
              <w:t>concern</w:t>
            </w:r>
            <w:r w:rsidR="00AE166B" w:rsidRPr="00820BA3">
              <w:rPr>
                <w:rFonts w:ascii="Arial" w:hAnsi="Arial" w:cs="Arial"/>
                <w:bCs/>
                <w:szCs w:val="22"/>
              </w:rPr>
              <w:t>ed with</w:t>
            </w:r>
            <w:r w:rsidR="00FC75EF" w:rsidRPr="00820BA3">
              <w:rPr>
                <w:rFonts w:ascii="Arial" w:hAnsi="Arial" w:cs="Arial"/>
                <w:bCs/>
                <w:szCs w:val="22"/>
              </w:rPr>
              <w:t xml:space="preserve"> </w:t>
            </w:r>
            <w:r w:rsidR="00AE166B" w:rsidRPr="00820BA3">
              <w:rPr>
                <w:rFonts w:ascii="Arial" w:hAnsi="Arial" w:cs="Arial"/>
                <w:bCs/>
                <w:szCs w:val="22"/>
              </w:rPr>
              <w:t>the respect for, practice</w:t>
            </w:r>
            <w:r w:rsidR="00820BA3">
              <w:rPr>
                <w:rFonts w:ascii="Arial" w:hAnsi="Arial" w:cs="Arial"/>
                <w:bCs/>
                <w:szCs w:val="22"/>
              </w:rPr>
              <w:t xml:space="preserve"> of</w:t>
            </w:r>
            <w:r w:rsidR="00AE166B" w:rsidRPr="00820BA3">
              <w:rPr>
                <w:rFonts w:ascii="Arial" w:hAnsi="Arial" w:cs="Arial"/>
                <w:bCs/>
                <w:szCs w:val="22"/>
              </w:rPr>
              <w:t xml:space="preserve"> and transmission of ICH.</w:t>
            </w:r>
          </w:p>
        </w:tc>
      </w:tr>
      <w:tr w:rsidR="00896177" w:rsidRPr="00820BA3" w14:paraId="4B89ACFE" w14:textId="77777777" w:rsidTr="004B4CDA">
        <w:trPr>
          <w:cantSplit/>
        </w:trPr>
        <w:tc>
          <w:tcPr>
            <w:tcW w:w="786" w:type="pct"/>
            <w:shd w:val="clear" w:color="auto" w:fill="auto"/>
          </w:tcPr>
          <w:p w14:paraId="6D188F15" w14:textId="77777777" w:rsidR="00896177" w:rsidRPr="00820BA3" w:rsidRDefault="002C28BA" w:rsidP="00A7283F">
            <w:pPr>
              <w:spacing w:before="120"/>
              <w:rPr>
                <w:rFonts w:ascii="Arial" w:hAnsi="Arial" w:cs="Arial"/>
                <w:b/>
                <w:szCs w:val="22"/>
              </w:rPr>
            </w:pPr>
            <w:r w:rsidRPr="00820BA3">
              <w:rPr>
                <w:rFonts w:ascii="Arial" w:hAnsi="Arial" w:cs="Arial"/>
                <w:b/>
                <w:szCs w:val="22"/>
              </w:rPr>
              <w:t>Rationale for action</w:t>
            </w:r>
          </w:p>
        </w:tc>
        <w:tc>
          <w:tcPr>
            <w:tcW w:w="4214" w:type="pct"/>
            <w:gridSpan w:val="2"/>
            <w:shd w:val="clear" w:color="auto" w:fill="auto"/>
          </w:tcPr>
          <w:p w14:paraId="6235F876" w14:textId="440E7BB9" w:rsidR="00704766" w:rsidRPr="00820BA3" w:rsidRDefault="00FC75EF" w:rsidP="00270AC0">
            <w:pPr>
              <w:keepLines/>
              <w:spacing w:before="120"/>
              <w:jc w:val="both"/>
              <w:rPr>
                <w:rFonts w:asciiTheme="minorBidi" w:hAnsiTheme="minorBidi" w:cstheme="minorBidi"/>
                <w:szCs w:val="22"/>
              </w:rPr>
            </w:pPr>
            <w:r w:rsidRPr="00820BA3">
              <w:rPr>
                <w:rFonts w:asciiTheme="minorBidi" w:hAnsiTheme="minorBidi" w:cstheme="minorBidi"/>
                <w:szCs w:val="22"/>
              </w:rPr>
              <w:t>The Convention highlights the importance of strengthening the capacities both of the communities and groups concerned (Article 14(a)(ii)) and of those professionally involved in ICH safeguarding and management (Article 14(a)(iii)</w:t>
            </w:r>
            <w:r w:rsidR="00013C41" w:rsidRPr="00820BA3">
              <w:rPr>
                <w:rFonts w:asciiTheme="minorBidi" w:hAnsiTheme="minorBidi" w:cstheme="minorBidi"/>
                <w:szCs w:val="22"/>
              </w:rPr>
              <w:t>)</w:t>
            </w:r>
            <w:r w:rsidRPr="00820BA3">
              <w:rPr>
                <w:rFonts w:asciiTheme="minorBidi" w:hAnsiTheme="minorBidi" w:cstheme="minorBidi"/>
                <w:szCs w:val="22"/>
              </w:rPr>
              <w:t xml:space="preserve">. If communities, groups and individuals are to participate as widely as possible in safeguarding and to be involved actively in its management (Article 15), they may need </w:t>
            </w:r>
            <w:r w:rsidR="00156D7B" w:rsidRPr="00820BA3">
              <w:rPr>
                <w:rFonts w:asciiTheme="minorBidi" w:hAnsiTheme="minorBidi" w:cstheme="minorBidi"/>
                <w:szCs w:val="22"/>
              </w:rPr>
              <w:t xml:space="preserve">to acquire </w:t>
            </w:r>
            <w:r w:rsidRPr="00820BA3">
              <w:rPr>
                <w:rFonts w:asciiTheme="minorBidi" w:hAnsiTheme="minorBidi" w:cstheme="minorBidi"/>
                <w:szCs w:val="22"/>
              </w:rPr>
              <w:t xml:space="preserve">specialized skills and methods they do not currently possess. Similarly, professionals working in the fields of culture and heritage may have broad knowledge and experience that support their work, but they may lack knowledge of the specialized approaches adapted to ICH safeguarding and management. </w:t>
            </w:r>
            <w:r w:rsidR="00797D4A" w:rsidRPr="00820BA3">
              <w:rPr>
                <w:rFonts w:asciiTheme="minorBidi" w:hAnsiTheme="minorBidi" w:cstheme="minorBidi"/>
                <w:szCs w:val="22"/>
              </w:rPr>
              <w:t xml:space="preserve">It may be pertinent to </w:t>
            </w:r>
            <w:r w:rsidRPr="00820BA3">
              <w:rPr>
                <w:rFonts w:asciiTheme="minorBidi" w:hAnsiTheme="minorBidi" w:cstheme="minorBidi"/>
                <w:szCs w:val="22"/>
              </w:rPr>
              <w:t>target specific constituencies most centrally involved with ICH</w:t>
            </w:r>
            <w:r w:rsidR="00797D4A" w:rsidRPr="00820BA3">
              <w:rPr>
                <w:rFonts w:asciiTheme="minorBidi" w:hAnsiTheme="minorBidi" w:cstheme="minorBidi"/>
                <w:szCs w:val="22"/>
              </w:rPr>
              <w:t xml:space="preserve">, </w:t>
            </w:r>
            <w:r w:rsidR="00270AC0" w:rsidRPr="00820BA3">
              <w:rPr>
                <w:rFonts w:asciiTheme="minorBidi" w:hAnsiTheme="minorBidi" w:cstheme="minorBidi"/>
                <w:szCs w:val="22"/>
              </w:rPr>
              <w:t>while keeping in mind</w:t>
            </w:r>
            <w:r w:rsidR="00797D4A" w:rsidRPr="00820BA3">
              <w:rPr>
                <w:rFonts w:asciiTheme="minorBidi" w:hAnsiTheme="minorBidi" w:cstheme="minorBidi"/>
                <w:szCs w:val="22"/>
              </w:rPr>
              <w:t xml:space="preserve"> the general importance of inclusiveness for capacity building activities</w:t>
            </w:r>
            <w:r w:rsidRPr="00820BA3">
              <w:rPr>
                <w:rFonts w:asciiTheme="minorBidi" w:hAnsiTheme="minorBidi" w:cstheme="minorBidi"/>
                <w:szCs w:val="22"/>
              </w:rPr>
              <w:t>.</w:t>
            </w:r>
          </w:p>
        </w:tc>
      </w:tr>
      <w:tr w:rsidR="00704766" w:rsidRPr="00820BA3" w14:paraId="782AE31E" w14:textId="77777777" w:rsidTr="004B4CDA">
        <w:trPr>
          <w:cantSplit/>
        </w:trPr>
        <w:tc>
          <w:tcPr>
            <w:tcW w:w="786" w:type="pct"/>
            <w:shd w:val="clear" w:color="auto" w:fill="auto"/>
          </w:tcPr>
          <w:p w14:paraId="53862DDA" w14:textId="77777777" w:rsidR="00704766" w:rsidRPr="00820BA3" w:rsidRDefault="00704766" w:rsidP="00BE5B3F">
            <w:pPr>
              <w:spacing w:before="120" w:after="60"/>
              <w:jc w:val="both"/>
              <w:rPr>
                <w:rFonts w:asciiTheme="minorBidi" w:hAnsiTheme="minorBidi" w:cstheme="minorBidi"/>
                <w:b/>
                <w:szCs w:val="22"/>
              </w:rPr>
            </w:pPr>
            <w:r w:rsidRPr="00820BA3">
              <w:rPr>
                <w:rFonts w:asciiTheme="minorBidi" w:hAnsiTheme="minorBidi" w:cstheme="minorBidi"/>
                <w:b/>
                <w:szCs w:val="22"/>
              </w:rPr>
              <w:t>Key terms</w:t>
            </w:r>
          </w:p>
        </w:tc>
        <w:tc>
          <w:tcPr>
            <w:tcW w:w="4214" w:type="pct"/>
            <w:gridSpan w:val="2"/>
            <w:shd w:val="clear" w:color="auto" w:fill="auto"/>
          </w:tcPr>
          <w:p w14:paraId="5D99EF1E" w14:textId="77777777" w:rsidR="00C42273" w:rsidRPr="00820BA3" w:rsidRDefault="00C42273" w:rsidP="00704766">
            <w:pPr>
              <w:pStyle w:val="ListParagraph"/>
              <w:numPr>
                <w:ilvl w:val="0"/>
                <w:numId w:val="71"/>
              </w:numPr>
              <w:spacing w:before="120" w:after="120"/>
              <w:ind w:left="714" w:hanging="357"/>
              <w:jc w:val="both"/>
              <w:rPr>
                <w:rFonts w:asciiTheme="minorBidi" w:hAnsiTheme="minorBidi" w:cstheme="minorBidi"/>
                <w:lang w:val="en-GB"/>
              </w:rPr>
            </w:pPr>
            <w:r w:rsidRPr="00820BA3">
              <w:rPr>
                <w:rFonts w:asciiTheme="minorBidi" w:hAnsiTheme="minorBidi" w:cstheme="minorBidi"/>
                <w:lang w:val="en-GB"/>
              </w:rPr>
              <w:t>Training</w:t>
            </w:r>
          </w:p>
          <w:p w14:paraId="75773374" w14:textId="77777777" w:rsidR="00235CD0" w:rsidRPr="00845AD9" w:rsidRDefault="00235CD0" w:rsidP="00235CD0">
            <w:pPr>
              <w:pStyle w:val="ListParagraph"/>
              <w:numPr>
                <w:ilvl w:val="0"/>
                <w:numId w:val="71"/>
              </w:numPr>
              <w:spacing w:before="120" w:after="120"/>
              <w:ind w:left="714" w:hanging="357"/>
              <w:jc w:val="both"/>
              <w:rPr>
                <w:rFonts w:asciiTheme="minorBidi" w:hAnsiTheme="minorBidi" w:cstheme="minorBidi"/>
                <w:lang w:val="en-GB"/>
              </w:rPr>
            </w:pPr>
            <w:r w:rsidRPr="00820BA3">
              <w:rPr>
                <w:rFonts w:asciiTheme="minorBidi" w:hAnsiTheme="minorBidi" w:cstheme="minorBidi"/>
                <w:lang w:val="en-GB"/>
              </w:rPr>
              <w:t>Capacity building</w:t>
            </w:r>
          </w:p>
          <w:p w14:paraId="36C866A4" w14:textId="71657B89" w:rsidR="00820BA3" w:rsidRPr="00845AD9" w:rsidRDefault="0001188E" w:rsidP="00235CD0">
            <w:pPr>
              <w:pStyle w:val="ListParagraph"/>
              <w:numPr>
                <w:ilvl w:val="0"/>
                <w:numId w:val="71"/>
              </w:numPr>
              <w:spacing w:before="120" w:after="120"/>
              <w:ind w:left="714" w:hanging="357"/>
              <w:jc w:val="both"/>
              <w:rPr>
                <w:rFonts w:asciiTheme="minorBidi" w:hAnsiTheme="minorBidi" w:cstheme="minorBidi"/>
                <w:lang w:val="en-GB"/>
              </w:rPr>
            </w:pPr>
            <w:r w:rsidRPr="00820BA3">
              <w:rPr>
                <w:rFonts w:asciiTheme="minorBidi" w:hAnsiTheme="minorBidi" w:cstheme="minorBidi"/>
                <w:lang w:val="en-GB"/>
              </w:rPr>
              <w:t>Communities, groups or, in some cases, individuals</w:t>
            </w:r>
          </w:p>
          <w:p w14:paraId="3D080815" w14:textId="77777777" w:rsidR="0001188E" w:rsidRPr="00820BA3" w:rsidRDefault="0001188E" w:rsidP="00704766">
            <w:pPr>
              <w:pStyle w:val="ListParagraph"/>
              <w:numPr>
                <w:ilvl w:val="0"/>
                <w:numId w:val="71"/>
              </w:numPr>
              <w:spacing w:before="120" w:after="120"/>
              <w:ind w:left="714" w:hanging="357"/>
              <w:jc w:val="both"/>
              <w:rPr>
                <w:rFonts w:asciiTheme="minorBidi" w:hAnsiTheme="minorBidi" w:cstheme="minorBidi"/>
                <w:lang w:val="en-GB"/>
              </w:rPr>
            </w:pPr>
            <w:r w:rsidRPr="00820BA3">
              <w:rPr>
                <w:rFonts w:asciiTheme="minorBidi" w:hAnsiTheme="minorBidi" w:cstheme="minorBidi"/>
                <w:lang w:val="en-GB"/>
              </w:rPr>
              <w:t>Inclusive/inclusively</w:t>
            </w:r>
          </w:p>
        </w:tc>
      </w:tr>
    </w:tbl>
    <w:p w14:paraId="2057FFC5" w14:textId="77777777" w:rsidR="0054175C" w:rsidRPr="00820BA3" w:rsidRDefault="0054175C" w:rsidP="0054175C">
      <w:pPr>
        <w:jc w:val="center"/>
        <w:rPr>
          <w:rFonts w:ascii="Arial" w:hAnsi="Arial" w:cs="Arial"/>
          <w:b/>
          <w:sz w:val="24"/>
        </w:rPr>
        <w:sectPr w:rsidR="0054175C" w:rsidRPr="00820BA3" w:rsidSect="000F25BA">
          <w:headerReference w:type="default" r:id="rId8"/>
          <w:footerReference w:type="default" r:id="rId9"/>
          <w:pgSz w:w="11906" w:h="16838" w:code="9"/>
          <w:pgMar w:top="1418" w:right="1134" w:bottom="1134" w:left="1134" w:header="397" w:footer="284" w:gutter="0"/>
          <w:cols w:space="708"/>
          <w:docGrid w:linePitch="360"/>
        </w:sectPr>
      </w:pPr>
    </w:p>
    <w:p w14:paraId="6AFBE46F" w14:textId="77777777" w:rsidR="0054175C" w:rsidRPr="00820BA3" w:rsidRDefault="0054175C" w:rsidP="00704766">
      <w:pPr>
        <w:jc w:val="center"/>
        <w:rPr>
          <w:rFonts w:ascii="Arial" w:hAnsi="Arial" w:cs="Arial"/>
          <w:b/>
          <w:sz w:val="24"/>
        </w:rPr>
      </w:pPr>
      <w:r w:rsidRPr="00820BA3">
        <w:rPr>
          <w:rFonts w:ascii="Arial" w:hAnsi="Arial" w:cs="Arial"/>
          <w:b/>
          <w:sz w:val="24"/>
        </w:rPr>
        <w:lastRenderedPageBreak/>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820BA3" w14:paraId="037AF645" w14:textId="77777777" w:rsidTr="004B4CDA">
        <w:tc>
          <w:tcPr>
            <w:tcW w:w="730" w:type="pct"/>
            <w:shd w:val="clear" w:color="auto" w:fill="auto"/>
          </w:tcPr>
          <w:p w14:paraId="5C77552F" w14:textId="77777777" w:rsidR="002C28BA" w:rsidRPr="00820BA3" w:rsidRDefault="002C28BA" w:rsidP="006B0DB6">
            <w:pPr>
              <w:spacing w:before="120"/>
              <w:rPr>
                <w:rFonts w:ascii="Arial" w:hAnsi="Arial" w:cs="Arial"/>
                <w:b/>
                <w:szCs w:val="22"/>
              </w:rPr>
            </w:pPr>
            <w:r w:rsidRPr="00820BA3">
              <w:rPr>
                <w:rFonts w:ascii="Arial" w:hAnsi="Arial" w:cs="Arial"/>
                <w:b/>
                <w:szCs w:val="22"/>
              </w:rPr>
              <w:t>Benefits of monitoring</w:t>
            </w:r>
          </w:p>
        </w:tc>
        <w:tc>
          <w:tcPr>
            <w:tcW w:w="4270" w:type="pct"/>
            <w:shd w:val="clear" w:color="auto" w:fill="auto"/>
          </w:tcPr>
          <w:p w14:paraId="690BC46A" w14:textId="014E4287" w:rsidR="002C28BA" w:rsidRPr="00820BA3" w:rsidRDefault="001568B6" w:rsidP="00270AC0">
            <w:pPr>
              <w:keepLines/>
              <w:spacing w:before="120"/>
              <w:jc w:val="both"/>
              <w:rPr>
                <w:rFonts w:ascii="Arial" w:hAnsi="Arial" w:cs="Arial"/>
                <w:bCs/>
                <w:szCs w:val="22"/>
              </w:rPr>
            </w:pPr>
            <w:r w:rsidRPr="00820BA3">
              <w:rPr>
                <w:rFonts w:ascii="Arial" w:hAnsi="Arial" w:cs="Arial"/>
                <w:bCs/>
                <w:szCs w:val="22"/>
              </w:rPr>
              <w:t>Where</w:t>
            </w:r>
            <w:r w:rsidR="00C55BA2" w:rsidRPr="00820BA3">
              <w:rPr>
                <w:rFonts w:ascii="Arial" w:hAnsi="Arial" w:cs="Arial"/>
                <w:bCs/>
                <w:szCs w:val="22"/>
              </w:rPr>
              <w:t>as</w:t>
            </w:r>
            <w:r w:rsidRPr="00820BA3">
              <w:rPr>
                <w:rFonts w:ascii="Arial" w:hAnsi="Arial" w:cs="Arial"/>
                <w:bCs/>
                <w:szCs w:val="22"/>
              </w:rPr>
              <w:t xml:space="preserve"> Indicator 2 focuses on the availability of capacity-building programmes, the focus here is on whether they are effectively reaching several target audiences. Monitoring</w:t>
            </w:r>
            <w:r w:rsidR="001C4A03" w:rsidRPr="00820BA3">
              <w:rPr>
                <w:rFonts w:ascii="Arial" w:hAnsi="Arial" w:cs="Arial"/>
                <w:bCs/>
                <w:szCs w:val="22"/>
              </w:rPr>
              <w:t xml:space="preserve"> at the country level</w:t>
            </w:r>
            <w:r w:rsidRPr="00820BA3">
              <w:rPr>
                <w:rFonts w:ascii="Arial" w:hAnsi="Arial" w:cs="Arial"/>
                <w:bCs/>
                <w:szCs w:val="22"/>
              </w:rPr>
              <w:t xml:space="preserve"> thus provides feedback both to those organizing such programmes and to State officials (who may in some cases be providing funding for them) concerning the degree to which they are actually providing </w:t>
            </w:r>
            <w:r w:rsidR="00156D7B" w:rsidRPr="00820BA3">
              <w:rPr>
                <w:rFonts w:ascii="Arial" w:hAnsi="Arial" w:cs="Arial"/>
                <w:bCs/>
                <w:szCs w:val="22"/>
              </w:rPr>
              <w:t xml:space="preserve">training that reaches </w:t>
            </w:r>
            <w:r w:rsidRPr="00820BA3">
              <w:rPr>
                <w:rFonts w:ascii="Arial" w:hAnsi="Arial" w:cs="Arial"/>
                <w:bCs/>
                <w:szCs w:val="22"/>
              </w:rPr>
              <w:t xml:space="preserve">the intended </w:t>
            </w:r>
            <w:r w:rsidR="00156D7B" w:rsidRPr="00820BA3">
              <w:rPr>
                <w:rFonts w:ascii="Arial" w:hAnsi="Arial" w:cs="Arial"/>
                <w:bCs/>
                <w:szCs w:val="22"/>
              </w:rPr>
              <w:t>audiences</w:t>
            </w:r>
            <w:r w:rsidRPr="00820BA3">
              <w:rPr>
                <w:rFonts w:ascii="Arial" w:hAnsi="Arial" w:cs="Arial"/>
                <w:bCs/>
                <w:szCs w:val="22"/>
              </w:rPr>
              <w:t xml:space="preserve"> and whether adjustments need to be made to </w:t>
            </w:r>
            <w:r w:rsidR="00270AC0" w:rsidRPr="00820BA3">
              <w:rPr>
                <w:rFonts w:ascii="Arial" w:hAnsi="Arial" w:cs="Arial"/>
                <w:bCs/>
                <w:szCs w:val="22"/>
              </w:rPr>
              <w:t xml:space="preserve">respond </w:t>
            </w:r>
            <w:r w:rsidRPr="00820BA3">
              <w:rPr>
                <w:rFonts w:ascii="Arial" w:hAnsi="Arial" w:cs="Arial"/>
                <w:bCs/>
                <w:szCs w:val="22"/>
              </w:rPr>
              <w:t>more fully to the needs of specific constituencies. Monitoring and reporting at the global level can help identify good models for effective delivery of capacity-building services and can help other States learn of approaches and methods that have demonstrated their effectiveness.</w:t>
            </w:r>
          </w:p>
        </w:tc>
      </w:tr>
      <w:tr w:rsidR="0054175C" w:rsidRPr="00820BA3" w14:paraId="20A7E499" w14:textId="77777777" w:rsidTr="004B4CDA">
        <w:tc>
          <w:tcPr>
            <w:tcW w:w="730" w:type="pct"/>
            <w:shd w:val="clear" w:color="auto" w:fill="auto"/>
          </w:tcPr>
          <w:p w14:paraId="1F466DCA" w14:textId="77777777" w:rsidR="0054175C" w:rsidRPr="00820BA3" w:rsidRDefault="0054175C" w:rsidP="0054175C">
            <w:pPr>
              <w:spacing w:before="120"/>
              <w:rPr>
                <w:rFonts w:ascii="Arial" w:hAnsi="Arial" w:cs="Arial"/>
                <w:b/>
                <w:szCs w:val="22"/>
              </w:rPr>
            </w:pPr>
            <w:r w:rsidRPr="00820BA3">
              <w:rPr>
                <w:rFonts w:ascii="Arial" w:hAnsi="Arial" w:cs="Arial"/>
                <w:b/>
                <w:szCs w:val="22"/>
              </w:rPr>
              <w:t>Data sources and collection</w:t>
            </w:r>
          </w:p>
        </w:tc>
        <w:tc>
          <w:tcPr>
            <w:tcW w:w="4270" w:type="pct"/>
            <w:shd w:val="clear" w:color="auto" w:fill="auto"/>
          </w:tcPr>
          <w:p w14:paraId="6BEEA51D" w14:textId="57FC77C3" w:rsidR="0054175C" w:rsidRPr="00820BA3" w:rsidRDefault="00E2528B" w:rsidP="0054175C">
            <w:pPr>
              <w:spacing w:before="120"/>
              <w:jc w:val="both"/>
              <w:rPr>
                <w:rFonts w:ascii="Arial" w:hAnsi="Arial" w:cs="Arial"/>
                <w:szCs w:val="22"/>
              </w:rPr>
            </w:pPr>
            <w:r w:rsidRPr="00820BA3">
              <w:rPr>
                <w:rFonts w:ascii="Arial" w:hAnsi="Arial" w:cs="Arial"/>
                <w:szCs w:val="22"/>
              </w:rPr>
              <w:t>Disaggregated data on recipients and beneficiaries of training programmes and activities is an important source of information when available. This would normally be found in reports submitted after training programmes either to partners or for the general public. Ideally, s</w:t>
            </w:r>
            <w:r w:rsidR="000127C3" w:rsidRPr="00820BA3">
              <w:rPr>
                <w:rFonts w:ascii="Arial" w:hAnsi="Arial" w:cs="Arial"/>
                <w:szCs w:val="22"/>
              </w:rPr>
              <w:t xml:space="preserve">uch reports </w:t>
            </w:r>
            <w:r w:rsidR="00845AD9">
              <w:rPr>
                <w:rFonts w:ascii="Arial" w:hAnsi="Arial" w:cs="Arial"/>
                <w:szCs w:val="22"/>
              </w:rPr>
              <w:t>would</w:t>
            </w:r>
            <w:r w:rsidR="000127C3" w:rsidRPr="00820BA3">
              <w:rPr>
                <w:rFonts w:ascii="Arial" w:hAnsi="Arial" w:cs="Arial"/>
                <w:szCs w:val="22"/>
              </w:rPr>
              <w:t xml:space="preserve"> identify whether trainees are members of communities and groups (Assessment Factor 3.1) or are professionally involved in culture and heritage (Assessment Factor 3.2).</w:t>
            </w:r>
            <w:r w:rsidR="00623AD9" w:rsidRPr="00820BA3">
              <w:rPr>
                <w:rFonts w:ascii="Arial" w:hAnsi="Arial" w:cs="Arial"/>
                <w:szCs w:val="22"/>
              </w:rPr>
              <w:t xml:space="preserve"> Inclusiveness can be </w:t>
            </w:r>
            <w:r w:rsidRPr="00820BA3">
              <w:rPr>
                <w:rFonts w:ascii="Arial" w:hAnsi="Arial" w:cs="Arial"/>
                <w:szCs w:val="22"/>
              </w:rPr>
              <w:t xml:space="preserve">monitored </w:t>
            </w:r>
            <w:r w:rsidR="00623AD9" w:rsidRPr="00820BA3">
              <w:rPr>
                <w:rFonts w:ascii="Arial" w:hAnsi="Arial" w:cs="Arial"/>
                <w:szCs w:val="22"/>
              </w:rPr>
              <w:t xml:space="preserve">by data distinguishing participants by age, gender, language (if relevant), ethnicity, etc. </w:t>
            </w:r>
            <w:r w:rsidRPr="00820BA3">
              <w:rPr>
                <w:rFonts w:ascii="Arial" w:hAnsi="Arial" w:cs="Arial"/>
                <w:szCs w:val="22"/>
              </w:rPr>
              <w:t>Where available</w:t>
            </w:r>
            <w:r w:rsidR="00623AD9" w:rsidRPr="00820BA3">
              <w:rPr>
                <w:rFonts w:ascii="Arial" w:hAnsi="Arial" w:cs="Arial"/>
                <w:szCs w:val="22"/>
              </w:rPr>
              <w:t>, medium</w:t>
            </w:r>
            <w:r w:rsidR="00156D7B" w:rsidRPr="00820BA3">
              <w:rPr>
                <w:rFonts w:ascii="Arial" w:hAnsi="Arial" w:cs="Arial"/>
                <w:szCs w:val="22"/>
              </w:rPr>
              <w:t>-</w:t>
            </w:r>
            <w:r w:rsidR="00623AD9" w:rsidRPr="00820BA3">
              <w:rPr>
                <w:rFonts w:ascii="Arial" w:hAnsi="Arial" w:cs="Arial"/>
                <w:szCs w:val="22"/>
              </w:rPr>
              <w:t xml:space="preserve"> to long-term monitoring of trainees can track the extent to which they have utilized the skills and knowledge gained </w:t>
            </w:r>
            <w:r w:rsidR="00DA12BF" w:rsidRPr="00820BA3">
              <w:rPr>
                <w:rFonts w:ascii="Arial" w:hAnsi="Arial" w:cs="Arial"/>
                <w:szCs w:val="22"/>
              </w:rPr>
              <w:t>during</w:t>
            </w:r>
            <w:r w:rsidR="00623AD9" w:rsidRPr="00820BA3">
              <w:rPr>
                <w:rFonts w:ascii="Arial" w:hAnsi="Arial" w:cs="Arial"/>
                <w:szCs w:val="22"/>
              </w:rPr>
              <w:t xml:space="preserve"> training programmes.</w:t>
            </w:r>
          </w:p>
          <w:p w14:paraId="3D41355C" w14:textId="77777777" w:rsidR="0054175C" w:rsidRPr="00820BA3" w:rsidRDefault="00BE5B3F" w:rsidP="00704766">
            <w:pPr>
              <w:keepNext/>
              <w:spacing w:before="120" w:after="60"/>
              <w:jc w:val="both"/>
              <w:rPr>
                <w:rFonts w:ascii="Arial" w:hAnsi="Arial" w:cs="Arial"/>
                <w:b/>
                <w:szCs w:val="22"/>
              </w:rPr>
            </w:pPr>
            <w:r w:rsidRPr="00820BA3">
              <w:rPr>
                <w:rFonts w:ascii="Arial" w:hAnsi="Arial" w:cs="Arial"/>
                <w:b/>
                <w:szCs w:val="22"/>
              </w:rPr>
              <w:t>P</w:t>
            </w:r>
            <w:r w:rsidR="0054175C" w:rsidRPr="00820BA3">
              <w:rPr>
                <w:rFonts w:ascii="Arial" w:hAnsi="Arial" w:cs="Arial"/>
                <w:b/>
                <w:szCs w:val="22"/>
              </w:rPr>
              <w:t>ossible data sources</w:t>
            </w:r>
          </w:p>
          <w:p w14:paraId="09A8CC96" w14:textId="77777777" w:rsidR="0054175C" w:rsidRPr="00820BA3" w:rsidRDefault="00623AD9" w:rsidP="00BE5B3F">
            <w:pPr>
              <w:pStyle w:val="ListParagraph"/>
              <w:numPr>
                <w:ilvl w:val="0"/>
                <w:numId w:val="73"/>
              </w:numPr>
              <w:spacing w:before="120"/>
              <w:jc w:val="both"/>
              <w:rPr>
                <w:rFonts w:ascii="Arial" w:hAnsi="Arial" w:cs="Arial"/>
                <w:lang w:val="en-GB"/>
              </w:rPr>
            </w:pPr>
            <w:r w:rsidRPr="00820BA3">
              <w:rPr>
                <w:rFonts w:ascii="Arial" w:hAnsi="Arial" w:cs="Arial"/>
                <w:lang w:val="en-GB"/>
              </w:rPr>
              <w:t>Project reports</w:t>
            </w:r>
            <w:r w:rsidR="00E30C27" w:rsidRPr="00820BA3">
              <w:rPr>
                <w:rFonts w:ascii="Arial" w:hAnsi="Arial" w:cs="Arial"/>
                <w:lang w:val="en-GB"/>
              </w:rPr>
              <w:t xml:space="preserve"> and participant lists</w:t>
            </w:r>
            <w:r w:rsidRPr="00820BA3">
              <w:rPr>
                <w:rFonts w:ascii="Arial" w:hAnsi="Arial" w:cs="Arial"/>
                <w:lang w:val="en-GB"/>
              </w:rPr>
              <w:t xml:space="preserve"> for training programmes and activities</w:t>
            </w:r>
          </w:p>
          <w:p w14:paraId="2BBD58E1" w14:textId="77777777" w:rsidR="00E17EE8" w:rsidRPr="00820BA3" w:rsidRDefault="00623AD9" w:rsidP="00E17EE8">
            <w:pPr>
              <w:pStyle w:val="ListParagraph"/>
              <w:numPr>
                <w:ilvl w:val="0"/>
                <w:numId w:val="73"/>
              </w:numPr>
              <w:spacing w:before="120"/>
              <w:jc w:val="both"/>
              <w:rPr>
                <w:rFonts w:ascii="Arial" w:hAnsi="Arial" w:cs="Arial"/>
                <w:lang w:val="en-GB"/>
              </w:rPr>
            </w:pPr>
            <w:r w:rsidRPr="00820BA3">
              <w:rPr>
                <w:rFonts w:ascii="Arial" w:hAnsi="Arial" w:cs="Arial"/>
                <w:lang w:val="en-GB"/>
              </w:rPr>
              <w:t>Evaluations from training participants (at the conclusion of the training and, if possible, later)</w:t>
            </w:r>
          </w:p>
          <w:p w14:paraId="1A078708" w14:textId="77777777" w:rsidR="00156D7B" w:rsidRPr="00820BA3" w:rsidRDefault="00156D7B" w:rsidP="00E17EE8">
            <w:pPr>
              <w:pStyle w:val="ListParagraph"/>
              <w:numPr>
                <w:ilvl w:val="0"/>
                <w:numId w:val="73"/>
              </w:numPr>
              <w:spacing w:before="120"/>
              <w:jc w:val="both"/>
              <w:rPr>
                <w:rFonts w:ascii="Arial" w:hAnsi="Arial" w:cs="Arial"/>
                <w:lang w:val="en-GB"/>
              </w:rPr>
            </w:pPr>
            <w:r w:rsidRPr="00820BA3">
              <w:rPr>
                <w:rFonts w:ascii="Arial" w:hAnsi="Arial" w:cs="Arial"/>
                <w:lang w:val="en-GB"/>
              </w:rPr>
              <w:t>Information gathered from NGOs and community-based organizations</w:t>
            </w:r>
          </w:p>
          <w:p w14:paraId="2DD408D6" w14:textId="77777777" w:rsidR="00623AD9" w:rsidRPr="00820BA3" w:rsidRDefault="00623AD9" w:rsidP="00BE5B3F">
            <w:pPr>
              <w:pStyle w:val="ListParagraph"/>
              <w:numPr>
                <w:ilvl w:val="0"/>
                <w:numId w:val="73"/>
              </w:numPr>
              <w:spacing w:before="120"/>
              <w:jc w:val="both"/>
              <w:rPr>
                <w:rFonts w:ascii="Arial" w:hAnsi="Arial" w:cs="Arial"/>
                <w:lang w:val="en-GB"/>
              </w:rPr>
            </w:pPr>
            <w:r w:rsidRPr="00820BA3">
              <w:rPr>
                <w:rFonts w:ascii="Arial" w:hAnsi="Arial" w:cs="Arial"/>
                <w:lang w:val="en-GB"/>
              </w:rPr>
              <w:t>Media coverage of workshops and training activities</w:t>
            </w:r>
          </w:p>
          <w:p w14:paraId="3A63C5CC" w14:textId="77777777" w:rsidR="00893297" w:rsidRPr="00820BA3" w:rsidRDefault="00893297" w:rsidP="00893297">
            <w:pPr>
              <w:pStyle w:val="ListParagraph"/>
              <w:numPr>
                <w:ilvl w:val="0"/>
                <w:numId w:val="73"/>
              </w:numPr>
              <w:spacing w:before="120"/>
              <w:jc w:val="both"/>
              <w:rPr>
                <w:rFonts w:ascii="Arial" w:hAnsi="Arial" w:cs="Arial"/>
                <w:lang w:val="en-GB"/>
              </w:rPr>
            </w:pPr>
            <w:r w:rsidRPr="00820BA3">
              <w:rPr>
                <w:rFonts w:ascii="Arial" w:hAnsi="Arial" w:cs="Arial"/>
                <w:lang w:val="en-GB"/>
              </w:rPr>
              <w:t>Tracer studies with trainees to assess how they are utilizing the knowledge and skills they acquired in a specific training</w:t>
            </w:r>
          </w:p>
        </w:tc>
      </w:tr>
    </w:tbl>
    <w:p w14:paraId="55EE2B3C" w14:textId="77777777" w:rsidR="00320242" w:rsidRPr="00820BA3" w:rsidRDefault="00320242" w:rsidP="00A5709F">
      <w:pPr>
        <w:rPr>
          <w:rFonts w:ascii="Arial" w:hAnsi="Arial" w:cs="Arial"/>
        </w:rPr>
      </w:pPr>
      <w:bookmarkStart w:id="0" w:name="_GoBack"/>
      <w:bookmarkEnd w:id="0"/>
    </w:p>
    <w:sectPr w:rsidR="00320242" w:rsidRPr="00820BA3"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B8A5B" w14:textId="77777777" w:rsidR="00E82F7E" w:rsidRDefault="00E82F7E" w:rsidP="002938F2">
      <w:r>
        <w:separator/>
      </w:r>
    </w:p>
    <w:p w14:paraId="2617B2D5" w14:textId="77777777" w:rsidR="00E82F7E" w:rsidRDefault="00E82F7E"/>
  </w:endnote>
  <w:endnote w:type="continuationSeparator" w:id="0">
    <w:p w14:paraId="4F77043F" w14:textId="77777777" w:rsidR="00E82F7E" w:rsidRDefault="00E82F7E" w:rsidP="002938F2">
      <w:r>
        <w:continuationSeparator/>
      </w:r>
    </w:p>
    <w:p w14:paraId="23EAC5EC" w14:textId="77777777" w:rsidR="00E82F7E" w:rsidRDefault="00E82F7E"/>
  </w:endnote>
  <w:endnote w:type="continuationNotice" w:id="1">
    <w:p w14:paraId="2121546B" w14:textId="77777777" w:rsidR="00E82F7E" w:rsidRDefault="00E82F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1FD5" w14:textId="59F4ABE5" w:rsidR="00C04344" w:rsidRPr="000A0709" w:rsidRDefault="00A147CF"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845AD9">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36DE6" w14:textId="77777777" w:rsidR="00E82F7E" w:rsidRDefault="00E82F7E" w:rsidP="002938F2">
      <w:r>
        <w:separator/>
      </w:r>
    </w:p>
  </w:footnote>
  <w:footnote w:type="continuationSeparator" w:id="0">
    <w:p w14:paraId="02466223" w14:textId="77777777" w:rsidR="00E82F7E" w:rsidRDefault="00E82F7E" w:rsidP="002938F2">
      <w:r>
        <w:continuationSeparator/>
      </w:r>
    </w:p>
    <w:p w14:paraId="612F831F" w14:textId="77777777" w:rsidR="00E82F7E" w:rsidRDefault="00E82F7E"/>
  </w:footnote>
  <w:footnote w:type="continuationNotice" w:id="1">
    <w:p w14:paraId="2CF0D695" w14:textId="77777777" w:rsidR="00E82F7E" w:rsidRDefault="00E82F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C11E" w14:textId="77777777" w:rsidR="00AD5062" w:rsidRDefault="00AD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3607F2"/>
    <w:multiLevelType w:val="multilevel"/>
    <w:tmpl w:val="E5CE934C"/>
    <w:lvl w:ilvl="0">
      <w:start w:val="3"/>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6"/>
  </w:num>
  <w:num w:numId="3">
    <w:abstractNumId w:val="12"/>
  </w:num>
  <w:num w:numId="4">
    <w:abstractNumId w:val="54"/>
  </w:num>
  <w:num w:numId="5">
    <w:abstractNumId w:val="45"/>
  </w:num>
  <w:num w:numId="6">
    <w:abstractNumId w:val="4"/>
  </w:num>
  <w:num w:numId="7">
    <w:abstractNumId w:val="16"/>
  </w:num>
  <w:num w:numId="8">
    <w:abstractNumId w:val="25"/>
  </w:num>
  <w:num w:numId="9">
    <w:abstractNumId w:val="48"/>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8"/>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2"/>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6"/>
  </w:num>
  <w:num w:numId="35">
    <w:abstractNumId w:val="21"/>
  </w:num>
  <w:num w:numId="36">
    <w:abstractNumId w:val="40"/>
  </w:num>
  <w:num w:numId="37">
    <w:abstractNumId w:val="18"/>
  </w:num>
  <w:num w:numId="38">
    <w:abstractNumId w:val="10"/>
  </w:num>
  <w:num w:numId="39">
    <w:abstractNumId w:val="7"/>
  </w:num>
  <w:num w:numId="40">
    <w:abstractNumId w:val="20"/>
  </w:num>
  <w:num w:numId="41">
    <w:abstractNumId w:val="53"/>
  </w:num>
  <w:num w:numId="42">
    <w:abstractNumId w:val="50"/>
  </w:num>
  <w:num w:numId="43">
    <w:abstractNumId w:val="29"/>
  </w:num>
  <w:num w:numId="44">
    <w:abstractNumId w:val="13"/>
  </w:num>
  <w:num w:numId="45">
    <w:abstractNumId w:val="51"/>
  </w:num>
  <w:num w:numId="46">
    <w:abstractNumId w:val="5"/>
  </w:num>
  <w:num w:numId="47">
    <w:abstractNumId w:val="35"/>
  </w:num>
  <w:num w:numId="48">
    <w:abstractNumId w:val="55"/>
  </w:num>
  <w:num w:numId="49">
    <w:abstractNumId w:val="32"/>
  </w:num>
  <w:num w:numId="50">
    <w:abstractNumId w:val="30"/>
  </w:num>
  <w:num w:numId="51">
    <w:abstractNumId w:val="27"/>
  </w:num>
  <w:num w:numId="52">
    <w:abstractNumId w:val="37"/>
  </w:num>
  <w:num w:numId="53">
    <w:abstractNumId w:val="15"/>
  </w:num>
  <w:num w:numId="54">
    <w:abstractNumId w:val="1"/>
  </w:num>
  <w:num w:numId="55">
    <w:abstractNumId w:val="34"/>
  </w:num>
  <w:num w:numId="56">
    <w:abstractNumId w:val="39"/>
  </w:num>
  <w:num w:numId="57">
    <w:abstractNumId w:val="0"/>
  </w:num>
  <w:num w:numId="58">
    <w:abstractNumId w:val="3"/>
  </w:num>
  <w:num w:numId="59">
    <w:abstractNumId w:val="43"/>
  </w:num>
  <w:num w:numId="60">
    <w:abstractNumId w:val="2"/>
  </w:num>
  <w:num w:numId="61">
    <w:abstractNumId w:val="31"/>
  </w:num>
  <w:num w:numId="62">
    <w:abstractNumId w:val="22"/>
  </w:num>
  <w:num w:numId="63">
    <w:abstractNumId w:val="47"/>
  </w:num>
  <w:num w:numId="64">
    <w:abstractNumId w:val="19"/>
  </w:num>
  <w:num w:numId="65">
    <w:abstractNumId w:val="24"/>
  </w:num>
  <w:num w:numId="66">
    <w:abstractNumId w:val="44"/>
  </w:num>
  <w:num w:numId="67">
    <w:abstractNumId w:val="36"/>
  </w:num>
  <w:num w:numId="68">
    <w:abstractNumId w:val="14"/>
  </w:num>
  <w:num w:numId="69">
    <w:abstractNumId w:val="41"/>
  </w:num>
  <w:num w:numId="70">
    <w:abstractNumId w:val="33"/>
  </w:num>
  <w:num w:numId="71">
    <w:abstractNumId w:val="28"/>
  </w:num>
  <w:num w:numId="72">
    <w:abstractNumId w:val="49"/>
  </w:num>
  <w:num w:numId="73">
    <w:abstractNumId w:val="8"/>
  </w:num>
  <w:num w:numId="74">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F1"/>
    <w:rsid w:val="000016A4"/>
    <w:rsid w:val="000019DB"/>
    <w:rsid w:val="0000266B"/>
    <w:rsid w:val="000047CC"/>
    <w:rsid w:val="00005BA5"/>
    <w:rsid w:val="00005BFA"/>
    <w:rsid w:val="00006F66"/>
    <w:rsid w:val="00010E2D"/>
    <w:rsid w:val="0001188E"/>
    <w:rsid w:val="000120FD"/>
    <w:rsid w:val="000127C3"/>
    <w:rsid w:val="00013A65"/>
    <w:rsid w:val="00013C41"/>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4889"/>
    <w:rsid w:val="00085541"/>
    <w:rsid w:val="00092AE6"/>
    <w:rsid w:val="00093063"/>
    <w:rsid w:val="000A0709"/>
    <w:rsid w:val="000A0F0D"/>
    <w:rsid w:val="000A112A"/>
    <w:rsid w:val="000A1AB2"/>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568B6"/>
    <w:rsid w:val="00156D7B"/>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4A03"/>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5CD0"/>
    <w:rsid w:val="00237935"/>
    <w:rsid w:val="00237E43"/>
    <w:rsid w:val="00245E26"/>
    <w:rsid w:val="0024651C"/>
    <w:rsid w:val="002539EA"/>
    <w:rsid w:val="002542FD"/>
    <w:rsid w:val="00254B4E"/>
    <w:rsid w:val="00254CA1"/>
    <w:rsid w:val="0026007A"/>
    <w:rsid w:val="002638C0"/>
    <w:rsid w:val="00265E42"/>
    <w:rsid w:val="00265E68"/>
    <w:rsid w:val="00266B45"/>
    <w:rsid w:val="00270AC0"/>
    <w:rsid w:val="0027198B"/>
    <w:rsid w:val="00273658"/>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C7C5D"/>
    <w:rsid w:val="002D396D"/>
    <w:rsid w:val="002D71D4"/>
    <w:rsid w:val="002E113D"/>
    <w:rsid w:val="002F17E1"/>
    <w:rsid w:val="003043A9"/>
    <w:rsid w:val="0030454E"/>
    <w:rsid w:val="00320242"/>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A608F"/>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B4CDA"/>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23AD9"/>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2321"/>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97D4A"/>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0BA3"/>
    <w:rsid w:val="0082533C"/>
    <w:rsid w:val="008269B0"/>
    <w:rsid w:val="0083067E"/>
    <w:rsid w:val="00832357"/>
    <w:rsid w:val="0083488D"/>
    <w:rsid w:val="008364D8"/>
    <w:rsid w:val="00845AD9"/>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3297"/>
    <w:rsid w:val="0089499E"/>
    <w:rsid w:val="00896177"/>
    <w:rsid w:val="008A0BE3"/>
    <w:rsid w:val="008A2566"/>
    <w:rsid w:val="008A51DB"/>
    <w:rsid w:val="008A6663"/>
    <w:rsid w:val="008B6B4C"/>
    <w:rsid w:val="008B7346"/>
    <w:rsid w:val="008C7F60"/>
    <w:rsid w:val="008D3BF7"/>
    <w:rsid w:val="008E0DAA"/>
    <w:rsid w:val="008E194D"/>
    <w:rsid w:val="008F16C6"/>
    <w:rsid w:val="008F2A76"/>
    <w:rsid w:val="008F34A1"/>
    <w:rsid w:val="008F4F13"/>
    <w:rsid w:val="008F5052"/>
    <w:rsid w:val="008F5193"/>
    <w:rsid w:val="00900AF3"/>
    <w:rsid w:val="0090187D"/>
    <w:rsid w:val="00903C3D"/>
    <w:rsid w:val="0090710F"/>
    <w:rsid w:val="00910B12"/>
    <w:rsid w:val="00911179"/>
    <w:rsid w:val="009121CE"/>
    <w:rsid w:val="009127D8"/>
    <w:rsid w:val="00915343"/>
    <w:rsid w:val="00916F7B"/>
    <w:rsid w:val="00917A4D"/>
    <w:rsid w:val="00921F65"/>
    <w:rsid w:val="0092574C"/>
    <w:rsid w:val="009342E8"/>
    <w:rsid w:val="009357B4"/>
    <w:rsid w:val="00946D71"/>
    <w:rsid w:val="009577E1"/>
    <w:rsid w:val="00961F15"/>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47CF"/>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5062"/>
    <w:rsid w:val="00AD6BD4"/>
    <w:rsid w:val="00AE166B"/>
    <w:rsid w:val="00AE1B18"/>
    <w:rsid w:val="00AE1D83"/>
    <w:rsid w:val="00AE2DFB"/>
    <w:rsid w:val="00AE3061"/>
    <w:rsid w:val="00AF15BA"/>
    <w:rsid w:val="00AF1AF1"/>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B1062"/>
    <w:rsid w:val="00BB28EF"/>
    <w:rsid w:val="00BB5DEE"/>
    <w:rsid w:val="00BC002E"/>
    <w:rsid w:val="00BC393F"/>
    <w:rsid w:val="00BC75FC"/>
    <w:rsid w:val="00BD11DA"/>
    <w:rsid w:val="00BD59BD"/>
    <w:rsid w:val="00BE5B3F"/>
    <w:rsid w:val="00BF351F"/>
    <w:rsid w:val="00BF3F50"/>
    <w:rsid w:val="00BF6F37"/>
    <w:rsid w:val="00C02924"/>
    <w:rsid w:val="00C04344"/>
    <w:rsid w:val="00C17FE4"/>
    <w:rsid w:val="00C21897"/>
    <w:rsid w:val="00C276EE"/>
    <w:rsid w:val="00C37B40"/>
    <w:rsid w:val="00C42273"/>
    <w:rsid w:val="00C43757"/>
    <w:rsid w:val="00C43BCE"/>
    <w:rsid w:val="00C47CF1"/>
    <w:rsid w:val="00C52006"/>
    <w:rsid w:val="00C53AB4"/>
    <w:rsid w:val="00C542F1"/>
    <w:rsid w:val="00C55BA2"/>
    <w:rsid w:val="00C572B3"/>
    <w:rsid w:val="00C57CA1"/>
    <w:rsid w:val="00C6300B"/>
    <w:rsid w:val="00C6426B"/>
    <w:rsid w:val="00C6478B"/>
    <w:rsid w:val="00C87194"/>
    <w:rsid w:val="00C8798A"/>
    <w:rsid w:val="00C90629"/>
    <w:rsid w:val="00C90C51"/>
    <w:rsid w:val="00CA3ED6"/>
    <w:rsid w:val="00CA7CF4"/>
    <w:rsid w:val="00CB0F37"/>
    <w:rsid w:val="00CB1135"/>
    <w:rsid w:val="00CB590B"/>
    <w:rsid w:val="00CC02C5"/>
    <w:rsid w:val="00CC2BC6"/>
    <w:rsid w:val="00CC3AAB"/>
    <w:rsid w:val="00CC5973"/>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649C2"/>
    <w:rsid w:val="00D73DB6"/>
    <w:rsid w:val="00D809E5"/>
    <w:rsid w:val="00D81948"/>
    <w:rsid w:val="00D90819"/>
    <w:rsid w:val="00D93291"/>
    <w:rsid w:val="00D9501F"/>
    <w:rsid w:val="00DA12BF"/>
    <w:rsid w:val="00DB50D5"/>
    <w:rsid w:val="00DC5537"/>
    <w:rsid w:val="00DD11EE"/>
    <w:rsid w:val="00DD52A0"/>
    <w:rsid w:val="00DE5590"/>
    <w:rsid w:val="00DE6364"/>
    <w:rsid w:val="00DF1D9E"/>
    <w:rsid w:val="00DF3DA3"/>
    <w:rsid w:val="00DF5DA4"/>
    <w:rsid w:val="00E06492"/>
    <w:rsid w:val="00E065CE"/>
    <w:rsid w:val="00E06A00"/>
    <w:rsid w:val="00E13E03"/>
    <w:rsid w:val="00E17EE8"/>
    <w:rsid w:val="00E22B99"/>
    <w:rsid w:val="00E24A9D"/>
    <w:rsid w:val="00E2528B"/>
    <w:rsid w:val="00E258D9"/>
    <w:rsid w:val="00E30C27"/>
    <w:rsid w:val="00E35B8C"/>
    <w:rsid w:val="00E439CA"/>
    <w:rsid w:val="00E46DDB"/>
    <w:rsid w:val="00E473F3"/>
    <w:rsid w:val="00E5219B"/>
    <w:rsid w:val="00E54295"/>
    <w:rsid w:val="00E55693"/>
    <w:rsid w:val="00E56905"/>
    <w:rsid w:val="00E64BE4"/>
    <w:rsid w:val="00E82F7E"/>
    <w:rsid w:val="00E85565"/>
    <w:rsid w:val="00E87F91"/>
    <w:rsid w:val="00E94BC6"/>
    <w:rsid w:val="00EA0563"/>
    <w:rsid w:val="00EA198F"/>
    <w:rsid w:val="00EA2EA1"/>
    <w:rsid w:val="00EA3CB9"/>
    <w:rsid w:val="00EA59EB"/>
    <w:rsid w:val="00EA67F3"/>
    <w:rsid w:val="00EB48F8"/>
    <w:rsid w:val="00ED0346"/>
    <w:rsid w:val="00ED0C60"/>
    <w:rsid w:val="00ED3D26"/>
    <w:rsid w:val="00ED5218"/>
    <w:rsid w:val="00ED52C9"/>
    <w:rsid w:val="00EE1D9D"/>
    <w:rsid w:val="00EF0BCB"/>
    <w:rsid w:val="00EF0E74"/>
    <w:rsid w:val="00EF2549"/>
    <w:rsid w:val="00F00E8A"/>
    <w:rsid w:val="00F16242"/>
    <w:rsid w:val="00F17FCB"/>
    <w:rsid w:val="00F2047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32B1"/>
    <w:rsid w:val="00FA7CE6"/>
    <w:rsid w:val="00FB1313"/>
    <w:rsid w:val="00FC2238"/>
    <w:rsid w:val="00FC2459"/>
    <w:rsid w:val="00FC268E"/>
    <w:rsid w:val="00FC2BFD"/>
    <w:rsid w:val="00FC309D"/>
    <w:rsid w:val="00FC47E0"/>
    <w:rsid w:val="00FC75EF"/>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23402"/>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AD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C858-7BF6-47E5-BBCA-1039BBC2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9</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2019-07-19T20:11:00Z</dcterms:created>
  <dcterms:modified xsi:type="dcterms:W3CDTF">2019-12-06T17:05:00Z</dcterms:modified>
</cp:coreProperties>
</file>