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35299" w14:textId="77777777" w:rsidR="001F4EB1" w:rsidRPr="00153AD9" w:rsidRDefault="001F4EB1" w:rsidP="0018334B">
      <w:pPr>
        <w:pageBreakBefore/>
        <w:bidi/>
        <w:jc w:val="center"/>
        <w:rPr>
          <w:b/>
          <w:bCs/>
          <w:sz w:val="24"/>
          <w:szCs w:val="28"/>
        </w:rPr>
      </w:pPr>
      <w:r w:rsidRPr="00153AD9">
        <w:rPr>
          <w:b/>
          <w:bCs/>
          <w:sz w:val="24"/>
          <w:szCs w:val="28"/>
          <w:rtl/>
        </w:rPr>
        <w:t>اللمحة العامة والأسس المنطقية</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6582"/>
        <w:gridCol w:w="1533"/>
      </w:tblGrid>
      <w:tr w:rsidR="005473CF" w:rsidRPr="00034B50" w14:paraId="2D4FBFB2" w14:textId="77777777" w:rsidTr="001F4EB1">
        <w:trPr>
          <w:cantSplit/>
        </w:trPr>
        <w:tc>
          <w:tcPr>
            <w:tcW w:w="786" w:type="pct"/>
            <w:shd w:val="clear" w:color="auto" w:fill="auto"/>
          </w:tcPr>
          <w:p w14:paraId="0BBD652B" w14:textId="735D4C42" w:rsidR="005473CF" w:rsidRPr="00AD2B40" w:rsidRDefault="001F4EB1" w:rsidP="0018334B">
            <w:pPr>
              <w:bidi/>
              <w:spacing w:before="120"/>
              <w:rPr>
                <w:b/>
                <w:sz w:val="24"/>
              </w:rPr>
            </w:pPr>
            <w:r w:rsidRPr="00AD2B40">
              <w:rPr>
                <w:bCs/>
                <w:sz w:val="24"/>
                <w:rtl/>
                <w:lang w:bidi="ar-EG"/>
              </w:rPr>
              <w:t>المؤشر</w:t>
            </w:r>
          </w:p>
        </w:tc>
        <w:tc>
          <w:tcPr>
            <w:tcW w:w="4214" w:type="pct"/>
            <w:gridSpan w:val="2"/>
            <w:shd w:val="clear" w:color="auto" w:fill="auto"/>
          </w:tcPr>
          <w:p w14:paraId="7BDECC47" w14:textId="720D9DCF" w:rsidR="005473CF" w:rsidRPr="00AD2B40" w:rsidRDefault="00034B50" w:rsidP="0018334B">
            <w:pPr>
              <w:pStyle w:val="ListParagraph"/>
              <w:keepLines/>
              <w:numPr>
                <w:ilvl w:val="0"/>
                <w:numId w:val="75"/>
              </w:numPr>
              <w:bidi/>
              <w:spacing w:before="120"/>
              <w:jc w:val="both"/>
              <w:rPr>
                <w:rFonts w:ascii="Times New Roman" w:hAnsi="Times New Roman"/>
                <w:bCs/>
                <w:sz w:val="24"/>
                <w:szCs w:val="24"/>
              </w:rPr>
            </w:pPr>
            <w:r w:rsidRPr="00AD2B40">
              <w:rPr>
                <w:rFonts w:ascii="Times New Roman" w:hAnsi="Times New Roman"/>
                <w:bCs/>
                <w:sz w:val="24"/>
                <w:szCs w:val="24"/>
                <w:rtl/>
              </w:rPr>
              <w:t>مدى تعزيز التعليم</w:t>
            </w:r>
            <w:r w:rsidRPr="00AD2B40">
              <w:rPr>
                <w:rFonts w:ascii="Times New Roman" w:hAnsi="Times New Roman" w:hint="cs"/>
                <w:bCs/>
                <w:sz w:val="24"/>
                <w:szCs w:val="24"/>
                <w:rtl/>
              </w:rPr>
              <w:t>،</w:t>
            </w:r>
            <w:r w:rsidRPr="00AD2B40">
              <w:rPr>
                <w:rFonts w:ascii="Times New Roman" w:hAnsi="Times New Roman"/>
                <w:bCs/>
                <w:sz w:val="24"/>
                <w:szCs w:val="24"/>
                <w:rtl/>
              </w:rPr>
              <w:t xml:space="preserve"> بشقّيه النظامي وغير النظامي، لنقل التراث الثقافي غير المادي وتشجيع احترامه</w:t>
            </w:r>
          </w:p>
        </w:tc>
      </w:tr>
      <w:tr w:rsidR="005B0FE5" w:rsidRPr="00034B50" w14:paraId="1AFD5CAA" w14:textId="77777777" w:rsidTr="001F4EB1">
        <w:trPr>
          <w:cantSplit/>
        </w:trPr>
        <w:tc>
          <w:tcPr>
            <w:tcW w:w="786" w:type="pct"/>
            <w:vMerge w:val="restart"/>
            <w:shd w:val="clear" w:color="auto" w:fill="auto"/>
          </w:tcPr>
          <w:p w14:paraId="6779EBE6" w14:textId="260460D1" w:rsidR="005B0FE5" w:rsidRPr="00AD2B40" w:rsidRDefault="001F4EB1" w:rsidP="0018334B">
            <w:pPr>
              <w:bidi/>
              <w:spacing w:before="120"/>
              <w:rPr>
                <w:b/>
                <w:sz w:val="24"/>
              </w:rPr>
            </w:pPr>
            <w:r w:rsidRPr="00AD2B40">
              <w:rPr>
                <w:bCs/>
                <w:sz w:val="24"/>
                <w:rtl/>
              </w:rPr>
              <w:t>عوامل التقييم الشامل</w:t>
            </w:r>
          </w:p>
        </w:tc>
        <w:tc>
          <w:tcPr>
            <w:tcW w:w="4214" w:type="pct"/>
            <w:gridSpan w:val="2"/>
            <w:shd w:val="clear" w:color="auto" w:fill="auto"/>
          </w:tcPr>
          <w:p w14:paraId="4B5BC765" w14:textId="77B5B706" w:rsidR="005B0FE5" w:rsidRPr="00AD2B40" w:rsidRDefault="001A0F02" w:rsidP="0018334B">
            <w:pPr>
              <w:keepLines/>
              <w:bidi/>
              <w:spacing w:before="120"/>
              <w:jc w:val="both"/>
              <w:rPr>
                <w:sz w:val="24"/>
                <w:lang w:val="en-US"/>
              </w:rPr>
            </w:pPr>
            <w:r w:rsidRPr="00AD2B40">
              <w:rPr>
                <w:sz w:val="24"/>
                <w:rtl/>
              </w:rPr>
              <w:t xml:space="preserve">يتم تقييم هذا المؤشر على أساس أربعة عوامل على </w:t>
            </w:r>
            <w:r w:rsidR="007000C5" w:rsidRPr="00AD2B40">
              <w:rPr>
                <w:rFonts w:hint="cs"/>
                <w:sz w:val="24"/>
                <w:rtl/>
              </w:rPr>
              <w:t>الصعيد</w:t>
            </w:r>
            <w:r w:rsidRPr="00AD2B40">
              <w:rPr>
                <w:sz w:val="24"/>
                <w:rtl/>
              </w:rPr>
              <w:t xml:space="preserve"> القطري ترصدها كل دولة طرف </w:t>
            </w:r>
            <w:r w:rsidR="002B7D23" w:rsidRPr="00AD2B40">
              <w:rPr>
                <w:rFonts w:hint="cs"/>
                <w:sz w:val="24"/>
                <w:rtl/>
                <w:lang w:bidi="ar-EG"/>
              </w:rPr>
              <w:t>و</w:t>
            </w:r>
            <w:r w:rsidR="00CE3F17" w:rsidRPr="00AD2B40">
              <w:rPr>
                <w:rFonts w:hint="cs"/>
                <w:sz w:val="24"/>
                <w:rtl/>
                <w:lang w:bidi="ar-EG"/>
              </w:rPr>
              <w:t>ت</w:t>
            </w:r>
            <w:r w:rsidR="008F428F">
              <w:rPr>
                <w:rFonts w:hint="cs"/>
                <w:sz w:val="24"/>
                <w:rtl/>
                <w:lang w:bidi="ar-EG"/>
              </w:rPr>
              <w:t>عد التقرير</w:t>
            </w:r>
            <w:r w:rsidR="00CE3F17" w:rsidRPr="00AD2B40">
              <w:rPr>
                <w:rFonts w:hint="cs"/>
                <w:sz w:val="24"/>
                <w:rtl/>
                <w:lang w:bidi="ar-EG"/>
              </w:rPr>
              <w:t xml:space="preserve"> عنها</w:t>
            </w:r>
            <w:r w:rsidRPr="00AD2B40">
              <w:rPr>
                <w:sz w:val="24"/>
                <w:rtl/>
              </w:rPr>
              <w:t>:</w:t>
            </w:r>
          </w:p>
        </w:tc>
      </w:tr>
      <w:tr w:rsidR="000C28B9" w:rsidRPr="00034B50" w14:paraId="5310AAC9" w14:textId="77777777" w:rsidTr="001F4EB1">
        <w:trPr>
          <w:cantSplit/>
        </w:trPr>
        <w:tc>
          <w:tcPr>
            <w:tcW w:w="786" w:type="pct"/>
            <w:vMerge/>
            <w:shd w:val="clear" w:color="auto" w:fill="auto"/>
          </w:tcPr>
          <w:p w14:paraId="04D8999D" w14:textId="77777777" w:rsidR="000C28B9" w:rsidRPr="00AD2B40" w:rsidRDefault="000C28B9" w:rsidP="0018334B">
            <w:pPr>
              <w:bidi/>
              <w:spacing w:before="120"/>
              <w:rPr>
                <w:b/>
                <w:sz w:val="24"/>
              </w:rPr>
            </w:pPr>
          </w:p>
        </w:tc>
        <w:tc>
          <w:tcPr>
            <w:tcW w:w="3418" w:type="pct"/>
            <w:shd w:val="clear" w:color="auto" w:fill="auto"/>
            <w:vAlign w:val="center"/>
          </w:tcPr>
          <w:p w14:paraId="0489C3D3" w14:textId="0F173BB1" w:rsidR="000C28B9" w:rsidRPr="00AD2B40" w:rsidRDefault="00032028" w:rsidP="0018334B">
            <w:pPr>
              <w:keepLines/>
              <w:bidi/>
              <w:spacing w:before="120"/>
              <w:ind w:left="7" w:hanging="7"/>
              <w:jc w:val="both"/>
              <w:rPr>
                <w:rFonts w:eastAsia="Calibri"/>
                <w:sz w:val="24"/>
              </w:rPr>
            </w:pPr>
            <w:r w:rsidRPr="00AD2B40">
              <w:rPr>
                <w:rFonts w:eastAsia="Calibri"/>
                <w:sz w:val="24"/>
                <w:rtl/>
                <w:lang w:bidi="ar-EG"/>
              </w:rPr>
              <w:t>4-1 إشراك الممارسين في مجال التراث وحمَلة</w:t>
            </w:r>
            <w:r w:rsidRPr="00AD2B40">
              <w:rPr>
                <w:rStyle w:val="FootnoteReference"/>
                <w:rFonts w:eastAsia="Calibri"/>
                <w:sz w:val="24"/>
                <w:rtl/>
                <w:lang w:bidi="ar-EG"/>
              </w:rPr>
              <w:footnoteReference w:id="2"/>
            </w:r>
            <w:r w:rsidRPr="00AD2B40">
              <w:rPr>
                <w:rFonts w:eastAsia="Calibri"/>
                <w:sz w:val="24"/>
                <w:rtl/>
                <w:lang w:bidi="ar-EG"/>
              </w:rPr>
              <w:t xml:space="preserve"> التراث بشكل شامل في تصميم برامج التعليم المتعلّقة بالتراث الثقافي غير المادي و/أو في عرض تراثهم ونقله بشكل فاعل.</w:t>
            </w:r>
          </w:p>
        </w:tc>
        <w:tc>
          <w:tcPr>
            <w:tcW w:w="796" w:type="pct"/>
            <w:shd w:val="clear" w:color="auto" w:fill="auto"/>
            <w:vAlign w:val="center"/>
          </w:tcPr>
          <w:p w14:paraId="342A3A70" w14:textId="5CE4A437" w:rsidR="000C28B9" w:rsidRPr="00AD2B40" w:rsidRDefault="00CB2E3E" w:rsidP="0018334B">
            <w:pPr>
              <w:keepLines/>
              <w:bidi/>
              <w:spacing w:before="120"/>
              <w:jc w:val="both"/>
              <w:rPr>
                <w:sz w:val="24"/>
              </w:rPr>
            </w:pPr>
            <w:r w:rsidRPr="00AD2B40">
              <w:rPr>
                <w:sz w:val="24"/>
                <w:rtl/>
              </w:rPr>
              <w:t xml:space="preserve">التوجيه </w:t>
            </w:r>
            <w:r w:rsidR="00AF0335" w:rsidRPr="00AD2B40">
              <w:rPr>
                <w:rFonts w:asciiTheme="majorBidi" w:hAnsiTheme="majorBidi"/>
                <w:sz w:val="24"/>
                <w:rtl/>
              </w:rPr>
              <w:t xml:space="preserve">التنفيذي </w:t>
            </w:r>
            <w:r w:rsidRPr="00AD2B40">
              <w:rPr>
                <w:sz w:val="24"/>
                <w:rtl/>
              </w:rPr>
              <w:t>107 (ه</w:t>
            </w:r>
            <w:r w:rsidR="005E45A5" w:rsidRPr="00AD2B40">
              <w:rPr>
                <w:rFonts w:hint="cs"/>
                <w:sz w:val="24"/>
                <w:rtl/>
              </w:rPr>
              <w:t>ـ</w:t>
            </w:r>
            <w:r w:rsidRPr="00AD2B40">
              <w:rPr>
                <w:sz w:val="24"/>
                <w:rtl/>
              </w:rPr>
              <w:t>)</w:t>
            </w:r>
          </w:p>
        </w:tc>
      </w:tr>
      <w:tr w:rsidR="000C28B9" w:rsidRPr="00034B50" w14:paraId="3F3A4039" w14:textId="77777777" w:rsidTr="001F4EB1">
        <w:trPr>
          <w:cantSplit/>
        </w:trPr>
        <w:tc>
          <w:tcPr>
            <w:tcW w:w="786" w:type="pct"/>
            <w:vMerge/>
            <w:shd w:val="clear" w:color="auto" w:fill="auto"/>
          </w:tcPr>
          <w:p w14:paraId="4174C187" w14:textId="77777777" w:rsidR="000C28B9" w:rsidRPr="00AD2B40" w:rsidRDefault="000C28B9" w:rsidP="0018334B">
            <w:pPr>
              <w:bidi/>
              <w:spacing w:before="120"/>
              <w:rPr>
                <w:b/>
                <w:sz w:val="24"/>
              </w:rPr>
            </w:pPr>
          </w:p>
        </w:tc>
        <w:tc>
          <w:tcPr>
            <w:tcW w:w="3418" w:type="pct"/>
            <w:shd w:val="clear" w:color="auto" w:fill="auto"/>
            <w:vAlign w:val="center"/>
          </w:tcPr>
          <w:p w14:paraId="37313016" w14:textId="15AB5E16" w:rsidR="000C28B9" w:rsidRPr="00AD2B40" w:rsidRDefault="00032028" w:rsidP="0018334B">
            <w:pPr>
              <w:keepLines/>
              <w:bidi/>
              <w:spacing w:before="120"/>
              <w:ind w:left="7" w:hanging="7"/>
              <w:jc w:val="both"/>
              <w:rPr>
                <w:rFonts w:eastAsia="Calibri"/>
                <w:sz w:val="24"/>
                <w:lang w:bidi="ar-EG"/>
              </w:rPr>
            </w:pPr>
            <w:r w:rsidRPr="00AD2B40">
              <w:rPr>
                <w:rFonts w:eastAsia="Calibri"/>
                <w:sz w:val="24"/>
                <w:rtl/>
                <w:lang w:bidi="ar-EG"/>
              </w:rPr>
              <w:t>4-2 تعليم أو تعزيز وسائل وطرق نقل التراث الثقافي غير المادي المعترف بها من قبل الجماعات والمجموعات والأفراد</w:t>
            </w:r>
            <w:r w:rsidR="00462AC9" w:rsidRPr="00AD2B40">
              <w:rPr>
                <w:rFonts w:eastAsia="Calibri" w:hint="cs"/>
                <w:sz w:val="24"/>
                <w:rtl/>
                <w:lang w:bidi="ar-EG"/>
              </w:rPr>
              <w:t>،</w:t>
            </w:r>
            <w:r w:rsidRPr="00AD2B40">
              <w:rPr>
                <w:rFonts w:eastAsia="Calibri"/>
                <w:sz w:val="24"/>
                <w:rtl/>
                <w:lang w:bidi="ar-EG"/>
              </w:rPr>
              <w:t xml:space="preserve"> وإدراجها في البرامج التعليمية النظامية وغير النظامية.</w:t>
            </w:r>
          </w:p>
        </w:tc>
        <w:tc>
          <w:tcPr>
            <w:tcW w:w="796" w:type="pct"/>
            <w:shd w:val="clear" w:color="auto" w:fill="auto"/>
            <w:vAlign w:val="center"/>
          </w:tcPr>
          <w:p w14:paraId="7862C29C" w14:textId="488C638F" w:rsidR="00CB2E3E" w:rsidRPr="00AD2B40" w:rsidRDefault="00331717" w:rsidP="0018334B">
            <w:pPr>
              <w:bidi/>
              <w:spacing w:before="120"/>
              <w:jc w:val="both"/>
              <w:rPr>
                <w:sz w:val="24"/>
              </w:rPr>
            </w:pPr>
            <w:r w:rsidRPr="00AD2B40">
              <w:rPr>
                <w:sz w:val="24"/>
                <w:rtl/>
              </w:rPr>
              <w:t>المادة 14 (أ) (1)</w:t>
            </w:r>
            <w:r w:rsidR="000F4EA2" w:rsidRPr="00AD2B40">
              <w:rPr>
                <w:rFonts w:hint="cs"/>
                <w:sz w:val="24"/>
                <w:rtl/>
                <w:lang w:bidi="ar-EG"/>
              </w:rPr>
              <w:t>، و</w:t>
            </w:r>
            <w:r w:rsidR="00CB2E3E" w:rsidRPr="00AD2B40">
              <w:rPr>
                <w:sz w:val="24"/>
                <w:rtl/>
              </w:rPr>
              <w:t>المادة 14 (أ) (2)</w:t>
            </w:r>
          </w:p>
          <w:p w14:paraId="484CA3F1" w14:textId="4B4B45DB" w:rsidR="000C28B9" w:rsidRPr="00AD2B40" w:rsidRDefault="00CB2E3E" w:rsidP="0018334B">
            <w:pPr>
              <w:bidi/>
              <w:spacing w:before="120"/>
              <w:jc w:val="both"/>
              <w:rPr>
                <w:sz w:val="24"/>
              </w:rPr>
            </w:pPr>
            <w:r w:rsidRPr="00AD2B40">
              <w:rPr>
                <w:sz w:val="24"/>
                <w:rtl/>
              </w:rPr>
              <w:t xml:space="preserve">التوجيه </w:t>
            </w:r>
            <w:r w:rsidR="00507C3E" w:rsidRPr="00AD2B40">
              <w:rPr>
                <w:rFonts w:hint="cs"/>
                <w:sz w:val="24"/>
                <w:rtl/>
              </w:rPr>
              <w:t>التنفيذي</w:t>
            </w:r>
            <w:r w:rsidRPr="00AD2B40">
              <w:rPr>
                <w:sz w:val="24"/>
                <w:rtl/>
              </w:rPr>
              <w:t xml:space="preserve"> 180 (أ) (3)</w:t>
            </w:r>
          </w:p>
        </w:tc>
      </w:tr>
      <w:tr w:rsidR="000C28B9" w:rsidRPr="00034B50" w14:paraId="2F86A429" w14:textId="77777777" w:rsidTr="001F4EB1">
        <w:trPr>
          <w:cantSplit/>
        </w:trPr>
        <w:tc>
          <w:tcPr>
            <w:tcW w:w="786" w:type="pct"/>
            <w:vMerge/>
            <w:shd w:val="clear" w:color="auto" w:fill="auto"/>
          </w:tcPr>
          <w:p w14:paraId="38BEA539" w14:textId="77777777" w:rsidR="000C28B9" w:rsidRPr="00AD2B40" w:rsidRDefault="000C28B9" w:rsidP="0018334B">
            <w:pPr>
              <w:bidi/>
              <w:spacing w:before="120"/>
              <w:rPr>
                <w:b/>
                <w:sz w:val="24"/>
              </w:rPr>
            </w:pPr>
          </w:p>
        </w:tc>
        <w:tc>
          <w:tcPr>
            <w:tcW w:w="3418" w:type="pct"/>
            <w:shd w:val="clear" w:color="auto" w:fill="auto"/>
            <w:vAlign w:val="center"/>
          </w:tcPr>
          <w:p w14:paraId="04D53F5F" w14:textId="7F90F750" w:rsidR="000C28B9" w:rsidRPr="00AD2B40" w:rsidRDefault="003F0BA1" w:rsidP="0018334B">
            <w:pPr>
              <w:keepLines/>
              <w:bidi/>
              <w:spacing w:before="120"/>
              <w:ind w:left="7" w:hanging="7"/>
              <w:jc w:val="both"/>
              <w:rPr>
                <w:rFonts w:eastAsia="Calibri"/>
                <w:sz w:val="24"/>
                <w:lang w:bidi="ar-EG"/>
              </w:rPr>
            </w:pPr>
            <w:r w:rsidRPr="00AD2B40">
              <w:rPr>
                <w:rFonts w:eastAsia="Calibri"/>
                <w:sz w:val="24"/>
                <w:rtl/>
                <w:lang w:bidi="ar-EG"/>
              </w:rPr>
              <w:t>4-3 توفير البرامج التعليمية و/أو الأنشطة الخارجة عن المنهج المدرسي، تضطلع بها الجماعات والمجموعات والمنظمات غير الحكومية أو مؤسسات التراث وتتعلّق بالتراث الثقافي غير المادي وتعزيز نقله، ودعمها.</w:t>
            </w:r>
          </w:p>
        </w:tc>
        <w:tc>
          <w:tcPr>
            <w:tcW w:w="796" w:type="pct"/>
            <w:shd w:val="clear" w:color="auto" w:fill="auto"/>
            <w:vAlign w:val="center"/>
          </w:tcPr>
          <w:p w14:paraId="03ECD3D1" w14:textId="484DD0E3" w:rsidR="000C28B9" w:rsidRPr="00AD2B40" w:rsidRDefault="00CB2E3E" w:rsidP="0018334B">
            <w:pPr>
              <w:keepLines/>
              <w:bidi/>
              <w:spacing w:before="120"/>
              <w:jc w:val="both"/>
              <w:rPr>
                <w:sz w:val="24"/>
              </w:rPr>
            </w:pPr>
            <w:r w:rsidRPr="00AD2B40">
              <w:rPr>
                <w:sz w:val="24"/>
                <w:rtl/>
              </w:rPr>
              <w:t xml:space="preserve">التوجيه </w:t>
            </w:r>
            <w:r w:rsidR="00062550" w:rsidRPr="00AD2B40">
              <w:rPr>
                <w:rFonts w:hint="cs"/>
                <w:sz w:val="24"/>
                <w:rtl/>
              </w:rPr>
              <w:t>التنفيذي</w:t>
            </w:r>
            <w:r w:rsidRPr="00AD2B40">
              <w:rPr>
                <w:sz w:val="24"/>
                <w:rtl/>
              </w:rPr>
              <w:t xml:space="preserve"> 109</w:t>
            </w:r>
          </w:p>
        </w:tc>
      </w:tr>
      <w:tr w:rsidR="000C28B9" w:rsidRPr="00034B50" w14:paraId="2BE7F533" w14:textId="77777777" w:rsidTr="001F4EB1">
        <w:trPr>
          <w:cantSplit/>
        </w:trPr>
        <w:tc>
          <w:tcPr>
            <w:tcW w:w="786" w:type="pct"/>
            <w:vMerge/>
            <w:shd w:val="clear" w:color="auto" w:fill="auto"/>
          </w:tcPr>
          <w:p w14:paraId="5B548B50" w14:textId="77777777" w:rsidR="000C28B9" w:rsidRPr="00AD2B40" w:rsidRDefault="000C28B9" w:rsidP="0018334B">
            <w:pPr>
              <w:bidi/>
              <w:spacing w:before="120"/>
              <w:rPr>
                <w:b/>
                <w:sz w:val="24"/>
              </w:rPr>
            </w:pPr>
          </w:p>
        </w:tc>
        <w:tc>
          <w:tcPr>
            <w:tcW w:w="3418" w:type="pct"/>
            <w:shd w:val="clear" w:color="auto" w:fill="auto"/>
            <w:vAlign w:val="center"/>
          </w:tcPr>
          <w:p w14:paraId="557174C5" w14:textId="39A383E6" w:rsidR="000C28B9" w:rsidRPr="00AD2B40" w:rsidRDefault="003F0BA1" w:rsidP="0018334B">
            <w:pPr>
              <w:keepLines/>
              <w:bidi/>
              <w:spacing w:before="120"/>
              <w:ind w:left="7" w:hanging="7"/>
              <w:jc w:val="both"/>
              <w:rPr>
                <w:rFonts w:eastAsia="Calibri"/>
                <w:sz w:val="24"/>
                <w:lang w:bidi="ar-EG"/>
              </w:rPr>
            </w:pPr>
            <w:r w:rsidRPr="00AD2B40">
              <w:rPr>
                <w:rFonts w:eastAsia="Calibri"/>
                <w:sz w:val="24"/>
                <w:rtl/>
                <w:lang w:bidi="ar-EG"/>
              </w:rPr>
              <w:t>4-4 إدماج برامج تدريب المعلّمين وبرامج تدريب مقدّمي التعليم غير النظامي لمناهج دمج التراث الثقافي غير المادي وصونه في التعليم.</w:t>
            </w:r>
          </w:p>
        </w:tc>
        <w:tc>
          <w:tcPr>
            <w:tcW w:w="796" w:type="pct"/>
            <w:shd w:val="clear" w:color="auto" w:fill="auto"/>
            <w:vAlign w:val="center"/>
          </w:tcPr>
          <w:p w14:paraId="7C999B4E" w14:textId="6B20FB11" w:rsidR="000C28B9" w:rsidRPr="00AD2B40" w:rsidRDefault="00CB2E3E" w:rsidP="0018334B">
            <w:pPr>
              <w:keepLines/>
              <w:bidi/>
              <w:spacing w:before="120"/>
              <w:jc w:val="both"/>
              <w:rPr>
                <w:sz w:val="24"/>
              </w:rPr>
            </w:pPr>
            <w:r w:rsidRPr="00AD2B40">
              <w:rPr>
                <w:sz w:val="24"/>
                <w:rtl/>
              </w:rPr>
              <w:t>المادة 14</w:t>
            </w:r>
          </w:p>
        </w:tc>
      </w:tr>
      <w:tr w:rsidR="005473CF" w:rsidRPr="00034B50" w14:paraId="6764ABB7" w14:textId="77777777" w:rsidTr="001F4EB1">
        <w:trPr>
          <w:cantSplit/>
        </w:trPr>
        <w:tc>
          <w:tcPr>
            <w:tcW w:w="786" w:type="pct"/>
            <w:shd w:val="clear" w:color="auto" w:fill="auto"/>
          </w:tcPr>
          <w:p w14:paraId="7CB674B9" w14:textId="074971CA" w:rsidR="005473CF" w:rsidRPr="00AD2B40" w:rsidRDefault="001F4EB1" w:rsidP="0018334B">
            <w:pPr>
              <w:bidi/>
              <w:spacing w:before="120"/>
              <w:rPr>
                <w:b/>
                <w:sz w:val="24"/>
              </w:rPr>
            </w:pPr>
            <w:r w:rsidRPr="00AD2B40">
              <w:rPr>
                <w:bCs/>
                <w:sz w:val="24"/>
                <w:rtl/>
              </w:rPr>
              <w:t>العلاقة مع أهداف التنمية المستدامة والمؤشرات الأخرى</w:t>
            </w:r>
          </w:p>
        </w:tc>
        <w:tc>
          <w:tcPr>
            <w:tcW w:w="4214" w:type="pct"/>
            <w:gridSpan w:val="2"/>
            <w:shd w:val="clear" w:color="auto" w:fill="auto"/>
          </w:tcPr>
          <w:p w14:paraId="7EA8DD2E" w14:textId="42D1BAB1" w:rsidR="005473CF" w:rsidRPr="00AD2B40" w:rsidRDefault="00DB5477" w:rsidP="0018334B">
            <w:pPr>
              <w:keepLines/>
              <w:bidi/>
              <w:spacing w:before="120"/>
              <w:jc w:val="both"/>
              <w:rPr>
                <w:sz w:val="24"/>
              </w:rPr>
            </w:pPr>
            <w:r w:rsidRPr="00AD2B40">
              <w:rPr>
                <w:b/>
                <w:bCs/>
                <w:sz w:val="24"/>
                <w:rtl/>
              </w:rPr>
              <w:t xml:space="preserve">أهداف التنمية المستدامة: </w:t>
            </w:r>
            <w:r w:rsidRPr="00AD2B40">
              <w:rPr>
                <w:sz w:val="24"/>
                <w:rtl/>
              </w:rPr>
              <w:t>يكمل هذا المؤشر الغاية 4-7 من أهداف التنمية المستدامة، لا سيما المتعلقة بالتعليم لتعزيز "تقدير التنوع الثقافي وتقدير مساهمة الثقافة في التنمية المستدامة''. وعامةً، يساهم المؤشر في الغاية 11-4 من أهداف التنمية المستدامة، "تعزيز الجهود الرامية إلى حماية وصون التراث الثقافي والطبيعي العالمي</w:t>
            </w:r>
            <w:r w:rsidR="00E20B78" w:rsidRPr="00AD2B40">
              <w:rPr>
                <w:rFonts w:hint="cs"/>
                <w:sz w:val="24"/>
                <w:rtl/>
              </w:rPr>
              <w:t>.</w:t>
            </w:r>
            <w:r w:rsidRPr="00AD2B40">
              <w:rPr>
                <w:sz w:val="24"/>
                <w:rtl/>
              </w:rPr>
              <w:t>"</w:t>
            </w:r>
          </w:p>
          <w:p w14:paraId="2F3A3735" w14:textId="5B6E34ED" w:rsidR="005473CF" w:rsidRPr="00AD2B40" w:rsidRDefault="00B72374" w:rsidP="0018334B">
            <w:pPr>
              <w:keepLines/>
              <w:bidi/>
              <w:spacing w:before="120"/>
              <w:jc w:val="both"/>
              <w:rPr>
                <w:bCs/>
                <w:sz w:val="24"/>
              </w:rPr>
            </w:pPr>
            <w:r w:rsidRPr="00AD2B40">
              <w:rPr>
                <w:bCs/>
                <w:sz w:val="24"/>
                <w:rtl/>
              </w:rPr>
              <w:t>العلاقة بالمؤشرات الأخرى:</w:t>
            </w:r>
            <w:r w:rsidRPr="00AD2B40">
              <w:rPr>
                <w:b/>
                <w:sz w:val="24"/>
                <w:rtl/>
              </w:rPr>
              <w:t xml:space="preserve"> تتعلق المؤشرات 4</w:t>
            </w:r>
            <w:r w:rsidR="000F0028" w:rsidRPr="00AD2B40">
              <w:rPr>
                <w:rFonts w:hint="cs"/>
                <w:b/>
                <w:sz w:val="24"/>
                <w:rtl/>
              </w:rPr>
              <w:t>،</w:t>
            </w:r>
            <w:r w:rsidRPr="00AD2B40">
              <w:rPr>
                <w:b/>
                <w:sz w:val="24"/>
                <w:rtl/>
              </w:rPr>
              <w:t xml:space="preserve"> و5</w:t>
            </w:r>
            <w:r w:rsidR="000F0028" w:rsidRPr="00AD2B40">
              <w:rPr>
                <w:rFonts w:hint="cs"/>
                <w:b/>
                <w:sz w:val="24"/>
                <w:rtl/>
              </w:rPr>
              <w:t>،</w:t>
            </w:r>
            <w:r w:rsidRPr="00AD2B40">
              <w:rPr>
                <w:b/>
                <w:sz w:val="24"/>
                <w:rtl/>
              </w:rPr>
              <w:t xml:space="preserve"> و6 جميعها بنقل التراث الثقافي غير المادي وتعليمه، لكن كل منها يسلط الضوء على مجال معين. ويتناول المؤشر 4 هنا التعليم النظامي وغير النظامي، ويركز على دعم نقل التراث الثقافي غير المادي وتعزيز احترامه. ويركز المؤشر 5 على التعليم الابتدائي والثانوي وكيفية تعزيز التراث الثقافي غير المادي</w:t>
            </w:r>
            <w:r w:rsidR="000F0028" w:rsidRPr="00AD2B40">
              <w:rPr>
                <w:b/>
                <w:sz w:val="24"/>
                <w:rtl/>
              </w:rPr>
              <w:t xml:space="preserve"> </w:t>
            </w:r>
            <w:r w:rsidR="000F0028" w:rsidRPr="00AD2B40">
              <w:rPr>
                <w:rFonts w:hint="cs"/>
                <w:b/>
                <w:sz w:val="24"/>
                <w:rtl/>
              </w:rPr>
              <w:t>لل</w:t>
            </w:r>
            <w:r w:rsidR="000F0028" w:rsidRPr="00AD2B40">
              <w:rPr>
                <w:b/>
                <w:sz w:val="24"/>
                <w:rtl/>
              </w:rPr>
              <w:t>تعل</w:t>
            </w:r>
            <w:r w:rsidR="000F0028" w:rsidRPr="00AD2B40">
              <w:rPr>
                <w:rFonts w:hint="cs"/>
                <w:b/>
                <w:sz w:val="24"/>
                <w:rtl/>
              </w:rPr>
              <w:t>ي</w:t>
            </w:r>
            <w:r w:rsidR="000F0028" w:rsidRPr="00AD2B40">
              <w:rPr>
                <w:b/>
                <w:sz w:val="24"/>
                <w:rtl/>
              </w:rPr>
              <w:t>م</w:t>
            </w:r>
            <w:r w:rsidRPr="00AD2B40">
              <w:rPr>
                <w:b/>
                <w:sz w:val="24"/>
                <w:rtl/>
              </w:rPr>
              <w:t xml:space="preserve">، بينما يتعلق المؤشر 6 بالتعليم ما بعد </w:t>
            </w:r>
            <w:r w:rsidR="00B9108E" w:rsidRPr="00AD2B40">
              <w:rPr>
                <w:rFonts w:hint="cs"/>
                <w:b/>
                <w:sz w:val="24"/>
                <w:rtl/>
              </w:rPr>
              <w:t xml:space="preserve">المرحلة </w:t>
            </w:r>
            <w:r w:rsidRPr="00AD2B40">
              <w:rPr>
                <w:b/>
                <w:sz w:val="24"/>
                <w:rtl/>
              </w:rPr>
              <w:t>الثانوي</w:t>
            </w:r>
            <w:r w:rsidR="00B9108E" w:rsidRPr="00AD2B40">
              <w:rPr>
                <w:rFonts w:hint="cs"/>
                <w:b/>
                <w:sz w:val="24"/>
                <w:rtl/>
              </w:rPr>
              <w:t>ة</w:t>
            </w:r>
            <w:r w:rsidRPr="00AD2B40">
              <w:rPr>
                <w:b/>
                <w:sz w:val="24"/>
                <w:rtl/>
              </w:rPr>
              <w:t xml:space="preserve">، لا سيما عندما يهدف هذا التعليم إلى تعزيز ممارسة التراث الثقافي غير المادي ونقله ودراسة مكانته في المجتمع. ومن الضروري تمييز هذه المؤشرات الثلاثة عن المؤشرين 2 و3 اللذين لا </w:t>
            </w:r>
            <w:r w:rsidR="00B9108E" w:rsidRPr="00AD2B40">
              <w:rPr>
                <w:rFonts w:hint="cs"/>
                <w:b/>
                <w:sz w:val="24"/>
                <w:rtl/>
              </w:rPr>
              <w:t>ينصب تركيزهما</w:t>
            </w:r>
            <w:r w:rsidRPr="00AD2B40">
              <w:rPr>
                <w:b/>
                <w:sz w:val="24"/>
                <w:rtl/>
              </w:rPr>
              <w:t xml:space="preserve"> على التعرف على التراث الثقافي غير المادي نفسه، بل على تدريب المشاركين في صونه وإدارته. ويتعلق المؤشر 12 بالسياسات التعليمية، بينما ينصب التركيز هنا على البرامج والأنشطة.</w:t>
            </w:r>
            <w:r w:rsidR="004C6B42" w:rsidRPr="00AD2B40">
              <w:rPr>
                <w:bCs/>
                <w:sz w:val="24"/>
              </w:rPr>
              <w:t xml:space="preserve"> </w:t>
            </w:r>
          </w:p>
        </w:tc>
      </w:tr>
      <w:tr w:rsidR="00896177" w:rsidRPr="00034B50" w14:paraId="72C192B1" w14:textId="77777777" w:rsidTr="001F4EB1">
        <w:trPr>
          <w:cantSplit/>
        </w:trPr>
        <w:tc>
          <w:tcPr>
            <w:tcW w:w="786" w:type="pct"/>
            <w:shd w:val="clear" w:color="auto" w:fill="auto"/>
          </w:tcPr>
          <w:p w14:paraId="1C1C85EA" w14:textId="48B71EF2" w:rsidR="00896177" w:rsidRPr="00AD2B40" w:rsidRDefault="001F4EB1" w:rsidP="0018334B">
            <w:pPr>
              <w:bidi/>
              <w:spacing w:before="120"/>
              <w:rPr>
                <w:b/>
                <w:sz w:val="24"/>
              </w:rPr>
            </w:pPr>
            <w:r w:rsidRPr="00AD2B40">
              <w:rPr>
                <w:bCs/>
                <w:sz w:val="24"/>
                <w:rtl/>
              </w:rPr>
              <w:t xml:space="preserve">الأسس المنطقية </w:t>
            </w:r>
            <w:proofErr w:type="spellStart"/>
            <w:r w:rsidR="006B5F36" w:rsidRPr="00AD2B40">
              <w:rPr>
                <w:rFonts w:hint="cs"/>
                <w:bCs/>
                <w:sz w:val="24"/>
                <w:rtl/>
              </w:rPr>
              <w:t>للاجراءات</w:t>
            </w:r>
            <w:proofErr w:type="spellEnd"/>
          </w:p>
        </w:tc>
        <w:tc>
          <w:tcPr>
            <w:tcW w:w="4214" w:type="pct"/>
            <w:gridSpan w:val="2"/>
            <w:shd w:val="clear" w:color="auto" w:fill="auto"/>
          </w:tcPr>
          <w:p w14:paraId="0D4A3435" w14:textId="1816155E" w:rsidR="00704766" w:rsidRPr="00AD2B40" w:rsidRDefault="000B1E80" w:rsidP="0018334B">
            <w:pPr>
              <w:keepLines/>
              <w:bidi/>
              <w:spacing w:before="120"/>
              <w:jc w:val="both"/>
              <w:rPr>
                <w:sz w:val="24"/>
              </w:rPr>
            </w:pPr>
            <w:r w:rsidRPr="00AD2B40">
              <w:rPr>
                <w:sz w:val="24"/>
                <w:rtl/>
              </w:rPr>
              <w:t xml:space="preserve">في الاتفاقية، يحظى التعليم بمكانة بارزة ضمن مسؤوليات </w:t>
            </w:r>
            <w:r w:rsidR="007000C5" w:rsidRPr="00AD2B40">
              <w:rPr>
                <w:sz w:val="24"/>
                <w:rtl/>
              </w:rPr>
              <w:t xml:space="preserve">الصون التي </w:t>
            </w:r>
            <w:r w:rsidR="00B9108E" w:rsidRPr="00AD2B40">
              <w:rPr>
                <w:rFonts w:hint="cs"/>
                <w:sz w:val="24"/>
                <w:rtl/>
              </w:rPr>
              <w:t>تقع على عاتق</w:t>
            </w:r>
            <w:r w:rsidR="007000C5" w:rsidRPr="00AD2B40">
              <w:rPr>
                <w:sz w:val="24"/>
                <w:rtl/>
              </w:rPr>
              <w:t xml:space="preserve"> الدولة على</w:t>
            </w:r>
            <w:r w:rsidR="007000C5" w:rsidRPr="00AD2B40">
              <w:rPr>
                <w:rFonts w:hint="cs"/>
                <w:sz w:val="24"/>
                <w:rtl/>
              </w:rPr>
              <w:t xml:space="preserve"> الصعيد</w:t>
            </w:r>
            <w:r w:rsidRPr="00AD2B40">
              <w:rPr>
                <w:sz w:val="24"/>
                <w:rtl/>
              </w:rPr>
              <w:t xml:space="preserve"> الوطني. وتؤكد المادة </w:t>
            </w:r>
            <w:r w:rsidR="00296176" w:rsidRPr="00AD2B40">
              <w:rPr>
                <w:rFonts w:hint="cs"/>
                <w:sz w:val="24"/>
                <w:rtl/>
              </w:rPr>
              <w:t>(</w:t>
            </w:r>
            <w:r w:rsidRPr="00AD2B40">
              <w:rPr>
                <w:sz w:val="24"/>
                <w:rtl/>
              </w:rPr>
              <w:t>14 (أ)(1)</w:t>
            </w:r>
            <w:r w:rsidR="00296176" w:rsidRPr="00AD2B40">
              <w:rPr>
                <w:rFonts w:hint="cs"/>
                <w:sz w:val="24"/>
                <w:rtl/>
              </w:rPr>
              <w:t>)</w:t>
            </w:r>
            <w:r w:rsidRPr="00AD2B40">
              <w:rPr>
                <w:sz w:val="24"/>
                <w:rtl/>
              </w:rPr>
              <w:t xml:space="preserve"> على أهمية البرامج الت</w:t>
            </w:r>
            <w:r w:rsidR="00296176" w:rsidRPr="00AD2B40">
              <w:rPr>
                <w:rFonts w:hint="cs"/>
                <w:sz w:val="24"/>
                <w:rtl/>
              </w:rPr>
              <w:t>ثقيفية</w:t>
            </w:r>
            <w:r w:rsidRPr="00AD2B40">
              <w:rPr>
                <w:sz w:val="24"/>
                <w:rtl/>
              </w:rPr>
              <w:t xml:space="preserve"> </w:t>
            </w:r>
            <w:r w:rsidR="00296176" w:rsidRPr="00AD2B40">
              <w:rPr>
                <w:rFonts w:hint="cs"/>
                <w:sz w:val="24"/>
                <w:rtl/>
              </w:rPr>
              <w:t>موجهة ل</w:t>
            </w:r>
            <w:r w:rsidR="00B9108E" w:rsidRPr="00AD2B40">
              <w:rPr>
                <w:rFonts w:hint="cs"/>
                <w:sz w:val="24"/>
                <w:rtl/>
              </w:rPr>
              <w:t>عامة ال</w:t>
            </w:r>
            <w:r w:rsidR="00296176" w:rsidRPr="00AD2B40">
              <w:rPr>
                <w:rFonts w:hint="cs"/>
                <w:sz w:val="24"/>
                <w:rtl/>
              </w:rPr>
              <w:t>جمهور</w:t>
            </w:r>
            <w:r w:rsidRPr="00AD2B40">
              <w:rPr>
                <w:sz w:val="24"/>
                <w:rtl/>
              </w:rPr>
              <w:t>، و</w:t>
            </w:r>
            <w:r w:rsidR="00296176" w:rsidRPr="00AD2B40">
              <w:rPr>
                <w:rFonts w:hint="cs"/>
                <w:sz w:val="24"/>
                <w:rtl/>
              </w:rPr>
              <w:t>خاصة ل</w:t>
            </w:r>
            <w:r w:rsidR="00296176" w:rsidRPr="00AD2B40">
              <w:rPr>
                <w:sz w:val="24"/>
                <w:rtl/>
              </w:rPr>
              <w:t>لشباب</w:t>
            </w:r>
            <w:r w:rsidRPr="00AD2B40">
              <w:rPr>
                <w:sz w:val="24"/>
                <w:rtl/>
              </w:rPr>
              <w:t xml:space="preserve">، بينما تتعلق المادة </w:t>
            </w:r>
            <w:r w:rsidR="00296176" w:rsidRPr="00AD2B40">
              <w:rPr>
                <w:rFonts w:hint="cs"/>
                <w:sz w:val="24"/>
                <w:rtl/>
              </w:rPr>
              <w:t>(</w:t>
            </w:r>
            <w:r w:rsidRPr="00AD2B40">
              <w:rPr>
                <w:sz w:val="24"/>
                <w:rtl/>
              </w:rPr>
              <w:t>14</w:t>
            </w:r>
            <w:r w:rsidR="00296176" w:rsidRPr="00AD2B40">
              <w:rPr>
                <w:rFonts w:hint="cs"/>
                <w:sz w:val="24"/>
                <w:rtl/>
              </w:rPr>
              <w:t xml:space="preserve"> </w:t>
            </w:r>
            <w:r w:rsidRPr="00AD2B40">
              <w:rPr>
                <w:sz w:val="24"/>
                <w:rtl/>
              </w:rPr>
              <w:t>(أ)(2)</w:t>
            </w:r>
            <w:r w:rsidR="00296176" w:rsidRPr="00AD2B40">
              <w:rPr>
                <w:rFonts w:hint="cs"/>
                <w:sz w:val="24"/>
                <w:rtl/>
              </w:rPr>
              <w:t>)</w:t>
            </w:r>
            <w:r w:rsidRPr="00AD2B40">
              <w:rPr>
                <w:sz w:val="24"/>
                <w:rtl/>
              </w:rPr>
              <w:t xml:space="preserve"> بالبرامج التعليمية </w:t>
            </w:r>
            <w:r w:rsidR="001C0732" w:rsidRPr="00AD2B40">
              <w:rPr>
                <w:rFonts w:hint="cs"/>
                <w:sz w:val="24"/>
                <w:rtl/>
              </w:rPr>
              <w:t>في إطار</w:t>
            </w:r>
            <w:r w:rsidRPr="00AD2B40">
              <w:rPr>
                <w:sz w:val="24"/>
                <w:rtl/>
              </w:rPr>
              <w:t xml:space="preserve"> </w:t>
            </w:r>
            <w:r w:rsidR="00FC527A" w:rsidRPr="00AD2B40">
              <w:rPr>
                <w:sz w:val="24"/>
                <w:rtl/>
              </w:rPr>
              <w:t xml:space="preserve">الجماعات </w:t>
            </w:r>
            <w:r w:rsidRPr="00AD2B40">
              <w:rPr>
                <w:sz w:val="24"/>
                <w:rtl/>
              </w:rPr>
              <w:t xml:space="preserve">والمجموعات المعنية. وتؤكد المادة </w:t>
            </w:r>
            <w:r w:rsidR="00296176" w:rsidRPr="00AD2B40">
              <w:rPr>
                <w:rFonts w:hint="cs"/>
                <w:sz w:val="24"/>
                <w:rtl/>
              </w:rPr>
              <w:t>(</w:t>
            </w:r>
            <w:r w:rsidRPr="00AD2B40">
              <w:rPr>
                <w:sz w:val="24"/>
                <w:rtl/>
              </w:rPr>
              <w:t>14 (أ)(4)</w:t>
            </w:r>
            <w:r w:rsidR="00296176" w:rsidRPr="00AD2B40">
              <w:rPr>
                <w:rFonts w:hint="cs"/>
                <w:sz w:val="24"/>
                <w:rtl/>
              </w:rPr>
              <w:t>)</w:t>
            </w:r>
            <w:r w:rsidRPr="00AD2B40">
              <w:rPr>
                <w:sz w:val="24"/>
                <w:rtl/>
              </w:rPr>
              <w:t xml:space="preserve"> على أهمية الوسائل غير </w:t>
            </w:r>
            <w:r w:rsidR="001C0732" w:rsidRPr="00AD2B40">
              <w:rPr>
                <w:rFonts w:hint="cs"/>
                <w:sz w:val="24"/>
                <w:rtl/>
              </w:rPr>
              <w:t>النظامية</w:t>
            </w:r>
            <w:r w:rsidRPr="00AD2B40">
              <w:rPr>
                <w:sz w:val="24"/>
                <w:rtl/>
              </w:rPr>
              <w:t xml:space="preserve"> لنقل المعارف. فقد وضعت الدول نطاق واسع من الاستراتيجيات والنُهج التعليمية الإبداعية للوفاء بهذه المسؤوليات. </w:t>
            </w:r>
            <w:r w:rsidR="00242583" w:rsidRPr="00AD2B40">
              <w:rPr>
                <w:rFonts w:hint="cs"/>
                <w:sz w:val="24"/>
                <w:rtl/>
              </w:rPr>
              <w:t>ف</w:t>
            </w:r>
            <w:r w:rsidRPr="00AD2B40">
              <w:rPr>
                <w:sz w:val="24"/>
                <w:rtl/>
              </w:rPr>
              <w:t>تجر</w:t>
            </w:r>
            <w:r w:rsidR="00242583" w:rsidRPr="00AD2B40">
              <w:rPr>
                <w:rFonts w:hint="cs"/>
                <w:sz w:val="24"/>
                <w:rtl/>
              </w:rPr>
              <w:t>ي</w:t>
            </w:r>
            <w:r w:rsidRPr="00AD2B40">
              <w:rPr>
                <w:sz w:val="24"/>
                <w:rtl/>
              </w:rPr>
              <w:t xml:space="preserve"> العديد من الأنشطة خارج اليوم الدراسي العادي، وتوجه للأطفال والكبار على حد سواء. بينما تُدعم تلك غالبًا باعتبارها مكونات للنظام التعليمي للدولة، فقد توفرها </w:t>
            </w:r>
            <w:proofErr w:type="gramStart"/>
            <w:r w:rsidR="00FC527A" w:rsidRPr="00AD2B40">
              <w:rPr>
                <w:sz w:val="24"/>
                <w:rtl/>
              </w:rPr>
              <w:t>الجماعات</w:t>
            </w:r>
            <w:proofErr w:type="gramEnd"/>
            <w:r w:rsidR="00FC527A" w:rsidRPr="00AD2B40">
              <w:rPr>
                <w:sz w:val="24"/>
                <w:rtl/>
              </w:rPr>
              <w:t xml:space="preserve"> </w:t>
            </w:r>
            <w:r w:rsidRPr="00AD2B40">
              <w:rPr>
                <w:sz w:val="24"/>
                <w:rtl/>
              </w:rPr>
              <w:t xml:space="preserve">أو المجموعات أو المنظمات غير الحكومية أو المنظمات الأخرى، وقد لا تكون جزءًا من المناهج الدراسية النظامية. وقد يقدم هذا النهج طرقًا تربوية مبتكرة يمكن أن تعزز النظام التعليمي على نطاق أوسع، لا سيما عند </w:t>
            </w:r>
            <w:r w:rsidR="00242583" w:rsidRPr="00AD2B40">
              <w:rPr>
                <w:rFonts w:hint="cs"/>
                <w:sz w:val="24"/>
                <w:rtl/>
              </w:rPr>
              <w:t>اشتراك</w:t>
            </w:r>
            <w:r w:rsidRPr="00AD2B40">
              <w:rPr>
                <w:sz w:val="24"/>
                <w:rtl/>
              </w:rPr>
              <w:t xml:space="preserve"> ممارسي </w:t>
            </w:r>
            <w:r w:rsidR="0084785B" w:rsidRPr="00AD2B40">
              <w:rPr>
                <w:rFonts w:hint="cs"/>
                <w:sz w:val="24"/>
                <w:rtl/>
              </w:rPr>
              <w:t>و</w:t>
            </w:r>
            <w:r w:rsidR="0084785B" w:rsidRPr="00AD2B40">
              <w:rPr>
                <w:sz w:val="24"/>
                <w:rtl/>
              </w:rPr>
              <w:t>حامل</w:t>
            </w:r>
            <w:r w:rsidR="00B759E4" w:rsidRPr="00AD2B40">
              <w:rPr>
                <w:rFonts w:hint="cs"/>
                <w:sz w:val="24"/>
                <w:rtl/>
              </w:rPr>
              <w:t>ة</w:t>
            </w:r>
            <w:r w:rsidR="0084785B" w:rsidRPr="00AD2B40">
              <w:rPr>
                <w:sz w:val="24"/>
                <w:rtl/>
              </w:rPr>
              <w:t xml:space="preserve"> </w:t>
            </w:r>
            <w:r w:rsidR="00B759E4" w:rsidRPr="00AD2B40">
              <w:rPr>
                <w:rFonts w:hint="cs"/>
                <w:sz w:val="24"/>
                <w:rtl/>
              </w:rPr>
              <w:t>التراث</w:t>
            </w:r>
            <w:r w:rsidR="0084785B" w:rsidRPr="00AD2B40">
              <w:rPr>
                <w:rFonts w:hint="cs"/>
                <w:sz w:val="24"/>
                <w:rtl/>
              </w:rPr>
              <w:t xml:space="preserve"> </w:t>
            </w:r>
            <w:r w:rsidRPr="00AD2B40">
              <w:rPr>
                <w:sz w:val="24"/>
                <w:rtl/>
              </w:rPr>
              <w:t>في وضع مثل هذه البرامج وتقديمها، وعند استخدامهم لأساليبهم وطرقهم الخاصة في التدريس والتعلم.</w:t>
            </w:r>
          </w:p>
        </w:tc>
      </w:tr>
      <w:tr w:rsidR="00704766" w:rsidRPr="00034B50" w14:paraId="29145919" w14:textId="77777777" w:rsidTr="001F4EB1">
        <w:trPr>
          <w:cantSplit/>
        </w:trPr>
        <w:tc>
          <w:tcPr>
            <w:tcW w:w="786" w:type="pct"/>
            <w:shd w:val="clear" w:color="auto" w:fill="auto"/>
          </w:tcPr>
          <w:p w14:paraId="0B0E7A56" w14:textId="563C6679" w:rsidR="00704766" w:rsidRPr="00AD2B40" w:rsidRDefault="001F4EB1" w:rsidP="0018334B">
            <w:pPr>
              <w:bidi/>
              <w:spacing w:before="120" w:after="60"/>
              <w:jc w:val="both"/>
              <w:rPr>
                <w:b/>
                <w:sz w:val="24"/>
              </w:rPr>
            </w:pPr>
            <w:r w:rsidRPr="00AD2B40">
              <w:rPr>
                <w:bCs/>
                <w:sz w:val="24"/>
                <w:rtl/>
              </w:rPr>
              <w:lastRenderedPageBreak/>
              <w:t>المصطلحات الرئيسية</w:t>
            </w:r>
          </w:p>
        </w:tc>
        <w:tc>
          <w:tcPr>
            <w:tcW w:w="4214" w:type="pct"/>
            <w:gridSpan w:val="2"/>
            <w:shd w:val="clear" w:color="auto" w:fill="auto"/>
          </w:tcPr>
          <w:p w14:paraId="4577F0F6" w14:textId="4445F12C" w:rsidR="007B5657" w:rsidRPr="00AD2B40" w:rsidRDefault="006B5F36" w:rsidP="0018334B">
            <w:pPr>
              <w:pStyle w:val="ListParagraph"/>
              <w:numPr>
                <w:ilvl w:val="0"/>
                <w:numId w:val="71"/>
              </w:numPr>
              <w:bidi/>
              <w:spacing w:before="120" w:after="120"/>
              <w:ind w:left="714" w:hanging="357"/>
              <w:jc w:val="both"/>
              <w:rPr>
                <w:rFonts w:ascii="Times New Roman" w:hAnsi="Times New Roman"/>
                <w:sz w:val="24"/>
                <w:szCs w:val="24"/>
                <w:lang w:val="en-GB"/>
              </w:rPr>
            </w:pPr>
            <w:r w:rsidRPr="00AD2B40">
              <w:rPr>
                <w:rFonts w:ascii="Times New Roman" w:hAnsi="Times New Roman" w:hint="cs"/>
                <w:sz w:val="24"/>
                <w:szCs w:val="24"/>
                <w:rtl/>
                <w:lang w:val="en-GB"/>
              </w:rPr>
              <w:t>ال</w:t>
            </w:r>
            <w:r w:rsidR="0004657A" w:rsidRPr="00AD2B40">
              <w:rPr>
                <w:rFonts w:ascii="Times New Roman" w:hAnsi="Times New Roman"/>
                <w:sz w:val="24"/>
                <w:szCs w:val="24"/>
                <w:rtl/>
                <w:lang w:val="en-GB"/>
              </w:rPr>
              <w:t xml:space="preserve">تعليم </w:t>
            </w:r>
            <w:r w:rsidRPr="00AD2B40">
              <w:rPr>
                <w:rFonts w:ascii="Times New Roman" w:hAnsi="Times New Roman" w:hint="cs"/>
                <w:sz w:val="24"/>
                <w:szCs w:val="24"/>
                <w:rtl/>
                <w:lang w:val="en-GB"/>
              </w:rPr>
              <w:t>ال</w:t>
            </w:r>
            <w:r w:rsidR="00AD3294" w:rsidRPr="00AD2B40">
              <w:rPr>
                <w:rFonts w:ascii="Times New Roman" w:hAnsi="Times New Roman"/>
                <w:sz w:val="24"/>
                <w:szCs w:val="24"/>
                <w:rtl/>
                <w:lang w:val="en-GB"/>
              </w:rPr>
              <w:t>نظامي</w:t>
            </w:r>
          </w:p>
          <w:p w14:paraId="671B83EC" w14:textId="01DB71B9" w:rsidR="00AD3294" w:rsidRPr="00AD2B40" w:rsidRDefault="006B5F36" w:rsidP="0018334B">
            <w:pPr>
              <w:pStyle w:val="ListParagraph"/>
              <w:numPr>
                <w:ilvl w:val="0"/>
                <w:numId w:val="71"/>
              </w:numPr>
              <w:bidi/>
              <w:spacing w:before="120" w:after="120"/>
              <w:ind w:left="714" w:hanging="357"/>
              <w:jc w:val="both"/>
              <w:rPr>
                <w:rFonts w:ascii="Times New Roman" w:hAnsi="Times New Roman"/>
                <w:sz w:val="24"/>
                <w:szCs w:val="24"/>
                <w:lang w:val="en-GB"/>
              </w:rPr>
            </w:pPr>
            <w:r w:rsidRPr="00AD2B40">
              <w:rPr>
                <w:rFonts w:ascii="Times New Roman" w:hAnsi="Times New Roman" w:hint="cs"/>
                <w:sz w:val="24"/>
                <w:szCs w:val="24"/>
                <w:rtl/>
                <w:lang w:val="en-GB"/>
              </w:rPr>
              <w:t>ال</w:t>
            </w:r>
            <w:r w:rsidR="0004657A" w:rsidRPr="00AD2B40">
              <w:rPr>
                <w:rFonts w:ascii="Times New Roman" w:hAnsi="Times New Roman"/>
                <w:sz w:val="24"/>
                <w:szCs w:val="24"/>
                <w:rtl/>
                <w:lang w:val="en-GB"/>
              </w:rPr>
              <w:t xml:space="preserve">تعليم غير </w:t>
            </w:r>
            <w:r w:rsidRPr="00AD2B40">
              <w:rPr>
                <w:rFonts w:ascii="Times New Roman" w:hAnsi="Times New Roman" w:hint="cs"/>
                <w:sz w:val="24"/>
                <w:szCs w:val="24"/>
                <w:rtl/>
                <w:lang w:val="en-GB"/>
              </w:rPr>
              <w:t>ال</w:t>
            </w:r>
            <w:r w:rsidR="00AD3294" w:rsidRPr="00AD2B40">
              <w:rPr>
                <w:rFonts w:ascii="Times New Roman" w:hAnsi="Times New Roman"/>
                <w:sz w:val="24"/>
                <w:szCs w:val="24"/>
                <w:rtl/>
                <w:lang w:val="en-GB"/>
              </w:rPr>
              <w:t>نظامي</w:t>
            </w:r>
          </w:p>
          <w:p w14:paraId="03539D52" w14:textId="33E0552D" w:rsidR="00704766" w:rsidRPr="00AD2B40" w:rsidRDefault="00CF7F90" w:rsidP="0018334B">
            <w:pPr>
              <w:pStyle w:val="ListParagraph"/>
              <w:numPr>
                <w:ilvl w:val="0"/>
                <w:numId w:val="71"/>
              </w:numPr>
              <w:bidi/>
              <w:spacing w:before="120" w:after="120"/>
              <w:ind w:left="714" w:hanging="357"/>
              <w:jc w:val="both"/>
              <w:rPr>
                <w:rFonts w:ascii="Times New Roman" w:hAnsi="Times New Roman"/>
                <w:sz w:val="24"/>
                <w:szCs w:val="24"/>
                <w:lang w:val="en-GB"/>
              </w:rPr>
            </w:pPr>
            <w:r w:rsidRPr="00AD2B40">
              <w:rPr>
                <w:rFonts w:ascii="Times New Roman" w:hAnsi="Times New Roman"/>
                <w:sz w:val="24"/>
                <w:szCs w:val="24"/>
                <w:rtl/>
                <w:lang w:val="en-GB"/>
              </w:rPr>
              <w:t>ممارس</w:t>
            </w:r>
            <w:r w:rsidRPr="00AD2B40">
              <w:rPr>
                <w:rFonts w:ascii="Times New Roman" w:hAnsi="Times New Roman" w:hint="cs"/>
                <w:sz w:val="24"/>
                <w:szCs w:val="24"/>
                <w:rtl/>
                <w:lang w:val="en-GB"/>
              </w:rPr>
              <w:t>و</w:t>
            </w:r>
            <w:r w:rsidR="00AD3294" w:rsidRPr="00AD2B40">
              <w:rPr>
                <w:rFonts w:ascii="Times New Roman" w:hAnsi="Times New Roman"/>
                <w:sz w:val="24"/>
                <w:szCs w:val="24"/>
                <w:rtl/>
                <w:lang w:val="en-GB"/>
              </w:rPr>
              <w:t xml:space="preserve"> </w:t>
            </w:r>
            <w:r w:rsidR="007A6C99" w:rsidRPr="00AD2B40">
              <w:rPr>
                <w:rFonts w:ascii="Times New Roman" w:hAnsi="Times New Roman"/>
                <w:sz w:val="24"/>
                <w:szCs w:val="24"/>
                <w:rtl/>
                <w:lang w:val="en-GB"/>
              </w:rPr>
              <w:t>التراث</w:t>
            </w:r>
            <w:r w:rsidR="006B5F36" w:rsidRPr="00AD2B40">
              <w:rPr>
                <w:rFonts w:ascii="Times New Roman" w:hAnsi="Times New Roman" w:hint="cs"/>
                <w:sz w:val="24"/>
                <w:szCs w:val="24"/>
                <w:rtl/>
                <w:lang w:val="en-GB"/>
              </w:rPr>
              <w:t xml:space="preserve"> </w:t>
            </w:r>
            <w:r w:rsidR="006B5F36" w:rsidRPr="00AD2B40">
              <w:rPr>
                <w:rFonts w:ascii="Times New Roman" w:hAnsi="Times New Roman"/>
                <w:sz w:val="24"/>
                <w:szCs w:val="24"/>
                <w:rtl/>
                <w:lang w:val="en-GB"/>
              </w:rPr>
              <w:t>وحمل</w:t>
            </w:r>
            <w:r w:rsidR="006B5F36" w:rsidRPr="00AD2B40">
              <w:rPr>
                <w:rFonts w:ascii="Times New Roman" w:hAnsi="Times New Roman" w:hint="cs"/>
                <w:sz w:val="24"/>
                <w:szCs w:val="24"/>
                <w:rtl/>
                <w:lang w:val="en-GB"/>
              </w:rPr>
              <w:t>ته</w:t>
            </w:r>
          </w:p>
          <w:p w14:paraId="39C6FD80" w14:textId="52223369" w:rsidR="007B5657" w:rsidRPr="00AD2B40" w:rsidRDefault="0004657A" w:rsidP="0018334B">
            <w:pPr>
              <w:pStyle w:val="ListParagraph"/>
              <w:numPr>
                <w:ilvl w:val="0"/>
                <w:numId w:val="71"/>
              </w:numPr>
              <w:bidi/>
              <w:spacing w:before="120" w:after="120"/>
              <w:ind w:left="714" w:hanging="357"/>
              <w:jc w:val="both"/>
              <w:rPr>
                <w:rFonts w:ascii="Times New Roman" w:hAnsi="Times New Roman"/>
                <w:sz w:val="24"/>
                <w:szCs w:val="24"/>
                <w:lang w:val="en-GB"/>
              </w:rPr>
            </w:pPr>
            <w:r w:rsidRPr="00AD2B40">
              <w:rPr>
                <w:rFonts w:ascii="Times New Roman" w:hAnsi="Times New Roman"/>
                <w:sz w:val="24"/>
                <w:szCs w:val="24"/>
                <w:rtl/>
                <w:lang w:val="en-GB"/>
              </w:rPr>
              <w:t>شامل/ شمول</w:t>
            </w:r>
            <w:r w:rsidRPr="00AD2B40">
              <w:rPr>
                <w:rFonts w:ascii="Times New Roman" w:hAnsi="Times New Roman" w:hint="cs"/>
                <w:sz w:val="24"/>
                <w:szCs w:val="24"/>
                <w:rtl/>
                <w:lang w:val="en-GB"/>
              </w:rPr>
              <w:t>ي</w:t>
            </w:r>
            <w:r w:rsidR="007A6C99" w:rsidRPr="00AD2B40">
              <w:rPr>
                <w:rFonts w:ascii="Times New Roman" w:hAnsi="Times New Roman" w:hint="cs"/>
                <w:sz w:val="24"/>
                <w:szCs w:val="24"/>
                <w:rtl/>
                <w:lang w:val="en-GB"/>
              </w:rPr>
              <w:t>ة</w:t>
            </w:r>
          </w:p>
          <w:p w14:paraId="14BCF6C4" w14:textId="7E3CCD7C" w:rsidR="00A56A6C" w:rsidRPr="00AD2B40" w:rsidRDefault="00FC527A" w:rsidP="0018334B">
            <w:pPr>
              <w:pStyle w:val="ListParagraph"/>
              <w:numPr>
                <w:ilvl w:val="0"/>
                <w:numId w:val="71"/>
              </w:numPr>
              <w:bidi/>
              <w:spacing w:before="120" w:after="120"/>
              <w:jc w:val="both"/>
              <w:rPr>
                <w:rFonts w:ascii="Times New Roman" w:hAnsi="Times New Roman"/>
                <w:sz w:val="24"/>
                <w:szCs w:val="24"/>
                <w:lang w:val="en-GB"/>
              </w:rPr>
            </w:pPr>
            <w:r w:rsidRPr="00AD2B40">
              <w:rPr>
                <w:rFonts w:ascii="Times New Roman" w:hAnsi="Times New Roman"/>
                <w:sz w:val="24"/>
                <w:szCs w:val="24"/>
                <w:rtl/>
                <w:lang w:val="en-GB"/>
              </w:rPr>
              <w:t xml:space="preserve">جماعات </w:t>
            </w:r>
            <w:r w:rsidR="00B8668E" w:rsidRPr="00AD2B40">
              <w:rPr>
                <w:rFonts w:ascii="Times New Roman" w:hAnsi="Times New Roman"/>
                <w:sz w:val="24"/>
                <w:szCs w:val="24"/>
                <w:rtl/>
                <w:lang w:val="en-GB"/>
              </w:rPr>
              <w:t>أو</w:t>
            </w:r>
            <w:r w:rsidR="00B8668E" w:rsidRPr="00AD2B40">
              <w:rPr>
                <w:rFonts w:ascii="Times New Roman" w:hAnsi="Times New Roman" w:hint="cs"/>
                <w:sz w:val="24"/>
                <w:szCs w:val="24"/>
                <w:rtl/>
                <w:lang w:val="en-GB"/>
              </w:rPr>
              <w:t xml:space="preserve"> </w:t>
            </w:r>
            <w:r w:rsidR="00B8668E" w:rsidRPr="00AD2B40">
              <w:rPr>
                <w:rFonts w:ascii="Times New Roman" w:hAnsi="Times New Roman"/>
                <w:sz w:val="24"/>
                <w:szCs w:val="24"/>
                <w:rtl/>
                <w:lang w:val="en-GB"/>
              </w:rPr>
              <w:t>مجموعات أو</w:t>
            </w:r>
            <w:r w:rsidR="00B8668E" w:rsidRPr="00AD2B40">
              <w:rPr>
                <w:rFonts w:ascii="Times New Roman" w:hAnsi="Times New Roman" w:hint="cs"/>
                <w:sz w:val="24"/>
                <w:szCs w:val="24"/>
                <w:rtl/>
                <w:lang w:val="en-GB"/>
              </w:rPr>
              <w:t xml:space="preserve"> أحيانًا </w:t>
            </w:r>
            <w:r w:rsidR="00A56A6C" w:rsidRPr="00AD2B40">
              <w:rPr>
                <w:rFonts w:ascii="Times New Roman" w:hAnsi="Times New Roman"/>
                <w:sz w:val="24"/>
                <w:szCs w:val="24"/>
                <w:rtl/>
                <w:lang w:val="en-GB"/>
              </w:rPr>
              <w:t>أفراد</w:t>
            </w:r>
          </w:p>
          <w:p w14:paraId="0A1EC1F8" w14:textId="77777777" w:rsidR="007A6C99" w:rsidRPr="00AD2B40" w:rsidRDefault="007A6C99" w:rsidP="0018334B">
            <w:pPr>
              <w:pStyle w:val="ListParagraph"/>
              <w:numPr>
                <w:ilvl w:val="0"/>
                <w:numId w:val="71"/>
              </w:numPr>
              <w:bidi/>
              <w:spacing w:before="120" w:after="120"/>
              <w:ind w:left="714" w:hanging="357"/>
              <w:jc w:val="both"/>
              <w:rPr>
                <w:rFonts w:ascii="Times New Roman" w:hAnsi="Times New Roman"/>
                <w:sz w:val="24"/>
                <w:szCs w:val="24"/>
                <w:lang w:val="en-GB"/>
              </w:rPr>
            </w:pPr>
            <w:r w:rsidRPr="00AD2B40">
              <w:rPr>
                <w:rFonts w:ascii="Times New Roman" w:hAnsi="Times New Roman"/>
                <w:sz w:val="24"/>
                <w:szCs w:val="24"/>
                <w:rtl/>
                <w:lang w:val="en-GB" w:bidi="ar-EG"/>
              </w:rPr>
              <w:t>الأنشطة الخارجة عن المنهج المدرسي</w:t>
            </w:r>
            <w:r w:rsidRPr="00AD2B40">
              <w:rPr>
                <w:rFonts w:ascii="Times New Roman" w:hAnsi="Times New Roman"/>
                <w:sz w:val="24"/>
                <w:szCs w:val="24"/>
                <w:rtl/>
                <w:lang w:val="en-GB"/>
              </w:rPr>
              <w:t xml:space="preserve"> </w:t>
            </w:r>
          </w:p>
          <w:p w14:paraId="4F934B80" w14:textId="07AD064D" w:rsidR="007B5657" w:rsidRPr="00AD2B40" w:rsidRDefault="006B5F36" w:rsidP="0018334B">
            <w:pPr>
              <w:pStyle w:val="ListParagraph"/>
              <w:numPr>
                <w:ilvl w:val="0"/>
                <w:numId w:val="71"/>
              </w:numPr>
              <w:bidi/>
              <w:spacing w:before="120" w:after="120"/>
              <w:ind w:left="714" w:hanging="357"/>
              <w:jc w:val="both"/>
              <w:rPr>
                <w:rFonts w:ascii="Times New Roman" w:hAnsi="Times New Roman"/>
                <w:sz w:val="24"/>
                <w:szCs w:val="24"/>
                <w:lang w:val="en-GB"/>
              </w:rPr>
            </w:pPr>
            <w:r w:rsidRPr="00AD2B40">
              <w:rPr>
                <w:rFonts w:ascii="Times New Roman" w:hAnsi="Times New Roman" w:hint="cs"/>
                <w:sz w:val="24"/>
                <w:szCs w:val="24"/>
                <w:rtl/>
                <w:lang w:val="en-GB"/>
              </w:rPr>
              <w:t>ال</w:t>
            </w:r>
            <w:r w:rsidR="00B8668E" w:rsidRPr="00AD2B40">
              <w:rPr>
                <w:rFonts w:ascii="Times New Roman" w:hAnsi="Times New Roman"/>
                <w:sz w:val="24"/>
                <w:szCs w:val="24"/>
                <w:rtl/>
                <w:lang w:val="en-GB"/>
              </w:rPr>
              <w:t xml:space="preserve">منظمات غير </w:t>
            </w:r>
            <w:r w:rsidRPr="00AD2B40">
              <w:rPr>
                <w:rFonts w:ascii="Times New Roman" w:hAnsi="Times New Roman" w:hint="cs"/>
                <w:sz w:val="24"/>
                <w:szCs w:val="24"/>
                <w:rtl/>
                <w:lang w:val="en-GB"/>
              </w:rPr>
              <w:t>ال</w:t>
            </w:r>
            <w:r w:rsidR="00AD3294" w:rsidRPr="00AD2B40">
              <w:rPr>
                <w:rFonts w:ascii="Times New Roman" w:hAnsi="Times New Roman"/>
                <w:sz w:val="24"/>
                <w:szCs w:val="24"/>
                <w:rtl/>
                <w:lang w:val="en-GB"/>
              </w:rPr>
              <w:t>حكومية</w:t>
            </w:r>
          </w:p>
          <w:p w14:paraId="60C45679" w14:textId="7EE3639E" w:rsidR="007B5657" w:rsidRPr="00AD2B40" w:rsidRDefault="00AD3294" w:rsidP="0018334B">
            <w:pPr>
              <w:pStyle w:val="ListParagraph"/>
              <w:numPr>
                <w:ilvl w:val="0"/>
                <w:numId w:val="71"/>
              </w:numPr>
              <w:bidi/>
              <w:spacing w:before="120" w:after="120"/>
              <w:ind w:left="714" w:hanging="357"/>
              <w:jc w:val="both"/>
              <w:rPr>
                <w:rFonts w:ascii="Times New Roman" w:hAnsi="Times New Roman"/>
                <w:sz w:val="24"/>
                <w:szCs w:val="24"/>
                <w:lang w:val="en-GB"/>
              </w:rPr>
            </w:pPr>
            <w:r w:rsidRPr="00AD2B40">
              <w:rPr>
                <w:rFonts w:ascii="Times New Roman" w:hAnsi="Times New Roman"/>
                <w:sz w:val="24"/>
                <w:szCs w:val="24"/>
                <w:rtl/>
                <w:lang w:val="en-GB"/>
              </w:rPr>
              <w:t>مؤسسات التراث</w:t>
            </w:r>
          </w:p>
          <w:p w14:paraId="67364C27" w14:textId="4BEE392E" w:rsidR="00B7231C" w:rsidRPr="00AD2B40" w:rsidRDefault="006B5F36" w:rsidP="0018334B">
            <w:pPr>
              <w:pStyle w:val="ListParagraph"/>
              <w:numPr>
                <w:ilvl w:val="0"/>
                <w:numId w:val="71"/>
              </w:numPr>
              <w:bidi/>
              <w:spacing w:before="120" w:after="120"/>
              <w:ind w:left="714" w:hanging="357"/>
              <w:jc w:val="both"/>
              <w:rPr>
                <w:rFonts w:ascii="Times New Roman" w:hAnsi="Times New Roman"/>
                <w:sz w:val="24"/>
                <w:szCs w:val="24"/>
                <w:lang w:val="en-GB"/>
              </w:rPr>
            </w:pPr>
            <w:r w:rsidRPr="00AD2B40">
              <w:rPr>
                <w:rFonts w:ascii="Times New Roman" w:hAnsi="Times New Roman" w:hint="cs"/>
                <w:sz w:val="24"/>
                <w:szCs w:val="24"/>
                <w:rtl/>
                <w:lang w:val="en-GB"/>
              </w:rPr>
              <w:t>ال</w:t>
            </w:r>
            <w:r w:rsidR="00AD3294" w:rsidRPr="00AD2B40">
              <w:rPr>
                <w:rFonts w:ascii="Times New Roman" w:hAnsi="Times New Roman"/>
                <w:sz w:val="24"/>
                <w:szCs w:val="24"/>
                <w:rtl/>
                <w:lang w:val="en-GB"/>
              </w:rPr>
              <w:t>تدريب</w:t>
            </w:r>
          </w:p>
        </w:tc>
      </w:tr>
    </w:tbl>
    <w:p w14:paraId="0CAAE143" w14:textId="77777777" w:rsidR="0054175C" w:rsidRPr="00153AD9" w:rsidRDefault="0054175C" w:rsidP="0018334B">
      <w:pPr>
        <w:bidi/>
        <w:jc w:val="center"/>
        <w:rPr>
          <w:b/>
          <w:sz w:val="24"/>
        </w:rPr>
        <w:sectPr w:rsidR="0054175C" w:rsidRPr="00153AD9" w:rsidSect="000F25BA">
          <w:footerReference w:type="default" r:id="rId8"/>
          <w:pgSz w:w="11906" w:h="16838" w:code="9"/>
          <w:pgMar w:top="1418" w:right="1134" w:bottom="1134" w:left="1134" w:header="397" w:footer="284" w:gutter="0"/>
          <w:cols w:space="708"/>
          <w:docGrid w:linePitch="360"/>
        </w:sectPr>
      </w:pPr>
    </w:p>
    <w:p w14:paraId="1FF08B6F" w14:textId="40307298" w:rsidR="001F4EB1" w:rsidRPr="00C63816" w:rsidRDefault="001F4EB1" w:rsidP="0018334B">
      <w:pPr>
        <w:bidi/>
        <w:jc w:val="center"/>
        <w:rPr>
          <w:bCs/>
          <w:sz w:val="28"/>
          <w:szCs w:val="28"/>
        </w:rPr>
      </w:pPr>
      <w:r w:rsidRPr="00C63816">
        <w:rPr>
          <w:bCs/>
          <w:sz w:val="28"/>
          <w:szCs w:val="28"/>
          <w:rtl/>
        </w:rPr>
        <w:t xml:space="preserve">التوجيهات المحددة بشأن الرصد </w:t>
      </w:r>
      <w:r w:rsidR="007A6C99" w:rsidRPr="00C63816">
        <w:rPr>
          <w:rFonts w:hint="cs"/>
          <w:bCs/>
          <w:sz w:val="28"/>
          <w:szCs w:val="28"/>
          <w:rtl/>
        </w:rPr>
        <w:t>وال</w:t>
      </w:r>
      <w:r w:rsidR="00805CDE">
        <w:rPr>
          <w:rFonts w:hint="cs"/>
          <w:bCs/>
          <w:sz w:val="28"/>
          <w:szCs w:val="28"/>
          <w:rtl/>
        </w:rPr>
        <w:t>تقرير</w:t>
      </w:r>
      <w:r w:rsidRPr="00C63816">
        <w:rPr>
          <w:bCs/>
          <w:sz w:val="28"/>
          <w:szCs w:val="28"/>
          <w:rtl/>
        </w:rPr>
        <w:t xml:space="preserve"> الدوري</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8222"/>
      </w:tblGrid>
      <w:tr w:rsidR="009C0510" w:rsidRPr="00153A70" w14:paraId="30EC5303" w14:textId="77777777" w:rsidTr="001F4EB1">
        <w:tc>
          <w:tcPr>
            <w:tcW w:w="730" w:type="pct"/>
            <w:shd w:val="clear" w:color="auto" w:fill="auto"/>
          </w:tcPr>
          <w:p w14:paraId="4C48AFA6" w14:textId="31043256" w:rsidR="002C28BA" w:rsidRPr="00153A70" w:rsidRDefault="001F4EB1" w:rsidP="0018334B">
            <w:pPr>
              <w:bidi/>
              <w:spacing w:before="120"/>
              <w:rPr>
                <w:b/>
                <w:sz w:val="24"/>
              </w:rPr>
            </w:pPr>
            <w:r w:rsidRPr="00153A70">
              <w:rPr>
                <w:bCs/>
                <w:sz w:val="24"/>
                <w:rtl/>
              </w:rPr>
              <w:t>فوائد الرصد</w:t>
            </w:r>
          </w:p>
        </w:tc>
        <w:tc>
          <w:tcPr>
            <w:tcW w:w="4270" w:type="pct"/>
            <w:shd w:val="clear" w:color="auto" w:fill="auto"/>
          </w:tcPr>
          <w:p w14:paraId="1B874EF2" w14:textId="3C60650A" w:rsidR="002C28BA" w:rsidRPr="00153A70" w:rsidRDefault="00424A53" w:rsidP="0018334B">
            <w:pPr>
              <w:keepLines/>
              <w:bidi/>
              <w:spacing w:before="120"/>
              <w:jc w:val="both"/>
              <w:rPr>
                <w:b/>
                <w:sz w:val="24"/>
              </w:rPr>
            </w:pPr>
            <w:r w:rsidRPr="00153A70">
              <w:rPr>
                <w:b/>
                <w:sz w:val="24"/>
                <w:rtl/>
              </w:rPr>
              <w:t xml:space="preserve">قد يساعد هذا المؤشر الدولة في تحديد البرامج والاستراتيجيات التعليمية المبتكرة </w:t>
            </w:r>
            <w:r w:rsidR="007B7BC0" w:rsidRPr="00153A70">
              <w:rPr>
                <w:b/>
                <w:sz w:val="24"/>
                <w:rtl/>
              </w:rPr>
              <w:t>وتتبعها</w:t>
            </w:r>
            <w:r w:rsidR="0023425B">
              <w:rPr>
                <w:rFonts w:hint="cs"/>
                <w:b/>
                <w:sz w:val="24"/>
                <w:rtl/>
              </w:rPr>
              <w:t xml:space="preserve"> على</w:t>
            </w:r>
            <w:r w:rsidR="007B7BC0" w:rsidRPr="00153A70">
              <w:rPr>
                <w:b/>
                <w:sz w:val="24"/>
                <w:rtl/>
              </w:rPr>
              <w:t xml:space="preserve"> أراضيها. </w:t>
            </w:r>
            <w:r w:rsidR="007B7BC0" w:rsidRPr="00153A70">
              <w:rPr>
                <w:rFonts w:hint="cs"/>
                <w:b/>
                <w:sz w:val="24"/>
                <w:rtl/>
              </w:rPr>
              <w:t xml:space="preserve">إن </w:t>
            </w:r>
            <w:r w:rsidRPr="00153A70">
              <w:rPr>
                <w:b/>
                <w:sz w:val="24"/>
                <w:rtl/>
              </w:rPr>
              <w:t>اللمحة ال</w:t>
            </w:r>
            <w:r w:rsidR="007B7BC0" w:rsidRPr="00153A70">
              <w:rPr>
                <w:b/>
                <w:sz w:val="24"/>
                <w:rtl/>
              </w:rPr>
              <w:t>عامة عن مختلف المبادرات ونتائج</w:t>
            </w:r>
            <w:r w:rsidR="007B7BC0" w:rsidRPr="00153A70">
              <w:rPr>
                <w:rFonts w:hint="cs"/>
                <w:b/>
                <w:sz w:val="24"/>
                <w:rtl/>
              </w:rPr>
              <w:t>ها العامة</w:t>
            </w:r>
            <w:r w:rsidRPr="00153A70">
              <w:rPr>
                <w:b/>
                <w:sz w:val="24"/>
                <w:rtl/>
              </w:rPr>
              <w:t xml:space="preserve"> </w:t>
            </w:r>
            <w:r w:rsidR="0023425B">
              <w:rPr>
                <w:rFonts w:hint="cs"/>
                <w:b/>
                <w:sz w:val="24"/>
                <w:rtl/>
              </w:rPr>
              <w:t>يمكن أن</w:t>
            </w:r>
            <w:r w:rsidR="007B7BC0" w:rsidRPr="00153A70">
              <w:rPr>
                <w:b/>
                <w:sz w:val="24"/>
                <w:rtl/>
              </w:rPr>
              <w:t xml:space="preserve"> تساعد </w:t>
            </w:r>
            <w:r w:rsidRPr="00153A70">
              <w:rPr>
                <w:b/>
                <w:sz w:val="24"/>
                <w:rtl/>
              </w:rPr>
              <w:t xml:space="preserve">الدولة على تحديد النُهج والنماذج الفعالة، كما </w:t>
            </w:r>
            <w:r w:rsidR="00F4039E">
              <w:rPr>
                <w:rFonts w:hint="cs"/>
                <w:b/>
                <w:sz w:val="24"/>
                <w:rtl/>
              </w:rPr>
              <w:t>يمكن ت</w:t>
            </w:r>
            <w:r w:rsidRPr="00153A70">
              <w:rPr>
                <w:b/>
                <w:sz w:val="24"/>
                <w:rtl/>
              </w:rPr>
              <w:t xml:space="preserve">شير إلى الفرص لتوسيع نطاق هذه النُهج إلى سياقات لم يتم </w:t>
            </w:r>
            <w:r w:rsidR="00F4039E">
              <w:rPr>
                <w:rFonts w:hint="cs"/>
                <w:b/>
                <w:sz w:val="24"/>
                <w:rtl/>
              </w:rPr>
              <w:t>إدراجها</w:t>
            </w:r>
            <w:r w:rsidRPr="00153A70">
              <w:rPr>
                <w:b/>
                <w:sz w:val="24"/>
                <w:rtl/>
              </w:rPr>
              <w:t xml:space="preserve"> بعد. </w:t>
            </w:r>
            <w:r w:rsidR="00F4039E">
              <w:rPr>
                <w:rFonts w:hint="cs"/>
                <w:b/>
                <w:sz w:val="24"/>
                <w:rtl/>
              </w:rPr>
              <w:t>يمكن أن</w:t>
            </w:r>
            <w:r w:rsidRPr="00153A70">
              <w:rPr>
                <w:b/>
                <w:sz w:val="24"/>
                <w:rtl/>
              </w:rPr>
              <w:t xml:space="preserve"> يشير الرصد إلى فجوات في الخدمات </w:t>
            </w:r>
            <w:r w:rsidR="00F4039E">
              <w:rPr>
                <w:rFonts w:hint="cs"/>
                <w:b/>
                <w:sz w:val="24"/>
                <w:rtl/>
              </w:rPr>
              <w:t>القائمة،</w:t>
            </w:r>
            <w:r w:rsidRPr="00153A70">
              <w:rPr>
                <w:b/>
                <w:sz w:val="24"/>
                <w:rtl/>
              </w:rPr>
              <w:t xml:space="preserve"> ويساعد في </w:t>
            </w:r>
            <w:r w:rsidR="00E55C2B">
              <w:rPr>
                <w:rFonts w:hint="cs"/>
                <w:b/>
                <w:sz w:val="24"/>
                <w:rtl/>
              </w:rPr>
              <w:t>إرشاد</w:t>
            </w:r>
            <w:r w:rsidRPr="00153A70">
              <w:rPr>
                <w:b/>
                <w:sz w:val="24"/>
                <w:rtl/>
              </w:rPr>
              <w:t xml:space="preserve"> التدخلات المستقبلية. وعلى ال</w:t>
            </w:r>
            <w:r w:rsidR="007000C5" w:rsidRPr="00153A70">
              <w:rPr>
                <w:rFonts w:hint="cs"/>
                <w:b/>
                <w:sz w:val="24"/>
                <w:rtl/>
              </w:rPr>
              <w:t>صعيد</w:t>
            </w:r>
            <w:r w:rsidRPr="00153A70">
              <w:rPr>
                <w:b/>
                <w:sz w:val="24"/>
                <w:rtl/>
              </w:rPr>
              <w:t xml:space="preserve"> العالمي، </w:t>
            </w:r>
            <w:r w:rsidR="002465A5">
              <w:rPr>
                <w:rFonts w:hint="cs"/>
                <w:b/>
                <w:sz w:val="24"/>
                <w:rtl/>
              </w:rPr>
              <w:t>يمكن أن</w:t>
            </w:r>
            <w:r w:rsidRPr="00153A70">
              <w:rPr>
                <w:b/>
                <w:sz w:val="24"/>
                <w:rtl/>
              </w:rPr>
              <w:t xml:space="preserve"> يساعد الرصد الدول على تبادل الخبرات بشأن البرامج التعليمية التي أثبت نجاحها (أو لا). وعند القيام بذلك، يمكنها تحديد أفضل النُهج المناسبة لظروفها الخاصة.</w:t>
            </w:r>
          </w:p>
        </w:tc>
      </w:tr>
      <w:tr w:rsidR="0054175C" w:rsidRPr="00153A70" w14:paraId="2675C80E" w14:textId="77777777" w:rsidTr="001F4EB1">
        <w:tc>
          <w:tcPr>
            <w:tcW w:w="730" w:type="pct"/>
            <w:shd w:val="clear" w:color="auto" w:fill="auto"/>
          </w:tcPr>
          <w:p w14:paraId="75395D4C" w14:textId="36BF00D3" w:rsidR="0054175C" w:rsidRPr="00153A70" w:rsidRDefault="001F4EB1" w:rsidP="0018334B">
            <w:pPr>
              <w:bidi/>
              <w:spacing w:before="120"/>
              <w:rPr>
                <w:b/>
                <w:sz w:val="24"/>
              </w:rPr>
            </w:pPr>
            <w:r w:rsidRPr="00153A70">
              <w:rPr>
                <w:bCs/>
                <w:sz w:val="24"/>
                <w:rtl/>
              </w:rPr>
              <w:t>مصادر البيانات وجمعها</w:t>
            </w:r>
          </w:p>
        </w:tc>
        <w:tc>
          <w:tcPr>
            <w:tcW w:w="4270" w:type="pct"/>
            <w:shd w:val="clear" w:color="auto" w:fill="auto"/>
          </w:tcPr>
          <w:p w14:paraId="7536375A" w14:textId="1DA9037E" w:rsidR="00816BF0" w:rsidRPr="00153A70" w:rsidRDefault="00816BF0" w:rsidP="0018334B">
            <w:pPr>
              <w:keepNext/>
              <w:bidi/>
              <w:spacing w:before="120" w:after="60"/>
              <w:jc w:val="both"/>
              <w:rPr>
                <w:sz w:val="24"/>
              </w:rPr>
            </w:pPr>
            <w:r w:rsidRPr="00153A70">
              <w:rPr>
                <w:sz w:val="24"/>
                <w:rtl/>
              </w:rPr>
              <w:t>قد يرغب المسؤولون عن الرصد و</w:t>
            </w:r>
            <w:r w:rsidR="002465A5">
              <w:rPr>
                <w:rFonts w:hint="cs"/>
                <w:sz w:val="24"/>
                <w:rtl/>
              </w:rPr>
              <w:t>ا</w:t>
            </w:r>
            <w:r w:rsidR="00421CA1">
              <w:rPr>
                <w:rFonts w:hint="cs"/>
                <w:sz w:val="24"/>
                <w:rtl/>
              </w:rPr>
              <w:t xml:space="preserve">عداد </w:t>
            </w:r>
            <w:proofErr w:type="gramStart"/>
            <w:r w:rsidR="00421CA1">
              <w:rPr>
                <w:rFonts w:hint="cs"/>
                <w:sz w:val="24"/>
                <w:rtl/>
              </w:rPr>
              <w:t xml:space="preserve">التقرير </w:t>
            </w:r>
            <w:r w:rsidR="002465A5">
              <w:rPr>
                <w:rFonts w:hint="cs"/>
                <w:sz w:val="24"/>
                <w:rtl/>
              </w:rPr>
              <w:t xml:space="preserve"> </w:t>
            </w:r>
            <w:r w:rsidRPr="00153A70">
              <w:rPr>
                <w:sz w:val="24"/>
                <w:rtl/>
              </w:rPr>
              <w:t>في</w:t>
            </w:r>
            <w:proofErr w:type="gramEnd"/>
            <w:r w:rsidRPr="00153A70">
              <w:rPr>
                <w:sz w:val="24"/>
                <w:rtl/>
              </w:rPr>
              <w:t xml:space="preserve"> العمل عن </w:t>
            </w:r>
            <w:r w:rsidR="002465A5">
              <w:rPr>
                <w:rFonts w:hint="cs"/>
                <w:sz w:val="24"/>
                <w:rtl/>
              </w:rPr>
              <w:t>قرب</w:t>
            </w:r>
            <w:r w:rsidRPr="00153A70">
              <w:rPr>
                <w:sz w:val="24"/>
                <w:rtl/>
              </w:rPr>
              <w:t xml:space="preserve"> مع نظرائهم في وزارة التربية </w:t>
            </w:r>
            <w:r w:rsidR="001263D3" w:rsidRPr="00153A70">
              <w:rPr>
                <w:sz w:val="24"/>
                <w:rtl/>
              </w:rPr>
              <w:t>والتعليم (عوامل التقييم الشامل</w:t>
            </w:r>
            <w:r w:rsidRPr="00153A70">
              <w:rPr>
                <w:sz w:val="24"/>
                <w:rtl/>
              </w:rPr>
              <w:t xml:space="preserve"> 4-1</w:t>
            </w:r>
            <w:r w:rsidR="00F4039E">
              <w:rPr>
                <w:rFonts w:hint="cs"/>
                <w:sz w:val="24"/>
                <w:rtl/>
              </w:rPr>
              <w:t>،</w:t>
            </w:r>
            <w:r w:rsidRPr="00153A70">
              <w:rPr>
                <w:sz w:val="24"/>
                <w:rtl/>
              </w:rPr>
              <w:t xml:space="preserve"> </w:t>
            </w:r>
            <w:r w:rsidR="00F4039E" w:rsidRPr="00153A70">
              <w:rPr>
                <w:rFonts w:hint="cs"/>
                <w:sz w:val="24"/>
                <w:rtl/>
              </w:rPr>
              <w:t>و4</w:t>
            </w:r>
            <w:r w:rsidRPr="00153A70">
              <w:rPr>
                <w:sz w:val="24"/>
                <w:rtl/>
              </w:rPr>
              <w:t>-2</w:t>
            </w:r>
            <w:r w:rsidR="00F4039E">
              <w:rPr>
                <w:rFonts w:hint="cs"/>
                <w:sz w:val="24"/>
                <w:rtl/>
              </w:rPr>
              <w:t>،</w:t>
            </w:r>
            <w:r w:rsidR="001263D3" w:rsidRPr="00153A70">
              <w:rPr>
                <w:sz w:val="24"/>
                <w:rtl/>
              </w:rPr>
              <w:t xml:space="preserve"> و4-3) ووزارة التعليم العالي (</w:t>
            </w:r>
            <w:r w:rsidRPr="00153A70">
              <w:rPr>
                <w:sz w:val="24"/>
                <w:rtl/>
              </w:rPr>
              <w:t>عامل التقييم الشامل 4-4). و</w:t>
            </w:r>
            <w:r w:rsidR="002465A5">
              <w:rPr>
                <w:rFonts w:hint="cs"/>
                <w:sz w:val="24"/>
                <w:rtl/>
              </w:rPr>
              <w:t xml:space="preserve">قد </w:t>
            </w:r>
            <w:r w:rsidR="002465A5" w:rsidRPr="00153A70">
              <w:rPr>
                <w:sz w:val="24"/>
                <w:rtl/>
              </w:rPr>
              <w:t>تُجري</w:t>
            </w:r>
            <w:r w:rsidRPr="00153A70">
              <w:rPr>
                <w:sz w:val="24"/>
                <w:rtl/>
              </w:rPr>
              <w:t xml:space="preserve"> معاهد البحوث التربوية أو مؤسسات تدريب المعلمين أبحاث</w:t>
            </w:r>
            <w:r w:rsidR="002465A5">
              <w:rPr>
                <w:rFonts w:hint="cs"/>
                <w:sz w:val="24"/>
                <w:rtl/>
              </w:rPr>
              <w:t>ًا</w:t>
            </w:r>
            <w:r w:rsidRPr="00153A70">
              <w:rPr>
                <w:sz w:val="24"/>
                <w:rtl/>
              </w:rPr>
              <w:t xml:space="preserve"> حول تصميم البرامج وطرق التدريس، و</w:t>
            </w:r>
            <w:r w:rsidR="002465A5">
              <w:rPr>
                <w:rFonts w:hint="cs"/>
                <w:sz w:val="24"/>
                <w:rtl/>
              </w:rPr>
              <w:t xml:space="preserve">قد </w:t>
            </w:r>
            <w:r w:rsidRPr="00153A70">
              <w:rPr>
                <w:sz w:val="24"/>
                <w:rtl/>
              </w:rPr>
              <w:t>تتحمل مسؤولة تقييم فعاليتها ورصد نتائجها. وعادةً ما تدير مؤسسات تدريب المعلمين برامج تدريب المعلمين</w:t>
            </w:r>
            <w:r w:rsidR="002465A5">
              <w:rPr>
                <w:rFonts w:hint="cs"/>
                <w:sz w:val="24"/>
                <w:rtl/>
              </w:rPr>
              <w:t>،</w:t>
            </w:r>
            <w:r w:rsidRPr="00153A70">
              <w:rPr>
                <w:sz w:val="24"/>
                <w:rtl/>
              </w:rPr>
              <w:t xml:space="preserve"> والمدرسيين غير النظاميين، بإشراف من وزارة التعليم العالي، وينبغي إتاحة مناهجهم </w:t>
            </w:r>
            <w:r w:rsidR="002465A5">
              <w:rPr>
                <w:rFonts w:hint="cs"/>
                <w:sz w:val="24"/>
                <w:rtl/>
              </w:rPr>
              <w:t>ونُهجهم</w:t>
            </w:r>
            <w:r w:rsidRPr="00153A70">
              <w:rPr>
                <w:sz w:val="24"/>
                <w:rtl/>
              </w:rPr>
              <w:t>.</w:t>
            </w:r>
          </w:p>
          <w:p w14:paraId="58085DC2" w14:textId="3BF669F6" w:rsidR="0054175C" w:rsidRPr="00153A70" w:rsidRDefault="00395E2B" w:rsidP="0018334B">
            <w:pPr>
              <w:keepNext/>
              <w:bidi/>
              <w:spacing w:before="120" w:after="60"/>
              <w:jc w:val="both"/>
              <w:rPr>
                <w:bCs/>
                <w:sz w:val="24"/>
              </w:rPr>
            </w:pPr>
            <w:r w:rsidRPr="00153A70">
              <w:rPr>
                <w:bCs/>
                <w:sz w:val="24"/>
                <w:rtl/>
              </w:rPr>
              <w:t>مصادر البيانات المتاحة</w:t>
            </w:r>
          </w:p>
          <w:p w14:paraId="25C8D98F" w14:textId="49C07761" w:rsidR="00D712A7" w:rsidRPr="00153A70" w:rsidRDefault="001263D3" w:rsidP="0018334B">
            <w:pPr>
              <w:pStyle w:val="ListParagraph"/>
              <w:numPr>
                <w:ilvl w:val="0"/>
                <w:numId w:val="73"/>
              </w:numPr>
              <w:bidi/>
              <w:spacing w:before="120"/>
              <w:jc w:val="both"/>
              <w:rPr>
                <w:rFonts w:ascii="Times New Roman" w:hAnsi="Times New Roman"/>
                <w:sz w:val="24"/>
                <w:szCs w:val="24"/>
                <w:lang w:val="en-GB"/>
              </w:rPr>
            </w:pPr>
            <w:r w:rsidRPr="00153A70">
              <w:rPr>
                <w:rFonts w:ascii="Times New Roman" w:hAnsi="Times New Roman"/>
                <w:sz w:val="24"/>
                <w:szCs w:val="24"/>
                <w:rtl/>
                <w:lang w:val="en-GB"/>
              </w:rPr>
              <w:t xml:space="preserve">مناهج </w:t>
            </w:r>
            <w:r w:rsidR="00D712A7" w:rsidRPr="00153A70">
              <w:rPr>
                <w:rFonts w:ascii="Times New Roman" w:hAnsi="Times New Roman"/>
                <w:sz w:val="24"/>
                <w:szCs w:val="24"/>
                <w:rtl/>
                <w:lang w:val="en-GB"/>
              </w:rPr>
              <w:t xml:space="preserve">تعليمية </w:t>
            </w:r>
            <w:r w:rsidRPr="00153A70">
              <w:rPr>
                <w:rFonts w:ascii="Times New Roman" w:hAnsi="Times New Roman"/>
                <w:sz w:val="24"/>
                <w:szCs w:val="24"/>
                <w:rtl/>
                <w:lang w:val="en-GB"/>
              </w:rPr>
              <w:t xml:space="preserve">أو معايير </w:t>
            </w:r>
            <w:r w:rsidR="00D712A7" w:rsidRPr="00153A70">
              <w:rPr>
                <w:rFonts w:ascii="Times New Roman" w:hAnsi="Times New Roman"/>
                <w:sz w:val="24"/>
                <w:szCs w:val="24"/>
                <w:rtl/>
                <w:lang w:val="en-GB"/>
              </w:rPr>
              <w:t>تدريس</w:t>
            </w:r>
          </w:p>
          <w:p w14:paraId="254EF873" w14:textId="26FA7AAD" w:rsidR="00D712A7" w:rsidRPr="00153A70" w:rsidRDefault="001263D3" w:rsidP="0018334B">
            <w:pPr>
              <w:pStyle w:val="ListParagraph"/>
              <w:numPr>
                <w:ilvl w:val="0"/>
                <w:numId w:val="73"/>
              </w:numPr>
              <w:bidi/>
              <w:spacing w:before="120"/>
              <w:jc w:val="both"/>
              <w:rPr>
                <w:rFonts w:ascii="Times New Roman" w:hAnsi="Times New Roman"/>
                <w:sz w:val="24"/>
                <w:szCs w:val="24"/>
                <w:lang w:val="en-GB"/>
              </w:rPr>
            </w:pPr>
            <w:r w:rsidRPr="00153A70">
              <w:rPr>
                <w:rFonts w:ascii="Times New Roman" w:hAnsi="Times New Roman"/>
                <w:sz w:val="24"/>
                <w:szCs w:val="24"/>
                <w:rtl/>
                <w:lang w:val="en-GB"/>
              </w:rPr>
              <w:t xml:space="preserve">قوائم مناهج ودورات </w:t>
            </w:r>
            <w:r w:rsidR="00D712A7" w:rsidRPr="00153A70">
              <w:rPr>
                <w:rFonts w:ascii="Times New Roman" w:hAnsi="Times New Roman"/>
                <w:sz w:val="24"/>
                <w:szCs w:val="24"/>
                <w:rtl/>
                <w:lang w:val="en-GB"/>
              </w:rPr>
              <w:t>تدريبية لمؤسسات تدريب المعلمين</w:t>
            </w:r>
          </w:p>
          <w:p w14:paraId="619E21C7" w14:textId="762187B1" w:rsidR="00D712A7" w:rsidRPr="00153A70" w:rsidRDefault="001263D3" w:rsidP="0018334B">
            <w:pPr>
              <w:pStyle w:val="ListParagraph"/>
              <w:numPr>
                <w:ilvl w:val="0"/>
                <w:numId w:val="73"/>
              </w:numPr>
              <w:bidi/>
              <w:spacing w:before="120"/>
              <w:jc w:val="both"/>
              <w:rPr>
                <w:rFonts w:ascii="Times New Roman" w:hAnsi="Times New Roman"/>
                <w:sz w:val="24"/>
                <w:szCs w:val="24"/>
                <w:lang w:val="en-GB"/>
              </w:rPr>
            </w:pPr>
            <w:r w:rsidRPr="00153A70">
              <w:rPr>
                <w:rFonts w:ascii="Times New Roman" w:hAnsi="Times New Roman"/>
                <w:sz w:val="24"/>
                <w:szCs w:val="24"/>
                <w:rtl/>
                <w:lang w:val="en-GB"/>
              </w:rPr>
              <w:t xml:space="preserve">رصد </w:t>
            </w:r>
            <w:r w:rsidR="0091432C">
              <w:rPr>
                <w:rFonts w:ascii="Times New Roman" w:hAnsi="Times New Roman" w:hint="cs"/>
                <w:sz w:val="24"/>
                <w:szCs w:val="24"/>
                <w:rtl/>
                <w:lang w:val="en-GB"/>
              </w:rPr>
              <w:t>و</w:t>
            </w:r>
            <w:r w:rsidR="00E714C9">
              <w:rPr>
                <w:rFonts w:ascii="Times New Roman" w:hAnsi="Times New Roman" w:hint="cs"/>
                <w:sz w:val="24"/>
                <w:szCs w:val="24"/>
                <w:rtl/>
                <w:lang w:val="en-GB"/>
              </w:rPr>
              <w:t xml:space="preserve">تقارير </w:t>
            </w:r>
            <w:r w:rsidR="009D0F9D" w:rsidRPr="00153A70">
              <w:rPr>
                <w:rFonts w:ascii="Times New Roman" w:hAnsi="Times New Roman"/>
                <w:sz w:val="24"/>
                <w:szCs w:val="24"/>
                <w:rtl/>
                <w:lang w:val="en-GB"/>
              </w:rPr>
              <w:t>من وزار</w:t>
            </w:r>
            <w:r w:rsidR="009D0F9D" w:rsidRPr="00153A70">
              <w:rPr>
                <w:rFonts w:ascii="Times New Roman" w:hAnsi="Times New Roman" w:hint="cs"/>
                <w:sz w:val="24"/>
                <w:szCs w:val="24"/>
                <w:rtl/>
                <w:lang w:val="en-GB"/>
              </w:rPr>
              <w:t xml:space="preserve">ة </w:t>
            </w:r>
            <w:r w:rsidR="00A94E0C" w:rsidRPr="00153A70">
              <w:rPr>
                <w:rFonts w:ascii="Times New Roman" w:hAnsi="Times New Roman"/>
                <w:sz w:val="24"/>
                <w:szCs w:val="24"/>
                <w:rtl/>
                <w:lang w:val="en-GB"/>
              </w:rPr>
              <w:t>تربية وتعليم و</w:t>
            </w:r>
            <w:r w:rsidR="00A94E0C" w:rsidRPr="00153A70">
              <w:rPr>
                <w:rFonts w:ascii="Times New Roman" w:hAnsi="Times New Roman" w:hint="cs"/>
                <w:sz w:val="24"/>
                <w:szCs w:val="24"/>
                <w:rtl/>
                <w:lang w:val="en-GB"/>
              </w:rPr>
              <w:t xml:space="preserve">وزارة </w:t>
            </w:r>
            <w:r w:rsidR="00A94E0C" w:rsidRPr="00153A70">
              <w:rPr>
                <w:rFonts w:ascii="Times New Roman" w:hAnsi="Times New Roman"/>
                <w:sz w:val="24"/>
                <w:szCs w:val="24"/>
                <w:rtl/>
                <w:lang w:val="en-GB"/>
              </w:rPr>
              <w:t xml:space="preserve">تعليم </w:t>
            </w:r>
            <w:r w:rsidR="00D712A7" w:rsidRPr="00153A70">
              <w:rPr>
                <w:rFonts w:ascii="Times New Roman" w:hAnsi="Times New Roman"/>
                <w:sz w:val="24"/>
                <w:szCs w:val="24"/>
                <w:rtl/>
                <w:lang w:val="en-GB"/>
              </w:rPr>
              <w:t>عالي</w:t>
            </w:r>
          </w:p>
          <w:p w14:paraId="0A82AC82" w14:textId="3ED5AE04" w:rsidR="00D712A7" w:rsidRPr="00153A70" w:rsidRDefault="00A94E0C" w:rsidP="0018334B">
            <w:pPr>
              <w:pStyle w:val="ListParagraph"/>
              <w:numPr>
                <w:ilvl w:val="0"/>
                <w:numId w:val="73"/>
              </w:numPr>
              <w:bidi/>
              <w:spacing w:before="120"/>
              <w:jc w:val="both"/>
              <w:rPr>
                <w:rFonts w:ascii="Times New Roman" w:hAnsi="Times New Roman"/>
                <w:sz w:val="24"/>
                <w:szCs w:val="24"/>
                <w:lang w:val="en-GB"/>
              </w:rPr>
            </w:pPr>
            <w:r w:rsidRPr="00153A70">
              <w:rPr>
                <w:rFonts w:ascii="Times New Roman" w:hAnsi="Times New Roman"/>
                <w:sz w:val="24"/>
                <w:szCs w:val="24"/>
                <w:rtl/>
                <w:lang w:val="en-GB"/>
              </w:rPr>
              <w:t>إحصاءات ومسوح وتقييمات ت</w:t>
            </w:r>
            <w:r w:rsidRPr="00153A70">
              <w:rPr>
                <w:rFonts w:ascii="Times New Roman" w:hAnsi="Times New Roman" w:hint="cs"/>
                <w:sz w:val="24"/>
                <w:szCs w:val="24"/>
                <w:rtl/>
                <w:lang w:val="en-GB"/>
              </w:rPr>
              <w:t>ثقيفية</w:t>
            </w:r>
            <w:r w:rsidRPr="00153A70">
              <w:rPr>
                <w:rFonts w:ascii="Times New Roman" w:hAnsi="Times New Roman"/>
                <w:sz w:val="24"/>
                <w:szCs w:val="24"/>
                <w:rtl/>
                <w:lang w:val="en-GB"/>
              </w:rPr>
              <w:t xml:space="preserve">، وتقارير سنوية أو دورية عن إنجازات </w:t>
            </w:r>
            <w:r w:rsidR="0091432C">
              <w:rPr>
                <w:rFonts w:ascii="Times New Roman" w:hAnsi="Times New Roman" w:hint="cs"/>
                <w:sz w:val="24"/>
                <w:szCs w:val="24"/>
                <w:rtl/>
                <w:lang w:val="en-GB"/>
              </w:rPr>
              <w:t>التعليم</w:t>
            </w:r>
          </w:p>
          <w:p w14:paraId="5220A934" w14:textId="7F5F8669" w:rsidR="00D712A7" w:rsidRPr="00153A70" w:rsidRDefault="00E714C9" w:rsidP="0018334B">
            <w:pPr>
              <w:pStyle w:val="ListParagraph"/>
              <w:numPr>
                <w:ilvl w:val="0"/>
                <w:numId w:val="73"/>
              </w:numPr>
              <w:bidi/>
              <w:spacing w:before="120"/>
              <w:jc w:val="both"/>
              <w:rPr>
                <w:rFonts w:ascii="Times New Roman" w:hAnsi="Times New Roman"/>
                <w:sz w:val="24"/>
                <w:szCs w:val="24"/>
                <w:lang w:val="en-GB"/>
              </w:rPr>
            </w:pPr>
            <w:r>
              <w:rPr>
                <w:rFonts w:ascii="Times New Roman" w:hAnsi="Times New Roman" w:hint="cs"/>
                <w:sz w:val="24"/>
                <w:szCs w:val="24"/>
                <w:rtl/>
                <w:lang w:val="en-GB"/>
              </w:rPr>
              <w:t>التقرير</w:t>
            </w:r>
            <w:r w:rsidR="00D712A7" w:rsidRPr="00153A70">
              <w:rPr>
                <w:rFonts w:ascii="Times New Roman" w:hAnsi="Times New Roman"/>
                <w:sz w:val="24"/>
                <w:szCs w:val="24"/>
                <w:rtl/>
                <w:lang w:val="en-GB"/>
              </w:rPr>
              <w:t xml:space="preserve"> بشأن هدف</w:t>
            </w:r>
            <w:r w:rsidR="0091432C">
              <w:rPr>
                <w:rFonts w:ascii="Times New Roman" w:hAnsi="Times New Roman" w:hint="cs"/>
                <w:sz w:val="24"/>
                <w:szCs w:val="24"/>
                <w:rtl/>
                <w:lang w:val="en-GB"/>
              </w:rPr>
              <w:t xml:space="preserve"> التنمية المستدامة</w:t>
            </w:r>
            <w:r w:rsidR="00D712A7" w:rsidRPr="00153A70">
              <w:rPr>
                <w:rFonts w:ascii="Times New Roman" w:hAnsi="Times New Roman"/>
                <w:sz w:val="24"/>
                <w:szCs w:val="24"/>
                <w:rtl/>
                <w:lang w:val="en-GB"/>
              </w:rPr>
              <w:t xml:space="preserve"> 4، وخاصة الغاية 4-7</w:t>
            </w:r>
            <w:r w:rsidR="0091432C">
              <w:rPr>
                <w:rFonts w:ascii="Times New Roman" w:hAnsi="Times New Roman" w:hint="cs"/>
                <w:sz w:val="24"/>
                <w:szCs w:val="24"/>
                <w:rtl/>
                <w:lang w:val="en-GB"/>
              </w:rPr>
              <w:t xml:space="preserve"> من أهداف التنمية المستدامة</w:t>
            </w:r>
          </w:p>
          <w:p w14:paraId="03246650" w14:textId="2651E561" w:rsidR="00963017" w:rsidRPr="00153A70" w:rsidRDefault="00BC4412" w:rsidP="0018334B">
            <w:pPr>
              <w:pStyle w:val="ListParagraph"/>
              <w:numPr>
                <w:ilvl w:val="0"/>
                <w:numId w:val="73"/>
              </w:numPr>
              <w:bidi/>
              <w:spacing w:before="120"/>
              <w:jc w:val="both"/>
              <w:rPr>
                <w:rFonts w:ascii="Times New Roman" w:hAnsi="Times New Roman"/>
                <w:sz w:val="24"/>
                <w:szCs w:val="24"/>
                <w:lang w:val="en-GB"/>
              </w:rPr>
            </w:pPr>
            <w:r w:rsidRPr="00153A70">
              <w:rPr>
                <w:rFonts w:ascii="Times New Roman" w:hAnsi="Times New Roman"/>
                <w:sz w:val="24"/>
                <w:szCs w:val="24"/>
                <w:rtl/>
                <w:lang w:val="en-GB"/>
              </w:rPr>
              <w:t xml:space="preserve">نتائج </w:t>
            </w:r>
            <w:r w:rsidR="00D712A7" w:rsidRPr="00153A70">
              <w:rPr>
                <w:rFonts w:ascii="Times New Roman" w:hAnsi="Times New Roman"/>
                <w:sz w:val="24"/>
                <w:szCs w:val="24"/>
                <w:rtl/>
                <w:lang w:val="en-GB"/>
              </w:rPr>
              <w:t xml:space="preserve">بحث </w:t>
            </w:r>
            <w:r w:rsidRPr="00153A70">
              <w:rPr>
                <w:rFonts w:ascii="Times New Roman" w:hAnsi="Times New Roman" w:hint="cs"/>
                <w:sz w:val="24"/>
                <w:szCs w:val="24"/>
                <w:rtl/>
                <w:lang w:val="en-GB"/>
              </w:rPr>
              <w:t xml:space="preserve">عن </w:t>
            </w:r>
            <w:r w:rsidR="00D712A7" w:rsidRPr="00153A70">
              <w:rPr>
                <w:rFonts w:ascii="Times New Roman" w:hAnsi="Times New Roman"/>
                <w:sz w:val="24"/>
                <w:szCs w:val="24"/>
                <w:rtl/>
                <w:lang w:val="en-GB"/>
              </w:rPr>
              <w:t>تصميم برامج التعليم، والأساليب والنهج التربوية</w:t>
            </w:r>
          </w:p>
        </w:tc>
      </w:tr>
    </w:tbl>
    <w:p w14:paraId="749A37A8" w14:textId="77777777" w:rsidR="00320242" w:rsidRPr="00153AD9" w:rsidRDefault="00320242" w:rsidP="0018334B">
      <w:pPr>
        <w:bidi/>
      </w:pPr>
    </w:p>
    <w:sectPr w:rsidR="00320242" w:rsidRPr="00153AD9"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DCF58" w14:textId="77777777" w:rsidR="00975F6D" w:rsidRDefault="00975F6D" w:rsidP="002938F2">
      <w:r>
        <w:separator/>
      </w:r>
    </w:p>
    <w:p w14:paraId="0D5859BC" w14:textId="77777777" w:rsidR="00975F6D" w:rsidRDefault="00975F6D"/>
  </w:endnote>
  <w:endnote w:type="continuationSeparator" w:id="0">
    <w:p w14:paraId="249DC833" w14:textId="77777777" w:rsidR="00975F6D" w:rsidRDefault="00975F6D" w:rsidP="002938F2">
      <w:r>
        <w:continuationSeparator/>
      </w:r>
    </w:p>
    <w:p w14:paraId="541611E9" w14:textId="77777777" w:rsidR="00975F6D" w:rsidRDefault="00975F6D"/>
  </w:endnote>
  <w:endnote w:type="continuationNotice" w:id="1">
    <w:p w14:paraId="12972688" w14:textId="77777777" w:rsidR="00975F6D" w:rsidRDefault="00975F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F061" w14:textId="4D70F121" w:rsidR="00C04344" w:rsidRPr="000A0709" w:rsidRDefault="00F65B5C" w:rsidP="00AB7735">
    <w:pPr>
      <w:pStyle w:val="Footer"/>
      <w:bidi/>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971F06">
      <w:rPr>
        <w:rFonts w:ascii="Arial" w:hAnsi="Arial" w:cs="Arial"/>
        <w:noProof/>
        <w:rtl/>
      </w:rPr>
      <w:t>1</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D5B4C" w14:textId="77777777" w:rsidR="00975F6D" w:rsidRDefault="00975F6D" w:rsidP="002938F2">
      <w:r>
        <w:separator/>
      </w:r>
    </w:p>
  </w:footnote>
  <w:footnote w:type="continuationSeparator" w:id="0">
    <w:p w14:paraId="4825A973" w14:textId="77777777" w:rsidR="00975F6D" w:rsidRDefault="00975F6D" w:rsidP="002938F2">
      <w:r>
        <w:continuationSeparator/>
      </w:r>
    </w:p>
    <w:p w14:paraId="67E27A2A" w14:textId="77777777" w:rsidR="00975F6D" w:rsidRDefault="00975F6D"/>
  </w:footnote>
  <w:footnote w:type="continuationNotice" w:id="1">
    <w:p w14:paraId="1768FD96" w14:textId="77777777" w:rsidR="00975F6D" w:rsidRDefault="00975F6D">
      <w:pPr>
        <w:spacing w:after="0"/>
      </w:pPr>
    </w:p>
  </w:footnote>
  <w:footnote w:id="2">
    <w:p w14:paraId="7DF10092" w14:textId="16215FED" w:rsidR="00032028" w:rsidRPr="00AD2B40" w:rsidRDefault="00032028" w:rsidP="0018334B">
      <w:pPr>
        <w:pStyle w:val="FootnoteText"/>
        <w:bidi/>
        <w:jc w:val="both"/>
        <w:rPr>
          <w:sz w:val="28"/>
          <w:szCs w:val="28"/>
          <w:rtl/>
          <w:lang w:bidi="ar-EG"/>
        </w:rPr>
      </w:pPr>
      <w:r w:rsidRPr="00AD2B40">
        <w:rPr>
          <w:rStyle w:val="FootnoteReference"/>
        </w:rPr>
        <w:footnoteRef/>
      </w:r>
      <w:r w:rsidR="0018334B">
        <w:rPr>
          <w:rFonts w:hint="cs"/>
          <w:rtl/>
        </w:rPr>
        <w:t xml:space="preserve"> </w:t>
      </w:r>
      <w:r w:rsidRPr="00AD2B40">
        <w:rPr>
          <w:rtl/>
        </w:rPr>
        <w:t>رغم استخدام الاتفاقية باستمرار لعبارة "الجماعات والمجموعات والأفراد"، فإنّ العديد من عوامل التقييم، على غرار بعض التوجيهات التنفيذية، اختارت الإشارة إلى "ممارسي وحملة التراث" لتحديد بعض أعضاء هذه الجماعات والمجموعات، الذين يلعبون دورًا محددًا، فيما يتعلّق بتراثهم الثقافي غير المادي، بشكل أفضل.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1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DD22B7B"/>
    <w:multiLevelType w:val="hybridMultilevel"/>
    <w:tmpl w:val="D4181AF0"/>
    <w:lvl w:ilvl="0" w:tplc="6EBEFF8A">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0AB7C08"/>
    <w:multiLevelType w:val="hybridMultilevel"/>
    <w:tmpl w:val="61765346"/>
    <w:lvl w:ilvl="0" w:tplc="F632A624">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6"/>
  </w:num>
  <w:num w:numId="3">
    <w:abstractNumId w:val="11"/>
  </w:num>
  <w:num w:numId="4">
    <w:abstractNumId w:val="55"/>
  </w:num>
  <w:num w:numId="5">
    <w:abstractNumId w:val="46"/>
  </w:num>
  <w:num w:numId="6">
    <w:abstractNumId w:val="4"/>
  </w:num>
  <w:num w:numId="7">
    <w:abstractNumId w:val="16"/>
  </w:num>
  <w:num w:numId="8">
    <w:abstractNumId w:val="25"/>
  </w:num>
  <w:num w:numId="9">
    <w:abstractNumId w:val="49"/>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3"/>
  </w:num>
  <w:num w:numId="17">
    <w:abstractNumId w:val="39"/>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53"/>
  </w:num>
  <w:num w:numId="27">
    <w:abstractNumId w:val="25"/>
  </w:num>
  <w:num w:numId="28">
    <w:abstractNumId w:val="25"/>
  </w:num>
  <w:num w:numId="29">
    <w:abstractNumId w:val="25"/>
  </w:num>
  <w:num w:numId="30">
    <w:abstractNumId w:val="25"/>
  </w:num>
  <w:num w:numId="31">
    <w:abstractNumId w:val="10"/>
  </w:num>
  <w:num w:numId="32">
    <w:abstractNumId w:val="8"/>
  </w:num>
  <w:num w:numId="33">
    <w:abstractNumId w:val="17"/>
  </w:num>
  <w:num w:numId="34">
    <w:abstractNumId w:val="47"/>
  </w:num>
  <w:num w:numId="35">
    <w:abstractNumId w:val="21"/>
  </w:num>
  <w:num w:numId="36">
    <w:abstractNumId w:val="41"/>
  </w:num>
  <w:num w:numId="37">
    <w:abstractNumId w:val="18"/>
  </w:num>
  <w:num w:numId="38">
    <w:abstractNumId w:val="9"/>
  </w:num>
  <w:num w:numId="39">
    <w:abstractNumId w:val="6"/>
  </w:num>
  <w:num w:numId="40">
    <w:abstractNumId w:val="20"/>
  </w:num>
  <w:num w:numId="41">
    <w:abstractNumId w:val="54"/>
  </w:num>
  <w:num w:numId="42">
    <w:abstractNumId w:val="51"/>
  </w:num>
  <w:num w:numId="43">
    <w:abstractNumId w:val="29"/>
  </w:num>
  <w:num w:numId="44">
    <w:abstractNumId w:val="12"/>
  </w:num>
  <w:num w:numId="45">
    <w:abstractNumId w:val="52"/>
  </w:num>
  <w:num w:numId="46">
    <w:abstractNumId w:val="5"/>
  </w:num>
  <w:num w:numId="47">
    <w:abstractNumId w:val="35"/>
  </w:num>
  <w:num w:numId="48">
    <w:abstractNumId w:val="56"/>
  </w:num>
  <w:num w:numId="49">
    <w:abstractNumId w:val="32"/>
  </w:num>
  <w:num w:numId="50">
    <w:abstractNumId w:val="30"/>
  </w:num>
  <w:num w:numId="51">
    <w:abstractNumId w:val="27"/>
  </w:num>
  <w:num w:numId="52">
    <w:abstractNumId w:val="38"/>
  </w:num>
  <w:num w:numId="53">
    <w:abstractNumId w:val="15"/>
  </w:num>
  <w:num w:numId="54">
    <w:abstractNumId w:val="1"/>
  </w:num>
  <w:num w:numId="55">
    <w:abstractNumId w:val="34"/>
  </w:num>
  <w:num w:numId="56">
    <w:abstractNumId w:val="40"/>
  </w:num>
  <w:num w:numId="57">
    <w:abstractNumId w:val="0"/>
  </w:num>
  <w:num w:numId="58">
    <w:abstractNumId w:val="3"/>
  </w:num>
  <w:num w:numId="59">
    <w:abstractNumId w:val="44"/>
  </w:num>
  <w:num w:numId="60">
    <w:abstractNumId w:val="2"/>
  </w:num>
  <w:num w:numId="61">
    <w:abstractNumId w:val="31"/>
  </w:num>
  <w:num w:numId="62">
    <w:abstractNumId w:val="22"/>
  </w:num>
  <w:num w:numId="63">
    <w:abstractNumId w:val="48"/>
  </w:num>
  <w:num w:numId="64">
    <w:abstractNumId w:val="19"/>
  </w:num>
  <w:num w:numId="65">
    <w:abstractNumId w:val="24"/>
  </w:num>
  <w:num w:numId="66">
    <w:abstractNumId w:val="45"/>
  </w:num>
  <w:num w:numId="67">
    <w:abstractNumId w:val="36"/>
  </w:num>
  <w:num w:numId="68">
    <w:abstractNumId w:val="13"/>
  </w:num>
  <w:num w:numId="69">
    <w:abstractNumId w:val="42"/>
  </w:num>
  <w:num w:numId="70">
    <w:abstractNumId w:val="33"/>
  </w:num>
  <w:num w:numId="71">
    <w:abstractNumId w:val="28"/>
  </w:num>
  <w:num w:numId="72">
    <w:abstractNumId w:val="50"/>
  </w:num>
  <w:num w:numId="73">
    <w:abstractNumId w:val="7"/>
  </w:num>
  <w:num w:numId="74">
    <w:abstractNumId w:val="37"/>
  </w:num>
  <w:num w:numId="75">
    <w:abstractNumId w:val="1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8B9"/>
    <w:rsid w:val="000016A4"/>
    <w:rsid w:val="000019DB"/>
    <w:rsid w:val="000047CC"/>
    <w:rsid w:val="00005BA5"/>
    <w:rsid w:val="00005BFA"/>
    <w:rsid w:val="00006F66"/>
    <w:rsid w:val="00010E2D"/>
    <w:rsid w:val="000120FD"/>
    <w:rsid w:val="00013A65"/>
    <w:rsid w:val="00014D1D"/>
    <w:rsid w:val="0001506E"/>
    <w:rsid w:val="000151FB"/>
    <w:rsid w:val="00015B9D"/>
    <w:rsid w:val="0001601A"/>
    <w:rsid w:val="00021831"/>
    <w:rsid w:val="00022C19"/>
    <w:rsid w:val="00031A37"/>
    <w:rsid w:val="00032028"/>
    <w:rsid w:val="00034B50"/>
    <w:rsid w:val="00036843"/>
    <w:rsid w:val="0004657A"/>
    <w:rsid w:val="00047E58"/>
    <w:rsid w:val="000519C6"/>
    <w:rsid w:val="00052E81"/>
    <w:rsid w:val="00054FDC"/>
    <w:rsid w:val="00062550"/>
    <w:rsid w:val="000632E2"/>
    <w:rsid w:val="000677E3"/>
    <w:rsid w:val="0007203D"/>
    <w:rsid w:val="000729D2"/>
    <w:rsid w:val="00073D20"/>
    <w:rsid w:val="00074E7D"/>
    <w:rsid w:val="000755E1"/>
    <w:rsid w:val="0007681B"/>
    <w:rsid w:val="000769F1"/>
    <w:rsid w:val="00083694"/>
    <w:rsid w:val="0008510F"/>
    <w:rsid w:val="00085419"/>
    <w:rsid w:val="00085541"/>
    <w:rsid w:val="00092AE6"/>
    <w:rsid w:val="00093063"/>
    <w:rsid w:val="000A0709"/>
    <w:rsid w:val="000A0F0D"/>
    <w:rsid w:val="000A112A"/>
    <w:rsid w:val="000A21DA"/>
    <w:rsid w:val="000A34CE"/>
    <w:rsid w:val="000B1E80"/>
    <w:rsid w:val="000C03BF"/>
    <w:rsid w:val="000C15BD"/>
    <w:rsid w:val="000C28B9"/>
    <w:rsid w:val="000C65E4"/>
    <w:rsid w:val="000C7EE0"/>
    <w:rsid w:val="000D1EBC"/>
    <w:rsid w:val="000D260B"/>
    <w:rsid w:val="000D345F"/>
    <w:rsid w:val="000D7375"/>
    <w:rsid w:val="000E2EE7"/>
    <w:rsid w:val="000F0028"/>
    <w:rsid w:val="000F25BA"/>
    <w:rsid w:val="000F2B3F"/>
    <w:rsid w:val="000F4EA2"/>
    <w:rsid w:val="000F70F8"/>
    <w:rsid w:val="000F7E6F"/>
    <w:rsid w:val="00106B72"/>
    <w:rsid w:val="00106D19"/>
    <w:rsid w:val="0011334A"/>
    <w:rsid w:val="00115830"/>
    <w:rsid w:val="00115C26"/>
    <w:rsid w:val="00116489"/>
    <w:rsid w:val="0011750D"/>
    <w:rsid w:val="00121B41"/>
    <w:rsid w:val="001263D3"/>
    <w:rsid w:val="001301DF"/>
    <w:rsid w:val="001412DE"/>
    <w:rsid w:val="00142D78"/>
    <w:rsid w:val="00144A4D"/>
    <w:rsid w:val="00150965"/>
    <w:rsid w:val="00151351"/>
    <w:rsid w:val="00153A70"/>
    <w:rsid w:val="00153AD9"/>
    <w:rsid w:val="00156614"/>
    <w:rsid w:val="00156788"/>
    <w:rsid w:val="001609A1"/>
    <w:rsid w:val="00162554"/>
    <w:rsid w:val="00163F68"/>
    <w:rsid w:val="00167B09"/>
    <w:rsid w:val="00173B50"/>
    <w:rsid w:val="00173E0E"/>
    <w:rsid w:val="00174B39"/>
    <w:rsid w:val="0018334B"/>
    <w:rsid w:val="00183F6C"/>
    <w:rsid w:val="0018582A"/>
    <w:rsid w:val="00194802"/>
    <w:rsid w:val="00194AEB"/>
    <w:rsid w:val="001A0F02"/>
    <w:rsid w:val="001A431C"/>
    <w:rsid w:val="001A5519"/>
    <w:rsid w:val="001A7C3A"/>
    <w:rsid w:val="001B5C26"/>
    <w:rsid w:val="001C0732"/>
    <w:rsid w:val="001C08BC"/>
    <w:rsid w:val="001C56BA"/>
    <w:rsid w:val="001C6D7D"/>
    <w:rsid w:val="001C73C7"/>
    <w:rsid w:val="001D00B5"/>
    <w:rsid w:val="001D3B29"/>
    <w:rsid w:val="001D59C8"/>
    <w:rsid w:val="001E3F49"/>
    <w:rsid w:val="001E4EEB"/>
    <w:rsid w:val="001E6026"/>
    <w:rsid w:val="001F3696"/>
    <w:rsid w:val="001F37CA"/>
    <w:rsid w:val="001F4EB1"/>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25B"/>
    <w:rsid w:val="00234AE4"/>
    <w:rsid w:val="00237935"/>
    <w:rsid w:val="00237E43"/>
    <w:rsid w:val="00242583"/>
    <w:rsid w:val="00245E26"/>
    <w:rsid w:val="002465A5"/>
    <w:rsid w:val="002539EA"/>
    <w:rsid w:val="002542FD"/>
    <w:rsid w:val="00254B4E"/>
    <w:rsid w:val="00254CA1"/>
    <w:rsid w:val="00256596"/>
    <w:rsid w:val="0026007A"/>
    <w:rsid w:val="002638C0"/>
    <w:rsid w:val="00265E42"/>
    <w:rsid w:val="00266B45"/>
    <w:rsid w:val="0027198B"/>
    <w:rsid w:val="00273658"/>
    <w:rsid w:val="00282A9D"/>
    <w:rsid w:val="00286C0C"/>
    <w:rsid w:val="00287687"/>
    <w:rsid w:val="00287A84"/>
    <w:rsid w:val="00290D5F"/>
    <w:rsid w:val="002938F2"/>
    <w:rsid w:val="00293CCC"/>
    <w:rsid w:val="00294AE9"/>
    <w:rsid w:val="00296176"/>
    <w:rsid w:val="002A195D"/>
    <w:rsid w:val="002A6A49"/>
    <w:rsid w:val="002B43D6"/>
    <w:rsid w:val="002B6B98"/>
    <w:rsid w:val="002B7D23"/>
    <w:rsid w:val="002C28BA"/>
    <w:rsid w:val="002C3B8F"/>
    <w:rsid w:val="002C444C"/>
    <w:rsid w:val="002C5021"/>
    <w:rsid w:val="002C5280"/>
    <w:rsid w:val="002C5C29"/>
    <w:rsid w:val="002D396D"/>
    <w:rsid w:val="002D5E43"/>
    <w:rsid w:val="002D71D4"/>
    <w:rsid w:val="002E113D"/>
    <w:rsid w:val="002F17E1"/>
    <w:rsid w:val="002F57C2"/>
    <w:rsid w:val="003043A9"/>
    <w:rsid w:val="0030454E"/>
    <w:rsid w:val="003109BE"/>
    <w:rsid w:val="00320242"/>
    <w:rsid w:val="00324A32"/>
    <w:rsid w:val="00325D6E"/>
    <w:rsid w:val="00331717"/>
    <w:rsid w:val="00334977"/>
    <w:rsid w:val="00337194"/>
    <w:rsid w:val="003422BD"/>
    <w:rsid w:val="00342EE8"/>
    <w:rsid w:val="00344D78"/>
    <w:rsid w:val="00346517"/>
    <w:rsid w:val="00351CCB"/>
    <w:rsid w:val="0035231B"/>
    <w:rsid w:val="0035648A"/>
    <w:rsid w:val="00362B41"/>
    <w:rsid w:val="00363995"/>
    <w:rsid w:val="00364E5E"/>
    <w:rsid w:val="00370E9B"/>
    <w:rsid w:val="00377E4B"/>
    <w:rsid w:val="00383BA9"/>
    <w:rsid w:val="003845B0"/>
    <w:rsid w:val="00385B34"/>
    <w:rsid w:val="00386C08"/>
    <w:rsid w:val="00387D88"/>
    <w:rsid w:val="003912EF"/>
    <w:rsid w:val="0039166E"/>
    <w:rsid w:val="0039291D"/>
    <w:rsid w:val="0039446E"/>
    <w:rsid w:val="00395E2B"/>
    <w:rsid w:val="003A260A"/>
    <w:rsid w:val="003A2BC4"/>
    <w:rsid w:val="003B2419"/>
    <w:rsid w:val="003B31BE"/>
    <w:rsid w:val="003B504D"/>
    <w:rsid w:val="003B778F"/>
    <w:rsid w:val="003C7065"/>
    <w:rsid w:val="003D2E0D"/>
    <w:rsid w:val="003D5113"/>
    <w:rsid w:val="003D5BFC"/>
    <w:rsid w:val="003D6E10"/>
    <w:rsid w:val="003E0C0F"/>
    <w:rsid w:val="003E0C4E"/>
    <w:rsid w:val="003E0E28"/>
    <w:rsid w:val="003E19D5"/>
    <w:rsid w:val="003E76A8"/>
    <w:rsid w:val="003F0BA1"/>
    <w:rsid w:val="003F5B90"/>
    <w:rsid w:val="00400E45"/>
    <w:rsid w:val="00404856"/>
    <w:rsid w:val="00406ED7"/>
    <w:rsid w:val="004108B6"/>
    <w:rsid w:val="0041110F"/>
    <w:rsid w:val="0041300C"/>
    <w:rsid w:val="00414B68"/>
    <w:rsid w:val="00421CA1"/>
    <w:rsid w:val="00424A53"/>
    <w:rsid w:val="00430ED2"/>
    <w:rsid w:val="00434773"/>
    <w:rsid w:val="004367F5"/>
    <w:rsid w:val="00441DEB"/>
    <w:rsid w:val="004449CD"/>
    <w:rsid w:val="004458C9"/>
    <w:rsid w:val="00447C66"/>
    <w:rsid w:val="00456159"/>
    <w:rsid w:val="004564CD"/>
    <w:rsid w:val="00462AC9"/>
    <w:rsid w:val="00462F38"/>
    <w:rsid w:val="00471B34"/>
    <w:rsid w:val="0047303B"/>
    <w:rsid w:val="00474AFE"/>
    <w:rsid w:val="00477E66"/>
    <w:rsid w:val="00480809"/>
    <w:rsid w:val="00486A5E"/>
    <w:rsid w:val="00493F92"/>
    <w:rsid w:val="004A0C2B"/>
    <w:rsid w:val="004A3361"/>
    <w:rsid w:val="004A610E"/>
    <w:rsid w:val="004A79E2"/>
    <w:rsid w:val="004C20E2"/>
    <w:rsid w:val="004C6B42"/>
    <w:rsid w:val="004E056C"/>
    <w:rsid w:val="004E1E43"/>
    <w:rsid w:val="004E2817"/>
    <w:rsid w:val="004E2AE8"/>
    <w:rsid w:val="004E418A"/>
    <w:rsid w:val="004E5CC2"/>
    <w:rsid w:val="004F1EAE"/>
    <w:rsid w:val="004F2447"/>
    <w:rsid w:val="005016FB"/>
    <w:rsid w:val="00504256"/>
    <w:rsid w:val="00507C3E"/>
    <w:rsid w:val="00511D17"/>
    <w:rsid w:val="005157E2"/>
    <w:rsid w:val="0051699F"/>
    <w:rsid w:val="00516DE3"/>
    <w:rsid w:val="00526284"/>
    <w:rsid w:val="005300BF"/>
    <w:rsid w:val="00532631"/>
    <w:rsid w:val="005414A1"/>
    <w:rsid w:val="0054175C"/>
    <w:rsid w:val="005473CF"/>
    <w:rsid w:val="005509CA"/>
    <w:rsid w:val="0056097E"/>
    <w:rsid w:val="00570355"/>
    <w:rsid w:val="00574530"/>
    <w:rsid w:val="00581423"/>
    <w:rsid w:val="00582F4C"/>
    <w:rsid w:val="0058407A"/>
    <w:rsid w:val="00593AE6"/>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45A5"/>
    <w:rsid w:val="005E6A2B"/>
    <w:rsid w:val="005E7C7C"/>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19"/>
    <w:rsid w:val="00652484"/>
    <w:rsid w:val="00653314"/>
    <w:rsid w:val="0067005F"/>
    <w:rsid w:val="0067015A"/>
    <w:rsid w:val="006736EC"/>
    <w:rsid w:val="00673D90"/>
    <w:rsid w:val="00676C1E"/>
    <w:rsid w:val="00677DFE"/>
    <w:rsid w:val="00686D60"/>
    <w:rsid w:val="00691869"/>
    <w:rsid w:val="006A0D86"/>
    <w:rsid w:val="006A49AE"/>
    <w:rsid w:val="006A56C0"/>
    <w:rsid w:val="006A76FA"/>
    <w:rsid w:val="006B19CD"/>
    <w:rsid w:val="006B5F36"/>
    <w:rsid w:val="006C0911"/>
    <w:rsid w:val="006C1AF1"/>
    <w:rsid w:val="006C65BC"/>
    <w:rsid w:val="006C737A"/>
    <w:rsid w:val="006D46FB"/>
    <w:rsid w:val="006D7386"/>
    <w:rsid w:val="006E29C0"/>
    <w:rsid w:val="006E752A"/>
    <w:rsid w:val="006E7CF0"/>
    <w:rsid w:val="006F3E83"/>
    <w:rsid w:val="006F4B83"/>
    <w:rsid w:val="006F7F47"/>
    <w:rsid w:val="007000C5"/>
    <w:rsid w:val="00701458"/>
    <w:rsid w:val="00701D7E"/>
    <w:rsid w:val="00704766"/>
    <w:rsid w:val="007118F5"/>
    <w:rsid w:val="007119B8"/>
    <w:rsid w:val="0072415E"/>
    <w:rsid w:val="007247D7"/>
    <w:rsid w:val="007250E3"/>
    <w:rsid w:val="007277C8"/>
    <w:rsid w:val="00732057"/>
    <w:rsid w:val="00734F4E"/>
    <w:rsid w:val="007368A2"/>
    <w:rsid w:val="007418AE"/>
    <w:rsid w:val="00742923"/>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4A85"/>
    <w:rsid w:val="007A6C99"/>
    <w:rsid w:val="007A6F91"/>
    <w:rsid w:val="007A7D45"/>
    <w:rsid w:val="007B4ADA"/>
    <w:rsid w:val="007B5657"/>
    <w:rsid w:val="007B7BC0"/>
    <w:rsid w:val="007C105C"/>
    <w:rsid w:val="007C1B00"/>
    <w:rsid w:val="007D0F1D"/>
    <w:rsid w:val="007D2881"/>
    <w:rsid w:val="007D31CE"/>
    <w:rsid w:val="007D3AD8"/>
    <w:rsid w:val="007D5BB7"/>
    <w:rsid w:val="007D6A69"/>
    <w:rsid w:val="007E0621"/>
    <w:rsid w:val="007E4E37"/>
    <w:rsid w:val="007F2D99"/>
    <w:rsid w:val="007F4B07"/>
    <w:rsid w:val="008029A6"/>
    <w:rsid w:val="00804233"/>
    <w:rsid w:val="00805CDE"/>
    <w:rsid w:val="008143AD"/>
    <w:rsid w:val="008147BA"/>
    <w:rsid w:val="00816BF0"/>
    <w:rsid w:val="008269B0"/>
    <w:rsid w:val="0083067E"/>
    <w:rsid w:val="00832357"/>
    <w:rsid w:val="0083488D"/>
    <w:rsid w:val="008466C3"/>
    <w:rsid w:val="00846809"/>
    <w:rsid w:val="0084785B"/>
    <w:rsid w:val="00851458"/>
    <w:rsid w:val="00861A47"/>
    <w:rsid w:val="008707FF"/>
    <w:rsid w:val="008724E5"/>
    <w:rsid w:val="00877AC5"/>
    <w:rsid w:val="00877F27"/>
    <w:rsid w:val="0088173A"/>
    <w:rsid w:val="00881EB9"/>
    <w:rsid w:val="00882161"/>
    <w:rsid w:val="008848E9"/>
    <w:rsid w:val="00884C09"/>
    <w:rsid w:val="00885596"/>
    <w:rsid w:val="00885B33"/>
    <w:rsid w:val="00886B71"/>
    <w:rsid w:val="0089499E"/>
    <w:rsid w:val="00896177"/>
    <w:rsid w:val="008A0BE3"/>
    <w:rsid w:val="008A2566"/>
    <w:rsid w:val="008A6663"/>
    <w:rsid w:val="008B6B4C"/>
    <w:rsid w:val="008B7346"/>
    <w:rsid w:val="008C7F60"/>
    <w:rsid w:val="008D3BF7"/>
    <w:rsid w:val="008E0DAA"/>
    <w:rsid w:val="008E194D"/>
    <w:rsid w:val="008F16C6"/>
    <w:rsid w:val="008F2A76"/>
    <w:rsid w:val="008F34A1"/>
    <w:rsid w:val="008F428F"/>
    <w:rsid w:val="008F4F13"/>
    <w:rsid w:val="008F5052"/>
    <w:rsid w:val="008F5193"/>
    <w:rsid w:val="0090187D"/>
    <w:rsid w:val="00903C3D"/>
    <w:rsid w:val="0090710F"/>
    <w:rsid w:val="00910B12"/>
    <w:rsid w:val="00911179"/>
    <w:rsid w:val="009121CE"/>
    <w:rsid w:val="009127D8"/>
    <w:rsid w:val="0091432C"/>
    <w:rsid w:val="00916F7B"/>
    <w:rsid w:val="00917A4D"/>
    <w:rsid w:val="00921F65"/>
    <w:rsid w:val="0092574C"/>
    <w:rsid w:val="009342E8"/>
    <w:rsid w:val="009357B4"/>
    <w:rsid w:val="00946D71"/>
    <w:rsid w:val="009577E1"/>
    <w:rsid w:val="00962C77"/>
    <w:rsid w:val="00963017"/>
    <w:rsid w:val="00971CA1"/>
    <w:rsid w:val="00971F06"/>
    <w:rsid w:val="0097349C"/>
    <w:rsid w:val="00975F6D"/>
    <w:rsid w:val="009814C2"/>
    <w:rsid w:val="00982FFD"/>
    <w:rsid w:val="00985265"/>
    <w:rsid w:val="00985856"/>
    <w:rsid w:val="00990D89"/>
    <w:rsid w:val="009A4969"/>
    <w:rsid w:val="009B1466"/>
    <w:rsid w:val="009B6973"/>
    <w:rsid w:val="009C0510"/>
    <w:rsid w:val="009C3663"/>
    <w:rsid w:val="009D098F"/>
    <w:rsid w:val="009D0F9D"/>
    <w:rsid w:val="009D4547"/>
    <w:rsid w:val="009D5A49"/>
    <w:rsid w:val="009D5E38"/>
    <w:rsid w:val="009D602F"/>
    <w:rsid w:val="009D68D0"/>
    <w:rsid w:val="009E17AF"/>
    <w:rsid w:val="009F0D42"/>
    <w:rsid w:val="009F1B82"/>
    <w:rsid w:val="009F34A4"/>
    <w:rsid w:val="009F3988"/>
    <w:rsid w:val="009F5387"/>
    <w:rsid w:val="00A003D0"/>
    <w:rsid w:val="00A05BAF"/>
    <w:rsid w:val="00A073FD"/>
    <w:rsid w:val="00A112A8"/>
    <w:rsid w:val="00A150C7"/>
    <w:rsid w:val="00A206BC"/>
    <w:rsid w:val="00A2307A"/>
    <w:rsid w:val="00A462C6"/>
    <w:rsid w:val="00A519A2"/>
    <w:rsid w:val="00A51BDC"/>
    <w:rsid w:val="00A535B7"/>
    <w:rsid w:val="00A56A6C"/>
    <w:rsid w:val="00A5709F"/>
    <w:rsid w:val="00A616C4"/>
    <w:rsid w:val="00A61F20"/>
    <w:rsid w:val="00A6360D"/>
    <w:rsid w:val="00A64796"/>
    <w:rsid w:val="00A66CD4"/>
    <w:rsid w:val="00A7054E"/>
    <w:rsid w:val="00A70883"/>
    <w:rsid w:val="00A72D9B"/>
    <w:rsid w:val="00A77AEB"/>
    <w:rsid w:val="00A81F0A"/>
    <w:rsid w:val="00A85C7A"/>
    <w:rsid w:val="00A86042"/>
    <w:rsid w:val="00A94E0C"/>
    <w:rsid w:val="00AA36F9"/>
    <w:rsid w:val="00AA444A"/>
    <w:rsid w:val="00AB1528"/>
    <w:rsid w:val="00AB7735"/>
    <w:rsid w:val="00AD2B40"/>
    <w:rsid w:val="00AD3294"/>
    <w:rsid w:val="00AD6BD4"/>
    <w:rsid w:val="00AE1B18"/>
    <w:rsid w:val="00AE1D83"/>
    <w:rsid w:val="00AE2DFB"/>
    <w:rsid w:val="00AE3061"/>
    <w:rsid w:val="00AE3BD6"/>
    <w:rsid w:val="00AE758A"/>
    <w:rsid w:val="00AF0335"/>
    <w:rsid w:val="00AF15BA"/>
    <w:rsid w:val="00AF1C32"/>
    <w:rsid w:val="00AF65C6"/>
    <w:rsid w:val="00B07025"/>
    <w:rsid w:val="00B11AE3"/>
    <w:rsid w:val="00B121A6"/>
    <w:rsid w:val="00B25A22"/>
    <w:rsid w:val="00B300B8"/>
    <w:rsid w:val="00B32A28"/>
    <w:rsid w:val="00B33904"/>
    <w:rsid w:val="00B34D0C"/>
    <w:rsid w:val="00B3751E"/>
    <w:rsid w:val="00B427FE"/>
    <w:rsid w:val="00B43FC5"/>
    <w:rsid w:val="00B457D6"/>
    <w:rsid w:val="00B51737"/>
    <w:rsid w:val="00B5790B"/>
    <w:rsid w:val="00B6102A"/>
    <w:rsid w:val="00B6167A"/>
    <w:rsid w:val="00B62ED0"/>
    <w:rsid w:val="00B64196"/>
    <w:rsid w:val="00B66A7A"/>
    <w:rsid w:val="00B70266"/>
    <w:rsid w:val="00B7231C"/>
    <w:rsid w:val="00B72374"/>
    <w:rsid w:val="00B74304"/>
    <w:rsid w:val="00B759E4"/>
    <w:rsid w:val="00B82F05"/>
    <w:rsid w:val="00B8668E"/>
    <w:rsid w:val="00B87142"/>
    <w:rsid w:val="00B8750E"/>
    <w:rsid w:val="00B87A3C"/>
    <w:rsid w:val="00B9108E"/>
    <w:rsid w:val="00B92374"/>
    <w:rsid w:val="00B924C8"/>
    <w:rsid w:val="00B95E33"/>
    <w:rsid w:val="00B973B5"/>
    <w:rsid w:val="00B97FD1"/>
    <w:rsid w:val="00BB1062"/>
    <w:rsid w:val="00BB28EF"/>
    <w:rsid w:val="00BB4BCE"/>
    <w:rsid w:val="00BB5DEE"/>
    <w:rsid w:val="00BC002E"/>
    <w:rsid w:val="00BC393F"/>
    <w:rsid w:val="00BC4412"/>
    <w:rsid w:val="00BC75FC"/>
    <w:rsid w:val="00BD59BD"/>
    <w:rsid w:val="00BE5B3F"/>
    <w:rsid w:val="00BF351F"/>
    <w:rsid w:val="00BF3F50"/>
    <w:rsid w:val="00BF6F37"/>
    <w:rsid w:val="00C02924"/>
    <w:rsid w:val="00C04344"/>
    <w:rsid w:val="00C161D1"/>
    <w:rsid w:val="00C17FE4"/>
    <w:rsid w:val="00C21897"/>
    <w:rsid w:val="00C276EE"/>
    <w:rsid w:val="00C357F1"/>
    <w:rsid w:val="00C402B6"/>
    <w:rsid w:val="00C43757"/>
    <w:rsid w:val="00C43BCE"/>
    <w:rsid w:val="00C47CF1"/>
    <w:rsid w:val="00C47D76"/>
    <w:rsid w:val="00C52006"/>
    <w:rsid w:val="00C53AB4"/>
    <w:rsid w:val="00C542F1"/>
    <w:rsid w:val="00C572B3"/>
    <w:rsid w:val="00C57CA1"/>
    <w:rsid w:val="00C6300B"/>
    <w:rsid w:val="00C63816"/>
    <w:rsid w:val="00C6426B"/>
    <w:rsid w:val="00C6478B"/>
    <w:rsid w:val="00C707C3"/>
    <w:rsid w:val="00C87194"/>
    <w:rsid w:val="00C90629"/>
    <w:rsid w:val="00C90C51"/>
    <w:rsid w:val="00C91CA2"/>
    <w:rsid w:val="00CA24A9"/>
    <w:rsid w:val="00CA3ED6"/>
    <w:rsid w:val="00CA7CF4"/>
    <w:rsid w:val="00CB0F37"/>
    <w:rsid w:val="00CB1135"/>
    <w:rsid w:val="00CB2E3E"/>
    <w:rsid w:val="00CB590B"/>
    <w:rsid w:val="00CC02C5"/>
    <w:rsid w:val="00CC2BC6"/>
    <w:rsid w:val="00CC3AAB"/>
    <w:rsid w:val="00CD324E"/>
    <w:rsid w:val="00CD4A28"/>
    <w:rsid w:val="00CD54BD"/>
    <w:rsid w:val="00CD6C36"/>
    <w:rsid w:val="00CE2586"/>
    <w:rsid w:val="00CE3F17"/>
    <w:rsid w:val="00CE74BE"/>
    <w:rsid w:val="00CF05D7"/>
    <w:rsid w:val="00CF34A6"/>
    <w:rsid w:val="00CF3F93"/>
    <w:rsid w:val="00CF7F90"/>
    <w:rsid w:val="00D020F3"/>
    <w:rsid w:val="00D04515"/>
    <w:rsid w:val="00D065AD"/>
    <w:rsid w:val="00D22831"/>
    <w:rsid w:val="00D3145C"/>
    <w:rsid w:val="00D3626A"/>
    <w:rsid w:val="00D404B7"/>
    <w:rsid w:val="00D44509"/>
    <w:rsid w:val="00D448CB"/>
    <w:rsid w:val="00D44919"/>
    <w:rsid w:val="00D47226"/>
    <w:rsid w:val="00D47ED5"/>
    <w:rsid w:val="00D50F5A"/>
    <w:rsid w:val="00D603FC"/>
    <w:rsid w:val="00D61779"/>
    <w:rsid w:val="00D712A7"/>
    <w:rsid w:val="00D73DB6"/>
    <w:rsid w:val="00D80805"/>
    <w:rsid w:val="00D809E5"/>
    <w:rsid w:val="00D81948"/>
    <w:rsid w:val="00D8694A"/>
    <w:rsid w:val="00D90819"/>
    <w:rsid w:val="00D93291"/>
    <w:rsid w:val="00D9501F"/>
    <w:rsid w:val="00DB212C"/>
    <w:rsid w:val="00DB2803"/>
    <w:rsid w:val="00DB50D5"/>
    <w:rsid w:val="00DB5477"/>
    <w:rsid w:val="00DC5537"/>
    <w:rsid w:val="00DC7871"/>
    <w:rsid w:val="00DD11EE"/>
    <w:rsid w:val="00DD52A0"/>
    <w:rsid w:val="00DE5590"/>
    <w:rsid w:val="00DE59D7"/>
    <w:rsid w:val="00DE6364"/>
    <w:rsid w:val="00DE76B4"/>
    <w:rsid w:val="00DF1D9E"/>
    <w:rsid w:val="00DF3DA3"/>
    <w:rsid w:val="00DF5B48"/>
    <w:rsid w:val="00DF5DA4"/>
    <w:rsid w:val="00E01AE1"/>
    <w:rsid w:val="00E06492"/>
    <w:rsid w:val="00E065CE"/>
    <w:rsid w:val="00E06A00"/>
    <w:rsid w:val="00E13E03"/>
    <w:rsid w:val="00E20655"/>
    <w:rsid w:val="00E20B78"/>
    <w:rsid w:val="00E22B99"/>
    <w:rsid w:val="00E24A9D"/>
    <w:rsid w:val="00E258D9"/>
    <w:rsid w:val="00E33204"/>
    <w:rsid w:val="00E35B8C"/>
    <w:rsid w:val="00E408BD"/>
    <w:rsid w:val="00E439CA"/>
    <w:rsid w:val="00E46DDB"/>
    <w:rsid w:val="00E473F3"/>
    <w:rsid w:val="00E5219B"/>
    <w:rsid w:val="00E55C2B"/>
    <w:rsid w:val="00E56905"/>
    <w:rsid w:val="00E64BE4"/>
    <w:rsid w:val="00E714C9"/>
    <w:rsid w:val="00E85565"/>
    <w:rsid w:val="00E87F91"/>
    <w:rsid w:val="00E94BC6"/>
    <w:rsid w:val="00EA0563"/>
    <w:rsid w:val="00EA198F"/>
    <w:rsid w:val="00EA2EA1"/>
    <w:rsid w:val="00EA3CB9"/>
    <w:rsid w:val="00EA59EB"/>
    <w:rsid w:val="00EA67F3"/>
    <w:rsid w:val="00EB48F8"/>
    <w:rsid w:val="00ED0C60"/>
    <w:rsid w:val="00ED3D26"/>
    <w:rsid w:val="00ED5218"/>
    <w:rsid w:val="00EE1D9D"/>
    <w:rsid w:val="00EF0BCB"/>
    <w:rsid w:val="00EF0E74"/>
    <w:rsid w:val="00EF2549"/>
    <w:rsid w:val="00F00E8A"/>
    <w:rsid w:val="00F021C1"/>
    <w:rsid w:val="00F16242"/>
    <w:rsid w:val="00F17340"/>
    <w:rsid w:val="00F17FCB"/>
    <w:rsid w:val="00F226CC"/>
    <w:rsid w:val="00F2691E"/>
    <w:rsid w:val="00F279DD"/>
    <w:rsid w:val="00F3242E"/>
    <w:rsid w:val="00F33650"/>
    <w:rsid w:val="00F348F9"/>
    <w:rsid w:val="00F37E4B"/>
    <w:rsid w:val="00F4039E"/>
    <w:rsid w:val="00F4144E"/>
    <w:rsid w:val="00F41B00"/>
    <w:rsid w:val="00F41ED8"/>
    <w:rsid w:val="00F473CB"/>
    <w:rsid w:val="00F50245"/>
    <w:rsid w:val="00F63DDA"/>
    <w:rsid w:val="00F65B5C"/>
    <w:rsid w:val="00F67029"/>
    <w:rsid w:val="00F70858"/>
    <w:rsid w:val="00F71BBC"/>
    <w:rsid w:val="00F7397F"/>
    <w:rsid w:val="00F75949"/>
    <w:rsid w:val="00F75CF4"/>
    <w:rsid w:val="00F76677"/>
    <w:rsid w:val="00F837B3"/>
    <w:rsid w:val="00F86347"/>
    <w:rsid w:val="00F866CD"/>
    <w:rsid w:val="00F90F8F"/>
    <w:rsid w:val="00F941F0"/>
    <w:rsid w:val="00F97FF5"/>
    <w:rsid w:val="00FA1C1A"/>
    <w:rsid w:val="00FA7CE6"/>
    <w:rsid w:val="00FB1313"/>
    <w:rsid w:val="00FC1101"/>
    <w:rsid w:val="00FC2238"/>
    <w:rsid w:val="00FC2459"/>
    <w:rsid w:val="00FC268E"/>
    <w:rsid w:val="00FC2BFD"/>
    <w:rsid w:val="00FC309D"/>
    <w:rsid w:val="00FC47E0"/>
    <w:rsid w:val="00FC4963"/>
    <w:rsid w:val="00FC527A"/>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9259C8"/>
  <w15:docId w15:val="{AA9BB762-BA23-40A9-BBF6-026458E8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character" w:customStyle="1" w:styleId="UnresolvedMention20">
    <w:name w:val="Unresolved Mention2"/>
    <w:basedOn w:val="DefaultParagraphFont"/>
    <w:uiPriority w:val="99"/>
    <w:semiHidden/>
    <w:unhideWhenUsed/>
    <w:rsid w:val="001C7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971753">
      <w:bodyDiv w:val="1"/>
      <w:marLeft w:val="0"/>
      <w:marRight w:val="0"/>
      <w:marTop w:val="0"/>
      <w:marBottom w:val="0"/>
      <w:divBdr>
        <w:top w:val="none" w:sz="0" w:space="0" w:color="auto"/>
        <w:left w:val="none" w:sz="0" w:space="0" w:color="auto"/>
        <w:bottom w:val="none" w:sz="0" w:space="0" w:color="auto"/>
        <w:right w:val="none" w:sz="0" w:space="0" w:color="auto"/>
      </w:divBdr>
    </w:div>
    <w:div w:id="1472863271">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79727391">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E3414-B409-4CC7-84D7-211B2184D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template_20190423.dotx</Template>
  <TotalTime>0</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Joseph, George</cp:lastModifiedBy>
  <cp:revision>2</cp:revision>
  <dcterms:created xsi:type="dcterms:W3CDTF">2022-04-06T09:43:00Z</dcterms:created>
  <dcterms:modified xsi:type="dcterms:W3CDTF">2022-04-06T09:43:00Z</dcterms:modified>
</cp:coreProperties>
</file>