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48E6" w14:textId="77777777" w:rsidR="000A0709" w:rsidRPr="00963017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s"/>
        </w:rPr>
        <w:t>Descripción general y justificación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558"/>
        <w:gridCol w:w="1509"/>
      </w:tblGrid>
      <w:tr w:rsidR="005473CF" w:rsidRPr="00ED32A9" w14:paraId="2D4FBFB2" w14:textId="77777777" w:rsidTr="001C73C7">
        <w:trPr>
          <w:cantSplit/>
        </w:trPr>
        <w:tc>
          <w:tcPr>
            <w:tcW w:w="786" w:type="pct"/>
            <w:shd w:val="clear" w:color="auto" w:fill="auto"/>
          </w:tcPr>
          <w:p w14:paraId="0BBD652B" w14:textId="77777777" w:rsidR="005473CF" w:rsidRPr="00963017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Indicador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7BDECC47" w14:textId="77777777" w:rsidR="005473CF" w:rsidRPr="00ED32A9" w:rsidRDefault="000C28B9" w:rsidP="000C28B9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4.</w:t>
            </w:r>
            <w:r>
              <w:rPr>
                <w:rFonts w:ascii="Arial" w:hAnsi="Arial" w:cs="Arial"/>
                <w:b/>
                <w:bCs/>
                <w:szCs w:val="22"/>
                <w:lang w:val="es"/>
              </w:rPr>
              <w:tab/>
              <w:t>Grado en el que la educación formal y no formal fortalece la transmisión del PCI y promueve el respeto por el mismo</w:t>
            </w:r>
          </w:p>
        </w:tc>
      </w:tr>
      <w:tr w:rsidR="005B0FE5" w:rsidRPr="00ED32A9" w14:paraId="1AFD5CAA" w14:textId="77777777" w:rsidTr="001C73C7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6779EBE6" w14:textId="77777777" w:rsidR="005B0FE5" w:rsidRPr="00963017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Factores de evaluación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B5BC765" w14:textId="77777777" w:rsidR="005B0FE5" w:rsidRPr="00ED32A9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se evalúa sobre la base de cuatro factores de ámbito nacional que cada Estado Parte supervisa y notifica:</w:t>
            </w:r>
          </w:p>
        </w:tc>
      </w:tr>
      <w:tr w:rsidR="000C28B9" w:rsidRPr="00963017" w14:paraId="5310AAC9" w14:textId="77777777" w:rsidTr="001C73C7">
        <w:trPr>
          <w:cantSplit/>
        </w:trPr>
        <w:tc>
          <w:tcPr>
            <w:tcW w:w="786" w:type="pct"/>
            <w:vMerge/>
            <w:shd w:val="clear" w:color="auto" w:fill="auto"/>
          </w:tcPr>
          <w:p w14:paraId="04D8999D" w14:textId="77777777" w:rsidR="000C28B9" w:rsidRPr="00ED32A9" w:rsidRDefault="000C28B9" w:rsidP="000C28B9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0489C3D3" w14:textId="77777777" w:rsidR="000C28B9" w:rsidRPr="00ED32A9" w:rsidRDefault="000C28B9" w:rsidP="00256596">
            <w:pPr>
              <w:keepLines/>
              <w:spacing w:before="120"/>
              <w:ind w:left="567" w:hanging="567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4.1</w:t>
            </w: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ab/>
              <w:t>Los practicantes y depositarios</w:t>
            </w:r>
            <w:r>
              <w:rPr>
                <w:rFonts w:ascii="Arial" w:eastAsia="Calibri" w:hAnsi="Arial" w:cs="Arial"/>
                <w:sz w:val="20"/>
                <w:szCs w:val="20"/>
                <w:vertAlign w:val="superscript"/>
                <w:lang w:val="es"/>
              </w:rPr>
              <w:footnoteReference w:id="2"/>
            </w: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 xml:space="preserve"> participan de manera inclusiva en la elaboración y el desarrollo de programas educativos del PCI, asimismo participan en la presentación y la transmisión su patrimonio de manera activa.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42A3A70" w14:textId="77777777" w:rsidR="000C28B9" w:rsidRPr="00963017" w:rsidRDefault="000C28B9" w:rsidP="00C707C3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107 e)</w:t>
            </w:r>
          </w:p>
        </w:tc>
      </w:tr>
      <w:tr w:rsidR="000C28B9" w:rsidRPr="00963017" w14:paraId="3F3A4039" w14:textId="77777777" w:rsidTr="001C73C7">
        <w:trPr>
          <w:cantSplit/>
        </w:trPr>
        <w:tc>
          <w:tcPr>
            <w:tcW w:w="786" w:type="pct"/>
            <w:vMerge/>
            <w:shd w:val="clear" w:color="auto" w:fill="auto"/>
          </w:tcPr>
          <w:p w14:paraId="4174C187" w14:textId="77777777" w:rsidR="000C28B9" w:rsidRPr="00963017" w:rsidRDefault="000C28B9" w:rsidP="000C28B9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37313016" w14:textId="77777777" w:rsidR="000C28B9" w:rsidRPr="00ED32A9" w:rsidRDefault="000C28B9" w:rsidP="00256596">
            <w:pPr>
              <w:keepLines/>
              <w:spacing w:before="120"/>
              <w:ind w:left="567" w:hanging="567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4.2</w:t>
            </w: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ab/>
              <w:t>Las modalidades y los métodos de transmisión del PCI reconocidos por las comunidades, los grupos y los individuos se aprenden o se refuerzan y se incluyen en los programas de educación tanto formal como no formal.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50E7FE0" w14:textId="77777777" w:rsidR="000C28B9" w:rsidRPr="00963017" w:rsidRDefault="000C28B9" w:rsidP="00C707C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Artículo 14 a) i); artículo 14 a)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"/>
              </w:rPr>
              <w:t>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"/>
              </w:rPr>
              <w:t>)</w:t>
            </w:r>
          </w:p>
          <w:p w14:paraId="484CA3F1" w14:textId="77777777" w:rsidR="000C28B9" w:rsidRPr="00963017" w:rsidRDefault="000C28B9" w:rsidP="00C707C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DO 180 a)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"/>
              </w:rPr>
              <w:t>iii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"/>
              </w:rPr>
              <w:t>)</w:t>
            </w:r>
          </w:p>
        </w:tc>
      </w:tr>
      <w:tr w:rsidR="000C28B9" w:rsidRPr="00963017" w14:paraId="2F86A429" w14:textId="77777777" w:rsidTr="001C73C7">
        <w:trPr>
          <w:cantSplit/>
        </w:trPr>
        <w:tc>
          <w:tcPr>
            <w:tcW w:w="786" w:type="pct"/>
            <w:vMerge/>
            <w:shd w:val="clear" w:color="auto" w:fill="auto"/>
          </w:tcPr>
          <w:p w14:paraId="38BEA539" w14:textId="77777777" w:rsidR="000C28B9" w:rsidRPr="00963017" w:rsidRDefault="000C28B9" w:rsidP="000C28B9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04D53F5F" w14:textId="77777777" w:rsidR="000C28B9" w:rsidRPr="00ED32A9" w:rsidRDefault="000C28B9" w:rsidP="00256596">
            <w:pPr>
              <w:keepLines/>
              <w:spacing w:before="120"/>
              <w:ind w:left="567" w:hanging="567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4.3</w:t>
            </w: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ab/>
              <w:t>Los programas educativos o actividades extracurriculares relacionadas con el PCI y con su transmisión, llevadas a cabo por las comunidades, los grupos, las ONG o instituciones encargadas del patrimonio existen y se promueven.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3ECD3D1" w14:textId="77777777" w:rsidR="000C28B9" w:rsidRPr="00963017" w:rsidRDefault="000C28B9" w:rsidP="00C707C3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109</w:t>
            </w:r>
          </w:p>
        </w:tc>
      </w:tr>
      <w:tr w:rsidR="000C28B9" w:rsidRPr="00963017" w14:paraId="2BE7F533" w14:textId="77777777" w:rsidTr="001C73C7">
        <w:trPr>
          <w:cantSplit/>
        </w:trPr>
        <w:tc>
          <w:tcPr>
            <w:tcW w:w="786" w:type="pct"/>
            <w:vMerge/>
            <w:shd w:val="clear" w:color="auto" w:fill="auto"/>
          </w:tcPr>
          <w:p w14:paraId="5B548B50" w14:textId="77777777" w:rsidR="000C28B9" w:rsidRPr="00963017" w:rsidRDefault="000C28B9" w:rsidP="000C28B9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57174C5" w14:textId="77777777" w:rsidR="000C28B9" w:rsidRPr="00ED32A9" w:rsidRDefault="000C28B9" w:rsidP="00256596">
            <w:pPr>
              <w:keepLines/>
              <w:spacing w:before="120"/>
              <w:ind w:left="567" w:hanging="567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4.4</w:t>
            </w: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ab/>
              <w:t>Los programas de formación de profesores y los programas para educadores en el ámbito no formal, incluyen enfoques para integrar el PCI y su salvaguardia en la educación.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C999B4E" w14:textId="79F171D1" w:rsidR="000C28B9" w:rsidRPr="00963017" w:rsidRDefault="0039166E" w:rsidP="00C707C3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Artículo 14</w:t>
            </w:r>
          </w:p>
        </w:tc>
      </w:tr>
      <w:tr w:rsidR="005473CF" w:rsidRPr="00ED32A9" w14:paraId="6764ABB7" w14:textId="77777777" w:rsidTr="001C73C7">
        <w:trPr>
          <w:cantSplit/>
        </w:trPr>
        <w:tc>
          <w:tcPr>
            <w:tcW w:w="786" w:type="pct"/>
            <w:shd w:val="clear" w:color="auto" w:fill="auto"/>
          </w:tcPr>
          <w:p w14:paraId="7CB674B9" w14:textId="77777777" w:rsidR="005473CF" w:rsidRPr="00ED32A9" w:rsidRDefault="005473CF" w:rsidP="005473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los ODS y otros indicadores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7EA8DD2E" w14:textId="77777777" w:rsidR="005473CF" w:rsidRPr="00ED32A9" w:rsidRDefault="005473CF" w:rsidP="005473CF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 xml:space="preserve">Objetivos de Desarrollo Sostenible: </w:t>
            </w:r>
            <w:r>
              <w:rPr>
                <w:rFonts w:ascii="Arial" w:hAnsi="Arial" w:cs="Arial"/>
                <w:szCs w:val="22"/>
                <w:lang w:val="es"/>
              </w:rPr>
              <w:t xml:space="preserve">Este indicador complementa la meta 4.7 de los ODS, específicamente en tanto a que se refiere a la educación para fomentar «la valoración de la diversidad cultural y la contribución de la cultura al desarrollo sostenible». En términos más generales, también contribuye a la meta 11.4 de los ODS, centrada en «redoblar los esfuerzos para proteger y salvaguardar el patrimonio cultural y natural del </w:t>
            </w:r>
            <w:proofErr w:type="spellStart"/>
            <w:r>
              <w:rPr>
                <w:rFonts w:ascii="Arial" w:hAnsi="Arial" w:cs="Arial"/>
                <w:szCs w:val="22"/>
                <w:lang w:val="es"/>
              </w:rPr>
              <w:t>mundol</w:t>
            </w:r>
            <w:proofErr w:type="spellEnd"/>
            <w:r>
              <w:rPr>
                <w:rFonts w:ascii="Arial" w:hAnsi="Arial" w:cs="Arial"/>
                <w:szCs w:val="22"/>
                <w:lang w:val="es"/>
              </w:rPr>
              <w:t>».</w:t>
            </w:r>
          </w:p>
          <w:p w14:paraId="2F3A3735" w14:textId="40706B3E" w:rsidR="005473CF" w:rsidRPr="00ED32A9" w:rsidRDefault="005473CF" w:rsidP="00882161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otros indicadores:</w:t>
            </w:r>
            <w:r>
              <w:rPr>
                <w:rFonts w:ascii="Arial" w:hAnsi="Arial" w:cs="Arial"/>
                <w:szCs w:val="22"/>
                <w:lang w:val="es"/>
              </w:rPr>
              <w:t xml:space="preserve"> Los indicadores 4, 5 y 6 se refieren a la transmisión y la educación en materia de PCI, pero cada uno de ellos se centra en un área concreta. El indicador 4 abarca la educación formal y no formal y se centra en el refuerzo de la transmisión del PCI y en fomentar el respeto hacia este. El indicador 5 se centra en la educación primaria y secundaria, y en la manera en que el PCI puede reforzar el aprendizaje. Por su parte, el indicador 6 se refiere a la enseñanza superior, en concreto, cuando esta educación tiene por objeto fortalecer la práctica y la transmisión del PCI, y estudiar su papel en la sociedad. Estos tres indicadores deben distinguirse de los indicadores 2 y 3, que no se centran en el aprendizaje del PCI en sí, sino en la formación de quienes participan en su salvaguardia y gestión. El indicador 12 se refiere a las políticas educativas, mientras que en este caso se hace hincapié en los programas y las actividades. </w:t>
            </w:r>
          </w:p>
        </w:tc>
      </w:tr>
      <w:tr w:rsidR="00896177" w:rsidRPr="00ED32A9" w14:paraId="72C192B1" w14:textId="77777777" w:rsidTr="001C73C7">
        <w:trPr>
          <w:cantSplit/>
        </w:trPr>
        <w:tc>
          <w:tcPr>
            <w:tcW w:w="786" w:type="pct"/>
            <w:shd w:val="clear" w:color="auto" w:fill="auto"/>
          </w:tcPr>
          <w:p w14:paraId="1C1C85EA" w14:textId="77777777" w:rsidR="00896177" w:rsidRPr="00963017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lastRenderedPageBreak/>
              <w:t>Justificación de las medidas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0D4A3435" w14:textId="6EB401F5" w:rsidR="00704766" w:rsidRPr="00ED32A9" w:rsidRDefault="00294AE9" w:rsidP="00156614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Cs w:val="22"/>
                <w:lang w:val="es"/>
              </w:rPr>
              <w:t xml:space="preserve">En la Convención, la educación ocupa un lugar destacado entre las responsabilidades de salvaguardia de los Estados a escala nacional. El Artículo 14 a) i) destaca la importancia de los programas educativos destinados al público en general, y a los jóvenes en particular; mientras que el Artículo 14 a) </w:t>
            </w:r>
            <w:proofErr w:type="spellStart"/>
            <w:r>
              <w:rPr>
                <w:rFonts w:asciiTheme="minorBidi" w:hAnsiTheme="minorBidi" w:cstheme="minorBidi"/>
                <w:szCs w:val="22"/>
                <w:lang w:val="es"/>
              </w:rPr>
              <w:t>ii</w:t>
            </w:r>
            <w:proofErr w:type="spellEnd"/>
            <w:r>
              <w:rPr>
                <w:rFonts w:asciiTheme="minorBidi" w:hAnsiTheme="minorBidi" w:cstheme="minorBidi"/>
                <w:szCs w:val="22"/>
                <w:lang w:val="es"/>
              </w:rPr>
              <w:t xml:space="preserve">) se refiere a los programas educativos en las comunidades y grupos interesados. En el Artículo 14 a) </w:t>
            </w:r>
            <w:proofErr w:type="spellStart"/>
            <w:r>
              <w:rPr>
                <w:rFonts w:asciiTheme="minorBidi" w:hAnsiTheme="minorBidi" w:cstheme="minorBidi"/>
                <w:szCs w:val="22"/>
                <w:lang w:val="es"/>
              </w:rPr>
              <w:t>iv</w:t>
            </w:r>
            <w:proofErr w:type="spellEnd"/>
            <w:r>
              <w:rPr>
                <w:rFonts w:asciiTheme="minorBidi" w:hAnsiTheme="minorBidi" w:cstheme="minorBidi"/>
                <w:szCs w:val="22"/>
                <w:lang w:val="es"/>
              </w:rPr>
              <w:t>) se destaca la pertinencia de los medios no formales de transmisión del saber. Los Estados han concebido un amplio abanico de estrategias y enfoques educativos creativos para cumplir con estas responsabilidades. Muchas actividades se desarrollan fuera del horario escolar y están dirigidas tanto a niños como a adultos. Suelen recibir apoyo como componentes del sistema educativo del Estado; no obstante, las comunidades, los grupos, las organizaciones no gubernamentales u otras organizaciones también pueden proveerlas, y pueden no formar parte del plan de estudios oficial. Este enfoque podría ofrecer métodos pedagógicos innovadores que refuercen considerablemente el sistema educativo, en particular, cuando los practicantes y los depositarios participan en la creación y ejecución de esos programas, y cuando utilizan sus propias modalidades y métodos de enseñanza y aprendizaje.</w:t>
            </w:r>
          </w:p>
        </w:tc>
      </w:tr>
      <w:tr w:rsidR="00704766" w:rsidRPr="00963017" w14:paraId="29145919" w14:textId="77777777" w:rsidTr="001C73C7">
        <w:trPr>
          <w:cantSplit/>
        </w:trPr>
        <w:tc>
          <w:tcPr>
            <w:tcW w:w="786" w:type="pct"/>
            <w:shd w:val="clear" w:color="auto" w:fill="auto"/>
          </w:tcPr>
          <w:p w14:paraId="0B0E7A56" w14:textId="77777777" w:rsidR="00704766" w:rsidRPr="00963017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es"/>
              </w:rPr>
              <w:t>Términos clave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577F0F6" w14:textId="77777777" w:rsidR="007B5657" w:rsidRPr="0096301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Educación formal</w:t>
            </w:r>
          </w:p>
          <w:p w14:paraId="2563DE4B" w14:textId="77777777" w:rsidR="007B5657" w:rsidRPr="0096301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Educación no formal</w:t>
            </w:r>
          </w:p>
          <w:p w14:paraId="03539D52" w14:textId="77777777" w:rsidR="00704766" w:rsidRPr="0096301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Practicantes y depositarios</w:t>
            </w:r>
          </w:p>
          <w:p w14:paraId="39C6FD80" w14:textId="77777777" w:rsidR="007B5657" w:rsidRPr="0096301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Inclusivo/de manera inclusiva</w:t>
            </w:r>
          </w:p>
          <w:p w14:paraId="21F7DF83" w14:textId="77777777" w:rsidR="007B5657" w:rsidRPr="00ED32A9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Comunidades, grupos y, en algunos casos, individuos</w:t>
            </w:r>
          </w:p>
          <w:p w14:paraId="3D465E0F" w14:textId="77777777" w:rsidR="007B5657" w:rsidRPr="0096301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Actividades extracurriculares</w:t>
            </w:r>
          </w:p>
          <w:p w14:paraId="4F934B80" w14:textId="2E22F90B" w:rsidR="007B5657" w:rsidRPr="0096301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Organizaciones no gubernamentales</w:t>
            </w:r>
          </w:p>
          <w:p w14:paraId="60C45679" w14:textId="77777777" w:rsidR="007B5657" w:rsidRDefault="007B565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Instituciones del patrimonio</w:t>
            </w:r>
          </w:p>
          <w:p w14:paraId="67364C27" w14:textId="77777777" w:rsidR="00B7231C" w:rsidRPr="00963017" w:rsidRDefault="00B7231C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Formación</w:t>
            </w:r>
          </w:p>
        </w:tc>
      </w:tr>
    </w:tbl>
    <w:p w14:paraId="0CAAE143" w14:textId="77777777" w:rsidR="0054175C" w:rsidRPr="00963017" w:rsidRDefault="0054175C" w:rsidP="0054175C">
      <w:pPr>
        <w:jc w:val="center"/>
        <w:rPr>
          <w:rFonts w:ascii="Arial" w:hAnsi="Arial" w:cs="Arial"/>
          <w:b/>
          <w:sz w:val="24"/>
        </w:rPr>
        <w:sectPr w:rsidR="0054175C" w:rsidRPr="00963017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12907E44" w14:textId="77777777" w:rsidR="0054175C" w:rsidRPr="00ED32A9" w:rsidRDefault="0054175C" w:rsidP="00704766">
      <w:pPr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es"/>
        </w:rPr>
        <w:t>Orientación específica sobre el seguimiento y la presentación de informes periódicos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116"/>
      </w:tblGrid>
      <w:tr w:rsidR="009C0510" w:rsidRPr="00ED32A9" w14:paraId="30EC5303" w14:textId="77777777" w:rsidTr="00ED32A9">
        <w:tc>
          <w:tcPr>
            <w:tcW w:w="785" w:type="pct"/>
            <w:shd w:val="clear" w:color="auto" w:fill="auto"/>
          </w:tcPr>
          <w:p w14:paraId="4C48AFA6" w14:textId="77777777" w:rsidR="002C28BA" w:rsidRPr="00963017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Beneficios del seguimiento</w:t>
            </w:r>
          </w:p>
        </w:tc>
        <w:tc>
          <w:tcPr>
            <w:tcW w:w="4215" w:type="pct"/>
            <w:shd w:val="clear" w:color="auto" w:fill="auto"/>
          </w:tcPr>
          <w:p w14:paraId="1B874EF2" w14:textId="7238DBE1" w:rsidR="002C28BA" w:rsidRPr="00ED32A9" w:rsidRDefault="0008510F" w:rsidP="0008510F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puede ayudar a un Estado a identificar y hacer un seguimiento de las estrategias y programas educativos innovadores en su territorio. El hecho de tener una visión general de las diversas iniciativas y sus resultados puede ayudar al Estado a identificar enfoques y modelos eficaces y también puede mostrar oportunidades para ampliar dichos enfoques a entornos en los que todavía no se han introducido. El seguimiento también puede señalar las carencias de los servicios existentes y ayudar a fundamentar las futuras intervenciones. A nivel mundial, el seguimiento puede ayudar a los Estados a compartir experiencias sobre programas educativos que hayan demostrado, o no, ser satisfactorios. De este modo, pueden determinar con mayor acierto los enfoques que mejor se adaptan a sus propias circunstancias.</w:t>
            </w:r>
          </w:p>
        </w:tc>
      </w:tr>
      <w:tr w:rsidR="0054175C" w:rsidRPr="00ED32A9" w14:paraId="2675C80E" w14:textId="77777777" w:rsidTr="00ED32A9">
        <w:tc>
          <w:tcPr>
            <w:tcW w:w="785" w:type="pct"/>
            <w:shd w:val="clear" w:color="auto" w:fill="auto"/>
          </w:tcPr>
          <w:p w14:paraId="75395D4C" w14:textId="77777777" w:rsidR="0054175C" w:rsidRPr="00ED32A9" w:rsidRDefault="0054175C" w:rsidP="0054175C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Fuentes y recopilación de información</w:t>
            </w:r>
          </w:p>
        </w:tc>
        <w:tc>
          <w:tcPr>
            <w:tcW w:w="4215" w:type="pct"/>
            <w:shd w:val="clear" w:color="auto" w:fill="auto"/>
          </w:tcPr>
          <w:p w14:paraId="34BD2A31" w14:textId="09DB11C1" w:rsidR="0054175C" w:rsidRPr="00ED32A9" w:rsidRDefault="00A112A8" w:rsidP="0054175C">
            <w:pPr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 xml:space="preserve">Los responsables del seguimiento y la presentación de informes tal vez deseen colaborar estrechamente con sus homólogos del Ministerio de Educación (para los factores de evaluación 4.1, 4.2 y 4.3) y del Ministerio de Educación Superior (para el factor de evaluación 4.4). Los institutos de investigación educativa o las </w:t>
            </w:r>
            <w:r>
              <w:rPr>
                <w:rFonts w:ascii="Arial" w:hAnsi="Arial" w:cs="Arial"/>
                <w:lang w:val="es"/>
              </w:rPr>
              <w:t>instituciones de formación de docentes</w:t>
            </w:r>
            <w:r>
              <w:rPr>
                <w:rFonts w:ascii="Arial" w:hAnsi="Arial" w:cs="Arial"/>
                <w:szCs w:val="22"/>
                <w:lang w:val="es"/>
              </w:rPr>
              <w:t xml:space="preserve"> podrían realizar investigaciones sobre el diseño de programas y los métodos de enseñanza, y ser los responsables de evaluar su eficacia y supervisar los resultados. Los programas de formación de profesores y los programas para educadores en el ámbito no formal suelen estar a cargo de </w:t>
            </w:r>
            <w:r>
              <w:rPr>
                <w:rFonts w:ascii="Arial" w:hAnsi="Arial" w:cs="Arial"/>
                <w:lang w:val="es"/>
              </w:rPr>
              <w:t>instituciones de formación de docentes</w:t>
            </w:r>
            <w:r>
              <w:rPr>
                <w:rFonts w:ascii="Arial" w:hAnsi="Arial" w:cs="Arial"/>
                <w:szCs w:val="22"/>
                <w:lang w:val="es"/>
              </w:rPr>
              <w:t xml:space="preserve"> con la supervisión del Ministerio </w:t>
            </w:r>
            <w:r>
              <w:rPr>
                <w:rFonts w:ascii="Arial" w:hAnsi="Arial" w:cs="Arial"/>
                <w:szCs w:val="22"/>
                <w:lang w:val="es"/>
              </w:rPr>
              <w:lastRenderedPageBreak/>
              <w:t>de Educación Superior, y sus programas educativos y métodos deben ser accesibles.</w:t>
            </w:r>
          </w:p>
          <w:p w14:paraId="58085DC2" w14:textId="77777777" w:rsidR="0054175C" w:rsidRPr="00963017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Posibles fuentes de información</w:t>
            </w:r>
          </w:p>
          <w:p w14:paraId="5401D203" w14:textId="77777777" w:rsidR="00963017" w:rsidRPr="00963017" w:rsidRDefault="00963017" w:rsidP="00963017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Programas educativos y normas de enseñanza</w:t>
            </w:r>
          </w:p>
          <w:p w14:paraId="64E2A490" w14:textId="77777777" w:rsidR="00963017" w:rsidRPr="00ED32A9" w:rsidRDefault="00963017" w:rsidP="00963017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Programas educativos y listas de cursos de las instituciones de formación de docentes</w:t>
            </w:r>
          </w:p>
          <w:p w14:paraId="65D02298" w14:textId="77777777" w:rsidR="0054175C" w:rsidRPr="00ED32A9" w:rsidRDefault="00963017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Seguimiento y presentación de informes periódicos por parte de los Ministerios de Educación y de Enseñanza Superior</w:t>
            </w:r>
          </w:p>
          <w:p w14:paraId="7CCC0BD7" w14:textId="77777777" w:rsidR="00963017" w:rsidRPr="00963017" w:rsidRDefault="00963017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Estadísticas educativas, encuestas, evaluaciones e informes anuales o periódicos sobre los logros educativos</w:t>
            </w:r>
          </w:p>
          <w:p w14:paraId="3AEF2327" w14:textId="77777777" w:rsidR="00D80805" w:rsidRPr="00ED32A9" w:rsidRDefault="001E3F49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Presentación de informes sobre el ODS 4, en especial, sobre la meta 4.7</w:t>
            </w:r>
          </w:p>
          <w:p w14:paraId="03246650" w14:textId="77777777" w:rsidR="00963017" w:rsidRPr="00ED32A9" w:rsidRDefault="00963017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Resultados de la investigación sobre el diseño de programas de educación, y sobre métodos y enfoques pedagógicos</w:t>
            </w:r>
          </w:p>
        </w:tc>
      </w:tr>
    </w:tbl>
    <w:p w14:paraId="749A37A8" w14:textId="77777777" w:rsidR="00320242" w:rsidRPr="00963017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963017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E9C9" w14:textId="77777777" w:rsidR="00E20655" w:rsidRDefault="00E20655" w:rsidP="002938F2">
      <w:r>
        <w:separator/>
      </w:r>
    </w:p>
    <w:p w14:paraId="078EA7FA" w14:textId="77777777" w:rsidR="00E20655" w:rsidRDefault="00E20655"/>
  </w:endnote>
  <w:endnote w:type="continuationSeparator" w:id="0">
    <w:p w14:paraId="499FC1D9" w14:textId="77777777" w:rsidR="00E20655" w:rsidRDefault="00E20655" w:rsidP="002938F2">
      <w:r>
        <w:continuationSeparator/>
      </w:r>
    </w:p>
    <w:p w14:paraId="10DC7C46" w14:textId="77777777" w:rsidR="00E20655" w:rsidRDefault="00E20655"/>
  </w:endnote>
  <w:endnote w:type="continuationNotice" w:id="1">
    <w:p w14:paraId="6DC6F20B" w14:textId="77777777" w:rsidR="00E20655" w:rsidRDefault="00E206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F061" w14:textId="20FFD842" w:rsidR="00C04344" w:rsidRPr="000A0709" w:rsidRDefault="00F65B5C" w:rsidP="000A0709">
    <w:pPr>
      <w:pStyle w:val="Footer"/>
      <w:jc w:val="center"/>
      <w:rPr>
        <w:rFonts w:ascii="Arial" w:hAnsi="Arial"/>
      </w:rPr>
    </w:pPr>
    <w:r>
      <w:rPr>
        <w:rFonts w:ascii="Arial" w:hAnsi="Arial" w:cs="Arial"/>
        <w:lang w:val="es"/>
      </w:rPr>
      <w:fldChar w:fldCharType="begin"/>
    </w:r>
    <w:r>
      <w:rPr>
        <w:rFonts w:ascii="Arial" w:hAnsi="Arial" w:cs="Arial"/>
        <w:lang w:val="es"/>
      </w:rPr>
      <w:instrText xml:space="preserve"> PAGE   \* MERGEFORMAT </w:instrText>
    </w:r>
    <w:r>
      <w:rPr>
        <w:rFonts w:ascii="Arial" w:hAnsi="Arial" w:cs="Arial"/>
        <w:lang w:val="es"/>
      </w:rPr>
      <w:fldChar w:fldCharType="separate"/>
    </w:r>
    <w:r>
      <w:rPr>
        <w:rFonts w:ascii="Arial" w:hAnsi="Arial" w:cs="Arial"/>
        <w:noProof/>
        <w:lang w:val="es"/>
      </w:rPr>
      <w:t>1</w:t>
    </w:r>
    <w:r>
      <w:rPr>
        <w:rFonts w:ascii="Arial" w:hAnsi="Arial" w:cs="Arial"/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CF0" w14:textId="77777777" w:rsidR="00E20655" w:rsidRDefault="00E20655" w:rsidP="002938F2">
      <w:r>
        <w:separator/>
      </w:r>
    </w:p>
  </w:footnote>
  <w:footnote w:type="continuationSeparator" w:id="0">
    <w:p w14:paraId="4278C57A" w14:textId="77777777" w:rsidR="00E20655" w:rsidRDefault="00E20655" w:rsidP="002938F2">
      <w:r>
        <w:continuationSeparator/>
      </w:r>
    </w:p>
    <w:p w14:paraId="2E3CB7F5" w14:textId="77777777" w:rsidR="00E20655" w:rsidRDefault="00E20655"/>
  </w:footnote>
  <w:footnote w:type="continuationNotice" w:id="1">
    <w:p w14:paraId="7DF3F610" w14:textId="77777777" w:rsidR="00E20655" w:rsidRDefault="00E20655">
      <w:pPr>
        <w:spacing w:after="0"/>
      </w:pPr>
    </w:p>
  </w:footnote>
  <w:footnote w:id="2">
    <w:p w14:paraId="5C6C5D0F" w14:textId="77777777" w:rsidR="000C28B9" w:rsidRPr="00ED32A9" w:rsidRDefault="000C28B9" w:rsidP="00402EDD">
      <w:pPr>
        <w:pStyle w:val="FootnoteText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es"/>
        </w:rPr>
        <w:footnoteRef/>
      </w:r>
      <w:r>
        <w:rPr>
          <w:rFonts w:ascii="Arial" w:hAnsi="Arial" w:cs="Arial"/>
          <w:sz w:val="18"/>
          <w:szCs w:val="18"/>
          <w:lang w:val="es"/>
        </w:rPr>
        <w:t>.</w:t>
      </w:r>
      <w:r>
        <w:rPr>
          <w:rFonts w:ascii="Arial" w:hAnsi="Arial" w:cs="Arial"/>
          <w:sz w:val="18"/>
          <w:szCs w:val="18"/>
          <w:lang w:val="es"/>
        </w:rPr>
        <w:tab/>
        <w:t>Si bien la Convención utiliza la expresión «comunidades, grupos e individuos» de manera consistente, algunos factores de evaluación, así como algunas Directrices Operativas, optan por referirse a «practicantes y depositarios» para identificar mejor a los miembros que desempeñan una función específica en relación al PCI.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9511" w14:textId="77777777" w:rsidR="001C73C7" w:rsidRDefault="001C7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7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2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4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5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7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1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1"/>
  </w:num>
  <w:num w:numId="2">
    <w:abstractNumId w:val="25"/>
  </w:num>
  <w:num w:numId="3">
    <w:abstractNumId w:val="11"/>
  </w:num>
  <w:num w:numId="4">
    <w:abstractNumId w:val="53"/>
  </w:num>
  <w:num w:numId="5">
    <w:abstractNumId w:val="44"/>
  </w:num>
  <w:num w:numId="6">
    <w:abstractNumId w:val="4"/>
  </w:num>
  <w:num w:numId="7">
    <w:abstractNumId w:val="15"/>
  </w:num>
  <w:num w:numId="8">
    <w:abstractNumId w:val="24"/>
  </w:num>
  <w:num w:numId="9">
    <w:abstractNumId w:val="47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2"/>
  </w:num>
  <w:num w:numId="17">
    <w:abstractNumId w:val="37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51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0"/>
  </w:num>
  <w:num w:numId="32">
    <w:abstractNumId w:val="8"/>
  </w:num>
  <w:num w:numId="33">
    <w:abstractNumId w:val="16"/>
  </w:num>
  <w:num w:numId="34">
    <w:abstractNumId w:val="45"/>
  </w:num>
  <w:num w:numId="35">
    <w:abstractNumId w:val="20"/>
  </w:num>
  <w:num w:numId="36">
    <w:abstractNumId w:val="39"/>
  </w:num>
  <w:num w:numId="37">
    <w:abstractNumId w:val="17"/>
  </w:num>
  <w:num w:numId="38">
    <w:abstractNumId w:val="9"/>
  </w:num>
  <w:num w:numId="39">
    <w:abstractNumId w:val="6"/>
  </w:num>
  <w:num w:numId="40">
    <w:abstractNumId w:val="19"/>
  </w:num>
  <w:num w:numId="41">
    <w:abstractNumId w:val="52"/>
  </w:num>
  <w:num w:numId="42">
    <w:abstractNumId w:val="49"/>
  </w:num>
  <w:num w:numId="43">
    <w:abstractNumId w:val="28"/>
  </w:num>
  <w:num w:numId="44">
    <w:abstractNumId w:val="12"/>
  </w:num>
  <w:num w:numId="45">
    <w:abstractNumId w:val="50"/>
  </w:num>
  <w:num w:numId="46">
    <w:abstractNumId w:val="5"/>
  </w:num>
  <w:num w:numId="47">
    <w:abstractNumId w:val="34"/>
  </w:num>
  <w:num w:numId="48">
    <w:abstractNumId w:val="54"/>
  </w:num>
  <w:num w:numId="49">
    <w:abstractNumId w:val="31"/>
  </w:num>
  <w:num w:numId="50">
    <w:abstractNumId w:val="29"/>
  </w:num>
  <w:num w:numId="51">
    <w:abstractNumId w:val="26"/>
  </w:num>
  <w:num w:numId="52">
    <w:abstractNumId w:val="36"/>
  </w:num>
  <w:num w:numId="53">
    <w:abstractNumId w:val="14"/>
  </w:num>
  <w:num w:numId="54">
    <w:abstractNumId w:val="1"/>
  </w:num>
  <w:num w:numId="55">
    <w:abstractNumId w:val="33"/>
  </w:num>
  <w:num w:numId="56">
    <w:abstractNumId w:val="38"/>
  </w:num>
  <w:num w:numId="57">
    <w:abstractNumId w:val="0"/>
  </w:num>
  <w:num w:numId="58">
    <w:abstractNumId w:val="3"/>
  </w:num>
  <w:num w:numId="59">
    <w:abstractNumId w:val="42"/>
  </w:num>
  <w:num w:numId="60">
    <w:abstractNumId w:val="2"/>
  </w:num>
  <w:num w:numId="61">
    <w:abstractNumId w:val="30"/>
  </w:num>
  <w:num w:numId="62">
    <w:abstractNumId w:val="21"/>
  </w:num>
  <w:num w:numId="63">
    <w:abstractNumId w:val="46"/>
  </w:num>
  <w:num w:numId="64">
    <w:abstractNumId w:val="18"/>
  </w:num>
  <w:num w:numId="65">
    <w:abstractNumId w:val="23"/>
  </w:num>
  <w:num w:numId="66">
    <w:abstractNumId w:val="43"/>
  </w:num>
  <w:num w:numId="67">
    <w:abstractNumId w:val="35"/>
  </w:num>
  <w:num w:numId="68">
    <w:abstractNumId w:val="13"/>
  </w:num>
  <w:num w:numId="69">
    <w:abstractNumId w:val="40"/>
  </w:num>
  <w:num w:numId="70">
    <w:abstractNumId w:val="32"/>
  </w:num>
  <w:num w:numId="71">
    <w:abstractNumId w:val="27"/>
  </w:num>
  <w:num w:numId="72">
    <w:abstractNumId w:val="48"/>
  </w:num>
  <w:num w:numId="73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B9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4D1D"/>
    <w:rsid w:val="0001506E"/>
    <w:rsid w:val="00015B9D"/>
    <w:rsid w:val="0001601A"/>
    <w:rsid w:val="00021831"/>
    <w:rsid w:val="00022C19"/>
    <w:rsid w:val="00031A37"/>
    <w:rsid w:val="00036843"/>
    <w:rsid w:val="00047E58"/>
    <w:rsid w:val="00052E81"/>
    <w:rsid w:val="00054FDC"/>
    <w:rsid w:val="000632E2"/>
    <w:rsid w:val="000677E3"/>
    <w:rsid w:val="0007203D"/>
    <w:rsid w:val="000729D2"/>
    <w:rsid w:val="00073D20"/>
    <w:rsid w:val="00074E7D"/>
    <w:rsid w:val="000755E1"/>
    <w:rsid w:val="0007681B"/>
    <w:rsid w:val="000769F1"/>
    <w:rsid w:val="00083694"/>
    <w:rsid w:val="0008510F"/>
    <w:rsid w:val="00085541"/>
    <w:rsid w:val="00092AE6"/>
    <w:rsid w:val="00093063"/>
    <w:rsid w:val="000A0709"/>
    <w:rsid w:val="000A0F0D"/>
    <w:rsid w:val="000A112A"/>
    <w:rsid w:val="000A21DA"/>
    <w:rsid w:val="000A34CE"/>
    <w:rsid w:val="000C03BF"/>
    <w:rsid w:val="000C15BD"/>
    <w:rsid w:val="000C28B9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614"/>
    <w:rsid w:val="00156788"/>
    <w:rsid w:val="001609A1"/>
    <w:rsid w:val="00162554"/>
    <w:rsid w:val="00163F68"/>
    <w:rsid w:val="00167B09"/>
    <w:rsid w:val="00173B50"/>
    <w:rsid w:val="00173E0E"/>
    <w:rsid w:val="00174B39"/>
    <w:rsid w:val="00183F6C"/>
    <w:rsid w:val="0018582A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C73C7"/>
    <w:rsid w:val="001D00B5"/>
    <w:rsid w:val="001D3B29"/>
    <w:rsid w:val="001D59C8"/>
    <w:rsid w:val="001E3F49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56596"/>
    <w:rsid w:val="0026007A"/>
    <w:rsid w:val="002638C0"/>
    <w:rsid w:val="00265E42"/>
    <w:rsid w:val="00266B45"/>
    <w:rsid w:val="0027198B"/>
    <w:rsid w:val="00273658"/>
    <w:rsid w:val="00282A9D"/>
    <w:rsid w:val="00286C0C"/>
    <w:rsid w:val="00287687"/>
    <w:rsid w:val="00287A84"/>
    <w:rsid w:val="00290D5F"/>
    <w:rsid w:val="002938F2"/>
    <w:rsid w:val="00293CCC"/>
    <w:rsid w:val="00294AE9"/>
    <w:rsid w:val="002A195D"/>
    <w:rsid w:val="002A6A49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71D4"/>
    <w:rsid w:val="002E113D"/>
    <w:rsid w:val="002F17E1"/>
    <w:rsid w:val="003043A9"/>
    <w:rsid w:val="0030454E"/>
    <w:rsid w:val="00320242"/>
    <w:rsid w:val="00324A32"/>
    <w:rsid w:val="00325D6E"/>
    <w:rsid w:val="00334977"/>
    <w:rsid w:val="00337194"/>
    <w:rsid w:val="003422BD"/>
    <w:rsid w:val="00342EE8"/>
    <w:rsid w:val="00344D78"/>
    <w:rsid w:val="00346517"/>
    <w:rsid w:val="00351CCB"/>
    <w:rsid w:val="0035648A"/>
    <w:rsid w:val="00362B41"/>
    <w:rsid w:val="00363995"/>
    <w:rsid w:val="00364E5E"/>
    <w:rsid w:val="00370E9B"/>
    <w:rsid w:val="00377E4B"/>
    <w:rsid w:val="00383BA9"/>
    <w:rsid w:val="003845B0"/>
    <w:rsid w:val="00385B34"/>
    <w:rsid w:val="00386C08"/>
    <w:rsid w:val="00387D88"/>
    <w:rsid w:val="0039166E"/>
    <w:rsid w:val="0039446E"/>
    <w:rsid w:val="003A260A"/>
    <w:rsid w:val="003A2BC4"/>
    <w:rsid w:val="003B31BE"/>
    <w:rsid w:val="003B504D"/>
    <w:rsid w:val="003C7065"/>
    <w:rsid w:val="003D2E0D"/>
    <w:rsid w:val="003D5113"/>
    <w:rsid w:val="003D5BFC"/>
    <w:rsid w:val="003D6E10"/>
    <w:rsid w:val="003E0C0F"/>
    <w:rsid w:val="003E0C4E"/>
    <w:rsid w:val="003E0E28"/>
    <w:rsid w:val="003E19D5"/>
    <w:rsid w:val="003E76A8"/>
    <w:rsid w:val="003F5B90"/>
    <w:rsid w:val="00400E45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1DEB"/>
    <w:rsid w:val="004458C9"/>
    <w:rsid w:val="00447C66"/>
    <w:rsid w:val="00456159"/>
    <w:rsid w:val="004564CD"/>
    <w:rsid w:val="00462F38"/>
    <w:rsid w:val="00471B34"/>
    <w:rsid w:val="00474AFE"/>
    <w:rsid w:val="00477E66"/>
    <w:rsid w:val="00480809"/>
    <w:rsid w:val="00486A5E"/>
    <w:rsid w:val="00493F92"/>
    <w:rsid w:val="004A0C2B"/>
    <w:rsid w:val="004A610E"/>
    <w:rsid w:val="004C20E2"/>
    <w:rsid w:val="004C6B42"/>
    <w:rsid w:val="004E056C"/>
    <w:rsid w:val="004E1E43"/>
    <w:rsid w:val="004E2817"/>
    <w:rsid w:val="004E2AE8"/>
    <w:rsid w:val="004E418A"/>
    <w:rsid w:val="005016FB"/>
    <w:rsid w:val="00504256"/>
    <w:rsid w:val="00511D17"/>
    <w:rsid w:val="005157E2"/>
    <w:rsid w:val="0051699F"/>
    <w:rsid w:val="00516DE3"/>
    <w:rsid w:val="005300BF"/>
    <w:rsid w:val="00532631"/>
    <w:rsid w:val="005414A1"/>
    <w:rsid w:val="0054175C"/>
    <w:rsid w:val="005473CF"/>
    <w:rsid w:val="005509CA"/>
    <w:rsid w:val="00570355"/>
    <w:rsid w:val="00574530"/>
    <w:rsid w:val="00581423"/>
    <w:rsid w:val="00582F4C"/>
    <w:rsid w:val="0058407A"/>
    <w:rsid w:val="00593AE6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32B30"/>
    <w:rsid w:val="006340A1"/>
    <w:rsid w:val="00636760"/>
    <w:rsid w:val="00644B92"/>
    <w:rsid w:val="00645B77"/>
    <w:rsid w:val="0065099D"/>
    <w:rsid w:val="006515C9"/>
    <w:rsid w:val="00651944"/>
    <w:rsid w:val="00652318"/>
    <w:rsid w:val="00652419"/>
    <w:rsid w:val="00652484"/>
    <w:rsid w:val="00653314"/>
    <w:rsid w:val="0067005F"/>
    <w:rsid w:val="0067015A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8F5"/>
    <w:rsid w:val="007119B8"/>
    <w:rsid w:val="0072415E"/>
    <w:rsid w:val="007247D7"/>
    <w:rsid w:val="007250E3"/>
    <w:rsid w:val="007277C8"/>
    <w:rsid w:val="00732057"/>
    <w:rsid w:val="007368A2"/>
    <w:rsid w:val="007418AE"/>
    <w:rsid w:val="00742923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A63"/>
    <w:rsid w:val="00790C65"/>
    <w:rsid w:val="0079316B"/>
    <w:rsid w:val="007A0565"/>
    <w:rsid w:val="007A0EAA"/>
    <w:rsid w:val="007A1247"/>
    <w:rsid w:val="007A1E0A"/>
    <w:rsid w:val="007A6F91"/>
    <w:rsid w:val="007A7D45"/>
    <w:rsid w:val="007B4ADA"/>
    <w:rsid w:val="007B5657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4E37"/>
    <w:rsid w:val="007F2D99"/>
    <w:rsid w:val="007F4B07"/>
    <w:rsid w:val="008029A6"/>
    <w:rsid w:val="00804233"/>
    <w:rsid w:val="008147BA"/>
    <w:rsid w:val="008269B0"/>
    <w:rsid w:val="0083067E"/>
    <w:rsid w:val="00832357"/>
    <w:rsid w:val="0083488D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2161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42E8"/>
    <w:rsid w:val="009357B4"/>
    <w:rsid w:val="00946D71"/>
    <w:rsid w:val="009577E1"/>
    <w:rsid w:val="00963017"/>
    <w:rsid w:val="00971CA1"/>
    <w:rsid w:val="0097349C"/>
    <w:rsid w:val="009814C2"/>
    <w:rsid w:val="00982FFD"/>
    <w:rsid w:val="00985265"/>
    <w:rsid w:val="00985856"/>
    <w:rsid w:val="00990D89"/>
    <w:rsid w:val="009A4969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9F5387"/>
    <w:rsid w:val="00A003D0"/>
    <w:rsid w:val="00A05BAF"/>
    <w:rsid w:val="00A073FD"/>
    <w:rsid w:val="00A112A8"/>
    <w:rsid w:val="00A150C7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2D9B"/>
    <w:rsid w:val="00A77AEB"/>
    <w:rsid w:val="00A81F0A"/>
    <w:rsid w:val="00A85C7A"/>
    <w:rsid w:val="00A86042"/>
    <w:rsid w:val="00AA36F9"/>
    <w:rsid w:val="00AA444A"/>
    <w:rsid w:val="00AB1528"/>
    <w:rsid w:val="00AD6BD4"/>
    <w:rsid w:val="00AE1B18"/>
    <w:rsid w:val="00AE1D83"/>
    <w:rsid w:val="00AE2DFB"/>
    <w:rsid w:val="00AE3061"/>
    <w:rsid w:val="00AE758A"/>
    <w:rsid w:val="00AF15BA"/>
    <w:rsid w:val="00AF1C32"/>
    <w:rsid w:val="00AF65C6"/>
    <w:rsid w:val="00B11AE3"/>
    <w:rsid w:val="00B121A6"/>
    <w:rsid w:val="00B25A22"/>
    <w:rsid w:val="00B300B8"/>
    <w:rsid w:val="00B32A28"/>
    <w:rsid w:val="00B33904"/>
    <w:rsid w:val="00B34D0C"/>
    <w:rsid w:val="00B3751E"/>
    <w:rsid w:val="00B427FE"/>
    <w:rsid w:val="00B43FC5"/>
    <w:rsid w:val="00B51737"/>
    <w:rsid w:val="00B6102A"/>
    <w:rsid w:val="00B6167A"/>
    <w:rsid w:val="00B62ED0"/>
    <w:rsid w:val="00B64196"/>
    <w:rsid w:val="00B66A7A"/>
    <w:rsid w:val="00B70266"/>
    <w:rsid w:val="00B7231C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B1062"/>
    <w:rsid w:val="00BB28EF"/>
    <w:rsid w:val="00BB5DEE"/>
    <w:rsid w:val="00BC002E"/>
    <w:rsid w:val="00BC393F"/>
    <w:rsid w:val="00BC75FC"/>
    <w:rsid w:val="00BD59BD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402B6"/>
    <w:rsid w:val="00C43757"/>
    <w:rsid w:val="00C43BCE"/>
    <w:rsid w:val="00C47CF1"/>
    <w:rsid w:val="00C47D76"/>
    <w:rsid w:val="00C52006"/>
    <w:rsid w:val="00C53AB4"/>
    <w:rsid w:val="00C542F1"/>
    <w:rsid w:val="00C572B3"/>
    <w:rsid w:val="00C57CA1"/>
    <w:rsid w:val="00C6300B"/>
    <w:rsid w:val="00C6426B"/>
    <w:rsid w:val="00C6478B"/>
    <w:rsid w:val="00C707C3"/>
    <w:rsid w:val="00C87194"/>
    <w:rsid w:val="00C90629"/>
    <w:rsid w:val="00C90C51"/>
    <w:rsid w:val="00C91CA2"/>
    <w:rsid w:val="00CA3ED6"/>
    <w:rsid w:val="00CA7CF4"/>
    <w:rsid w:val="00CB0F37"/>
    <w:rsid w:val="00CB1135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E74BE"/>
    <w:rsid w:val="00CF05D7"/>
    <w:rsid w:val="00CF34A6"/>
    <w:rsid w:val="00CF3F93"/>
    <w:rsid w:val="00D020F3"/>
    <w:rsid w:val="00D04515"/>
    <w:rsid w:val="00D065AD"/>
    <w:rsid w:val="00D22831"/>
    <w:rsid w:val="00D3626A"/>
    <w:rsid w:val="00D404B7"/>
    <w:rsid w:val="00D44509"/>
    <w:rsid w:val="00D448CB"/>
    <w:rsid w:val="00D47226"/>
    <w:rsid w:val="00D47ED5"/>
    <w:rsid w:val="00D50F5A"/>
    <w:rsid w:val="00D603FC"/>
    <w:rsid w:val="00D61779"/>
    <w:rsid w:val="00D73DB6"/>
    <w:rsid w:val="00D80805"/>
    <w:rsid w:val="00D809E5"/>
    <w:rsid w:val="00D81948"/>
    <w:rsid w:val="00D8694A"/>
    <w:rsid w:val="00D90819"/>
    <w:rsid w:val="00D93291"/>
    <w:rsid w:val="00D9501F"/>
    <w:rsid w:val="00DB212C"/>
    <w:rsid w:val="00DB50D5"/>
    <w:rsid w:val="00DC5537"/>
    <w:rsid w:val="00DC7871"/>
    <w:rsid w:val="00DD11EE"/>
    <w:rsid w:val="00DD52A0"/>
    <w:rsid w:val="00DE5590"/>
    <w:rsid w:val="00DE6364"/>
    <w:rsid w:val="00DE76B4"/>
    <w:rsid w:val="00DF1D9E"/>
    <w:rsid w:val="00DF3DA3"/>
    <w:rsid w:val="00DF5B48"/>
    <w:rsid w:val="00DF5DA4"/>
    <w:rsid w:val="00E06492"/>
    <w:rsid w:val="00E065CE"/>
    <w:rsid w:val="00E06A00"/>
    <w:rsid w:val="00E13E03"/>
    <w:rsid w:val="00E20655"/>
    <w:rsid w:val="00E22B99"/>
    <w:rsid w:val="00E24A9D"/>
    <w:rsid w:val="00E258D9"/>
    <w:rsid w:val="00E35B8C"/>
    <w:rsid w:val="00E439CA"/>
    <w:rsid w:val="00E46DDB"/>
    <w:rsid w:val="00E473F3"/>
    <w:rsid w:val="00E5219B"/>
    <w:rsid w:val="00E56905"/>
    <w:rsid w:val="00E64BE4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D0C60"/>
    <w:rsid w:val="00ED32A9"/>
    <w:rsid w:val="00ED3D26"/>
    <w:rsid w:val="00ED5218"/>
    <w:rsid w:val="00EE1D9D"/>
    <w:rsid w:val="00EF0BCB"/>
    <w:rsid w:val="00EF0E74"/>
    <w:rsid w:val="00EF2549"/>
    <w:rsid w:val="00F00E8A"/>
    <w:rsid w:val="00F16242"/>
    <w:rsid w:val="00F17FCB"/>
    <w:rsid w:val="00F226CC"/>
    <w:rsid w:val="00F2691E"/>
    <w:rsid w:val="00F279DD"/>
    <w:rsid w:val="00F3242E"/>
    <w:rsid w:val="00F33650"/>
    <w:rsid w:val="00F348F9"/>
    <w:rsid w:val="00F37E4B"/>
    <w:rsid w:val="00F4144E"/>
    <w:rsid w:val="00F41B00"/>
    <w:rsid w:val="00F41ED8"/>
    <w:rsid w:val="00F473CB"/>
    <w:rsid w:val="00F50245"/>
    <w:rsid w:val="00F63DDA"/>
    <w:rsid w:val="00F65B5C"/>
    <w:rsid w:val="00F67029"/>
    <w:rsid w:val="00F70858"/>
    <w:rsid w:val="00F71BBC"/>
    <w:rsid w:val="00F7397F"/>
    <w:rsid w:val="00F75949"/>
    <w:rsid w:val="00F75CF4"/>
    <w:rsid w:val="00F837B3"/>
    <w:rsid w:val="00F86347"/>
    <w:rsid w:val="00F866CD"/>
    <w:rsid w:val="00F941F0"/>
    <w:rsid w:val="00F97FF5"/>
    <w:rsid w:val="00FA7CE6"/>
    <w:rsid w:val="00FB1313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9259C8"/>
  <w15:docId w15:val="{98C615CC-E1B4-46BA-971E-9C43949B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C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DA7D-BA99-4715-ACC4-290F17BA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13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5</cp:revision>
  <dcterms:created xsi:type="dcterms:W3CDTF">2019-07-19T20:21:00Z</dcterms:created>
  <dcterms:modified xsi:type="dcterms:W3CDTF">2019-12-06T17:14:00Z</dcterms:modified>
</cp:coreProperties>
</file>