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48E6" w14:textId="77777777" w:rsidR="000A0709" w:rsidRPr="00963017"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BE5514" w14:paraId="2D4FBFB2" w14:textId="77777777" w:rsidTr="001C73C7">
        <w:trPr>
          <w:cantSplit/>
        </w:trPr>
        <w:tc>
          <w:tcPr>
            <w:tcW w:w="786" w:type="pct"/>
            <w:shd w:val="clear" w:color="auto" w:fill="auto"/>
          </w:tcPr>
          <w:p w14:paraId="0BBD652B" w14:textId="77777777" w:rsidR="005473CF" w:rsidRPr="00963017"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7BDECC47" w14:textId="77777777" w:rsidR="005473CF" w:rsidRPr="006F1A3E" w:rsidRDefault="000C28B9" w:rsidP="000C28B9">
            <w:pPr>
              <w:keepLines/>
              <w:spacing w:before="120"/>
              <w:ind w:left="567" w:hanging="567"/>
              <w:rPr>
                <w:rFonts w:ascii="Arial" w:hAnsi="Arial" w:cs="Arial"/>
                <w:b/>
                <w:szCs w:val="22"/>
                <w:lang w:val="fr-FR"/>
              </w:rPr>
            </w:pPr>
            <w:r>
              <w:rPr>
                <w:rFonts w:ascii="Arial" w:hAnsi="Arial" w:cs="Arial"/>
                <w:b/>
                <w:bCs/>
                <w:szCs w:val="22"/>
                <w:lang w:val="fr"/>
              </w:rPr>
              <w:t>4.</w:t>
            </w:r>
            <w:r>
              <w:rPr>
                <w:rFonts w:ascii="Arial" w:hAnsi="Arial" w:cs="Arial"/>
                <w:b/>
                <w:bCs/>
                <w:szCs w:val="22"/>
                <w:lang w:val="fr"/>
              </w:rPr>
              <w:tab/>
              <w:t>Mesure dans laquelle l’éducation formelle et non formelle renforcent la transmission du PCI et promeuvent le respect du PCI</w:t>
            </w:r>
          </w:p>
        </w:tc>
      </w:tr>
      <w:tr w:rsidR="005B0FE5" w:rsidRPr="00BE5514" w14:paraId="1AFD5CAA" w14:textId="77777777" w:rsidTr="001C73C7">
        <w:trPr>
          <w:cantSplit/>
        </w:trPr>
        <w:tc>
          <w:tcPr>
            <w:tcW w:w="786" w:type="pct"/>
            <w:vMerge w:val="restart"/>
            <w:shd w:val="clear" w:color="auto" w:fill="auto"/>
          </w:tcPr>
          <w:p w14:paraId="6779EBE6" w14:textId="7DDB5F75" w:rsidR="005B0FE5" w:rsidRPr="00963017" w:rsidRDefault="005B0FE5" w:rsidP="00DA2ECC">
            <w:pPr>
              <w:spacing w:before="120"/>
              <w:rPr>
                <w:rFonts w:ascii="Arial" w:hAnsi="Arial" w:cs="Arial"/>
                <w:b/>
                <w:szCs w:val="22"/>
              </w:rPr>
            </w:pPr>
            <w:r>
              <w:rPr>
                <w:rFonts w:ascii="Arial" w:hAnsi="Arial" w:cs="Arial"/>
                <w:b/>
                <w:bCs/>
                <w:szCs w:val="22"/>
                <w:lang w:val="fr"/>
              </w:rPr>
              <w:t>Facteurs d'</w:t>
            </w:r>
            <w:bookmarkStart w:id="0" w:name="_Hlk70513876"/>
            <w:r w:rsidR="001027BD">
              <w:rPr>
                <w:rFonts w:ascii="Arial" w:hAnsi="Arial" w:cs="Arial"/>
                <w:b/>
                <w:bCs/>
                <w:szCs w:val="22"/>
                <w:lang w:val="fr"/>
              </w:rPr>
              <w:t>appréciation</w:t>
            </w:r>
            <w:bookmarkEnd w:id="0"/>
          </w:p>
        </w:tc>
        <w:tc>
          <w:tcPr>
            <w:tcW w:w="4214" w:type="pct"/>
            <w:gridSpan w:val="2"/>
            <w:shd w:val="clear" w:color="auto" w:fill="auto"/>
          </w:tcPr>
          <w:p w14:paraId="4B5BC765" w14:textId="77777777" w:rsidR="005B0FE5" w:rsidRPr="006F1A3E"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quatre facteurs nationaux suivis et rapportés par chaque État partie :</w:t>
            </w:r>
          </w:p>
        </w:tc>
      </w:tr>
      <w:tr w:rsidR="000C28B9" w:rsidRPr="00963017" w14:paraId="5310AAC9" w14:textId="77777777" w:rsidTr="001C73C7">
        <w:trPr>
          <w:cantSplit/>
        </w:trPr>
        <w:tc>
          <w:tcPr>
            <w:tcW w:w="786" w:type="pct"/>
            <w:vMerge/>
            <w:shd w:val="clear" w:color="auto" w:fill="auto"/>
          </w:tcPr>
          <w:p w14:paraId="04D8999D" w14:textId="77777777" w:rsidR="000C28B9" w:rsidRPr="006F1A3E" w:rsidRDefault="000C28B9" w:rsidP="000C28B9">
            <w:pPr>
              <w:spacing w:before="120"/>
              <w:rPr>
                <w:rFonts w:ascii="Arial" w:hAnsi="Arial" w:cs="Arial"/>
                <w:b/>
                <w:szCs w:val="22"/>
                <w:lang w:val="fr-FR"/>
              </w:rPr>
            </w:pPr>
          </w:p>
        </w:tc>
        <w:tc>
          <w:tcPr>
            <w:tcW w:w="3418" w:type="pct"/>
            <w:shd w:val="clear" w:color="auto" w:fill="auto"/>
            <w:vAlign w:val="center"/>
          </w:tcPr>
          <w:p w14:paraId="0489C3D3" w14:textId="77777777" w:rsidR="000C28B9" w:rsidRPr="006F1A3E" w:rsidRDefault="000C28B9" w:rsidP="00256596">
            <w:pPr>
              <w:keepLines/>
              <w:spacing w:before="120"/>
              <w:ind w:left="567" w:hanging="567"/>
              <w:rPr>
                <w:rFonts w:ascii="Arial" w:eastAsia="Calibri" w:hAnsi="Arial" w:cs="Arial"/>
                <w:sz w:val="20"/>
                <w:szCs w:val="20"/>
                <w:lang w:val="fr-FR"/>
              </w:rPr>
            </w:pPr>
            <w:r>
              <w:rPr>
                <w:rFonts w:ascii="Arial" w:eastAsia="Calibri" w:hAnsi="Arial" w:cs="Arial"/>
                <w:sz w:val="20"/>
                <w:szCs w:val="20"/>
                <w:lang w:val="fr"/>
              </w:rPr>
              <w:t>4.1</w:t>
            </w:r>
            <w:r>
              <w:rPr>
                <w:rFonts w:ascii="Arial" w:eastAsia="Calibri" w:hAnsi="Arial" w:cs="Arial"/>
                <w:sz w:val="20"/>
                <w:szCs w:val="20"/>
                <w:lang w:val="fr"/>
              </w:rPr>
              <w:tab/>
              <w:t>Les praticiens et les détenteurs</w:t>
            </w:r>
            <w:r>
              <w:rPr>
                <w:rFonts w:ascii="Arial" w:eastAsia="Calibri" w:hAnsi="Arial" w:cs="Arial"/>
                <w:sz w:val="20"/>
                <w:szCs w:val="20"/>
                <w:vertAlign w:val="superscript"/>
                <w:lang w:val="fr"/>
              </w:rPr>
              <w:footnoteReference w:id="2"/>
            </w:r>
            <w:r>
              <w:rPr>
                <w:rFonts w:ascii="Arial" w:eastAsia="Calibri" w:hAnsi="Arial" w:cs="Arial"/>
                <w:sz w:val="20"/>
                <w:szCs w:val="20"/>
                <w:lang w:val="fr"/>
              </w:rPr>
              <w:t xml:space="preserve"> sont impliqués de manière inclusive dans la conception et le développement des programmes d’éducation au PCI et/ou dans la présentation et la transmission active de leur patrimoine</w:t>
            </w:r>
          </w:p>
        </w:tc>
        <w:tc>
          <w:tcPr>
            <w:tcW w:w="796" w:type="pct"/>
            <w:shd w:val="clear" w:color="auto" w:fill="auto"/>
            <w:vAlign w:val="center"/>
          </w:tcPr>
          <w:p w14:paraId="342A3A70" w14:textId="77777777" w:rsidR="000C28B9" w:rsidRPr="00963017" w:rsidRDefault="000C28B9" w:rsidP="00C707C3">
            <w:pPr>
              <w:keepLines/>
              <w:spacing w:before="120"/>
              <w:rPr>
                <w:rFonts w:ascii="Arial" w:hAnsi="Arial" w:cs="Arial"/>
                <w:sz w:val="20"/>
                <w:szCs w:val="20"/>
              </w:rPr>
            </w:pPr>
            <w:r>
              <w:rPr>
                <w:rFonts w:ascii="Arial" w:hAnsi="Arial" w:cs="Arial"/>
                <w:sz w:val="20"/>
                <w:szCs w:val="20"/>
                <w:lang w:val="fr"/>
              </w:rPr>
              <w:t>DO 107(e)</w:t>
            </w:r>
          </w:p>
        </w:tc>
      </w:tr>
      <w:tr w:rsidR="000C28B9" w:rsidRPr="00963017" w14:paraId="3F3A4039" w14:textId="77777777" w:rsidTr="001C73C7">
        <w:trPr>
          <w:cantSplit/>
        </w:trPr>
        <w:tc>
          <w:tcPr>
            <w:tcW w:w="786" w:type="pct"/>
            <w:vMerge/>
            <w:shd w:val="clear" w:color="auto" w:fill="auto"/>
          </w:tcPr>
          <w:p w14:paraId="4174C187" w14:textId="77777777" w:rsidR="000C28B9" w:rsidRPr="00963017" w:rsidRDefault="000C28B9" w:rsidP="000C28B9">
            <w:pPr>
              <w:spacing w:before="120"/>
              <w:rPr>
                <w:rFonts w:ascii="Arial" w:hAnsi="Arial" w:cs="Arial"/>
                <w:b/>
                <w:szCs w:val="22"/>
              </w:rPr>
            </w:pPr>
          </w:p>
        </w:tc>
        <w:tc>
          <w:tcPr>
            <w:tcW w:w="3418" w:type="pct"/>
            <w:shd w:val="clear" w:color="auto" w:fill="auto"/>
            <w:vAlign w:val="center"/>
          </w:tcPr>
          <w:p w14:paraId="37313016" w14:textId="77777777" w:rsidR="000C28B9" w:rsidRPr="006F1A3E" w:rsidRDefault="000C28B9" w:rsidP="00256596">
            <w:pPr>
              <w:keepLines/>
              <w:spacing w:before="120"/>
              <w:ind w:left="567" w:hanging="567"/>
              <w:rPr>
                <w:rFonts w:ascii="Arial" w:eastAsia="Calibri" w:hAnsi="Arial" w:cs="Arial"/>
                <w:sz w:val="20"/>
                <w:szCs w:val="20"/>
                <w:lang w:val="fr-FR"/>
              </w:rPr>
            </w:pPr>
            <w:r>
              <w:rPr>
                <w:rFonts w:ascii="Arial" w:eastAsia="Calibri" w:hAnsi="Arial" w:cs="Arial"/>
                <w:sz w:val="20"/>
                <w:szCs w:val="20"/>
                <w:lang w:val="fr"/>
              </w:rPr>
              <w:t>4.2</w:t>
            </w:r>
            <w:r>
              <w:rPr>
                <w:rFonts w:ascii="Arial" w:eastAsia="Calibri" w:hAnsi="Arial" w:cs="Arial"/>
                <w:sz w:val="20"/>
                <w:szCs w:val="20"/>
                <w:lang w:val="fr"/>
              </w:rPr>
              <w:tab/>
              <w:t>Les modes et méthodes de transmission du PCI qui sont reconnus par les communautés, les groupes et les individus sont appris et/ou renforcés et inclus dans les programmes d’éducation formelle et non formelle.</w:t>
            </w:r>
          </w:p>
        </w:tc>
        <w:tc>
          <w:tcPr>
            <w:tcW w:w="796" w:type="pct"/>
            <w:shd w:val="clear" w:color="auto" w:fill="auto"/>
            <w:vAlign w:val="center"/>
          </w:tcPr>
          <w:p w14:paraId="750E7FE0" w14:textId="77777777" w:rsidR="000C28B9" w:rsidRPr="00963017" w:rsidRDefault="000C28B9" w:rsidP="00C707C3">
            <w:pPr>
              <w:spacing w:before="120"/>
              <w:rPr>
                <w:rFonts w:ascii="Arial" w:hAnsi="Arial" w:cs="Arial"/>
                <w:sz w:val="20"/>
                <w:szCs w:val="20"/>
              </w:rPr>
            </w:pPr>
            <w:r w:rsidRPr="006F1A3E">
              <w:rPr>
                <w:rFonts w:ascii="Arial" w:hAnsi="Arial" w:cs="Arial"/>
                <w:sz w:val="20"/>
                <w:szCs w:val="20"/>
              </w:rPr>
              <w:t>Article 14(a)(</w:t>
            </w:r>
            <w:proofErr w:type="spellStart"/>
            <w:r w:rsidRPr="006F1A3E">
              <w:rPr>
                <w:rFonts w:ascii="Arial" w:hAnsi="Arial" w:cs="Arial"/>
                <w:sz w:val="20"/>
                <w:szCs w:val="20"/>
              </w:rPr>
              <w:t>i</w:t>
            </w:r>
            <w:proofErr w:type="spellEnd"/>
            <w:proofErr w:type="gramStart"/>
            <w:r w:rsidRPr="006F1A3E">
              <w:rPr>
                <w:rFonts w:ascii="Arial" w:hAnsi="Arial" w:cs="Arial"/>
                <w:sz w:val="20"/>
                <w:szCs w:val="20"/>
              </w:rPr>
              <w:t>) ;</w:t>
            </w:r>
            <w:proofErr w:type="gramEnd"/>
            <w:r w:rsidRPr="006F1A3E">
              <w:rPr>
                <w:rFonts w:ascii="Arial" w:hAnsi="Arial" w:cs="Arial"/>
                <w:sz w:val="20"/>
                <w:szCs w:val="20"/>
              </w:rPr>
              <w:t xml:space="preserve"> Article 14, (a)(ii)</w:t>
            </w:r>
          </w:p>
          <w:p w14:paraId="484CA3F1" w14:textId="77777777" w:rsidR="000C28B9" w:rsidRPr="00963017" w:rsidRDefault="000C28B9" w:rsidP="00C707C3">
            <w:pPr>
              <w:spacing w:before="120"/>
              <w:rPr>
                <w:rFonts w:ascii="Arial" w:hAnsi="Arial" w:cs="Arial"/>
                <w:sz w:val="20"/>
                <w:szCs w:val="20"/>
              </w:rPr>
            </w:pPr>
            <w:r w:rsidRPr="006F1A3E">
              <w:rPr>
                <w:rFonts w:ascii="Arial" w:hAnsi="Arial" w:cs="Arial"/>
                <w:sz w:val="20"/>
                <w:szCs w:val="20"/>
              </w:rPr>
              <w:t>DO 180(a)(iii)</w:t>
            </w:r>
          </w:p>
        </w:tc>
      </w:tr>
      <w:tr w:rsidR="000C28B9" w:rsidRPr="00963017" w14:paraId="2F86A429" w14:textId="77777777" w:rsidTr="001C73C7">
        <w:trPr>
          <w:cantSplit/>
        </w:trPr>
        <w:tc>
          <w:tcPr>
            <w:tcW w:w="786" w:type="pct"/>
            <w:vMerge/>
            <w:shd w:val="clear" w:color="auto" w:fill="auto"/>
          </w:tcPr>
          <w:p w14:paraId="38BEA539" w14:textId="77777777" w:rsidR="000C28B9" w:rsidRPr="00963017" w:rsidRDefault="000C28B9" w:rsidP="000C28B9">
            <w:pPr>
              <w:spacing w:before="120"/>
              <w:rPr>
                <w:rFonts w:ascii="Arial" w:hAnsi="Arial" w:cs="Arial"/>
                <w:b/>
                <w:szCs w:val="22"/>
              </w:rPr>
            </w:pPr>
          </w:p>
        </w:tc>
        <w:tc>
          <w:tcPr>
            <w:tcW w:w="3418" w:type="pct"/>
            <w:shd w:val="clear" w:color="auto" w:fill="auto"/>
            <w:vAlign w:val="center"/>
          </w:tcPr>
          <w:p w14:paraId="04D53F5F" w14:textId="77777777" w:rsidR="000C28B9" w:rsidRPr="006F1A3E" w:rsidRDefault="000C28B9" w:rsidP="00256596">
            <w:pPr>
              <w:keepLines/>
              <w:spacing w:before="120"/>
              <w:ind w:left="567" w:hanging="567"/>
              <w:rPr>
                <w:rFonts w:ascii="Arial" w:eastAsia="Calibri" w:hAnsi="Arial" w:cs="Arial"/>
                <w:sz w:val="20"/>
                <w:szCs w:val="20"/>
                <w:lang w:val="fr-FR"/>
              </w:rPr>
            </w:pPr>
            <w:r>
              <w:rPr>
                <w:rFonts w:ascii="Arial" w:eastAsia="Calibri" w:hAnsi="Arial" w:cs="Arial"/>
                <w:sz w:val="20"/>
                <w:szCs w:val="20"/>
                <w:lang w:val="fr"/>
              </w:rPr>
              <w:t>4.3</w:t>
            </w:r>
            <w:r>
              <w:rPr>
                <w:rFonts w:ascii="Arial" w:eastAsia="Calibri" w:hAnsi="Arial" w:cs="Arial"/>
                <w:sz w:val="20"/>
                <w:szCs w:val="20"/>
                <w:lang w:val="fr"/>
              </w:rPr>
              <w:tab/>
              <w:t>Des programmes d’éducation et/ou des activités parascolaires, menés par des communautés, des groupes, des ONG et des institutions du patrimoine, sur le PCI et le renforcement de sa transmission sont disponibles et soutenus.</w:t>
            </w:r>
          </w:p>
        </w:tc>
        <w:tc>
          <w:tcPr>
            <w:tcW w:w="796" w:type="pct"/>
            <w:shd w:val="clear" w:color="auto" w:fill="auto"/>
            <w:vAlign w:val="center"/>
          </w:tcPr>
          <w:p w14:paraId="03ECD3D1" w14:textId="77777777" w:rsidR="000C28B9" w:rsidRPr="00963017" w:rsidRDefault="000C28B9" w:rsidP="00C707C3">
            <w:pPr>
              <w:keepLines/>
              <w:spacing w:before="120"/>
              <w:rPr>
                <w:rFonts w:ascii="Arial" w:hAnsi="Arial" w:cs="Arial"/>
                <w:sz w:val="20"/>
                <w:szCs w:val="20"/>
              </w:rPr>
            </w:pPr>
            <w:r>
              <w:rPr>
                <w:rFonts w:ascii="Arial" w:hAnsi="Arial" w:cs="Arial"/>
                <w:sz w:val="20"/>
                <w:szCs w:val="20"/>
                <w:lang w:val="fr"/>
              </w:rPr>
              <w:t>DO 109</w:t>
            </w:r>
          </w:p>
        </w:tc>
      </w:tr>
      <w:tr w:rsidR="000C28B9" w:rsidRPr="00963017" w14:paraId="2BE7F533" w14:textId="77777777" w:rsidTr="001C73C7">
        <w:trPr>
          <w:cantSplit/>
        </w:trPr>
        <w:tc>
          <w:tcPr>
            <w:tcW w:w="786" w:type="pct"/>
            <w:vMerge/>
            <w:shd w:val="clear" w:color="auto" w:fill="auto"/>
          </w:tcPr>
          <w:p w14:paraId="5B548B50" w14:textId="77777777" w:rsidR="000C28B9" w:rsidRPr="00963017" w:rsidRDefault="000C28B9" w:rsidP="000C28B9">
            <w:pPr>
              <w:spacing w:before="120"/>
              <w:rPr>
                <w:rFonts w:ascii="Arial" w:hAnsi="Arial" w:cs="Arial"/>
                <w:b/>
                <w:szCs w:val="22"/>
              </w:rPr>
            </w:pPr>
          </w:p>
        </w:tc>
        <w:tc>
          <w:tcPr>
            <w:tcW w:w="3418" w:type="pct"/>
            <w:shd w:val="clear" w:color="auto" w:fill="auto"/>
            <w:vAlign w:val="center"/>
          </w:tcPr>
          <w:p w14:paraId="557174C5" w14:textId="3DCB3CE3" w:rsidR="000C28B9" w:rsidRPr="006F1A3E" w:rsidRDefault="000C28B9" w:rsidP="00256596">
            <w:pPr>
              <w:keepLines/>
              <w:spacing w:before="120"/>
              <w:ind w:left="567" w:hanging="567"/>
              <w:rPr>
                <w:rFonts w:ascii="Arial" w:eastAsia="Calibri" w:hAnsi="Arial" w:cs="Arial"/>
                <w:sz w:val="20"/>
                <w:szCs w:val="20"/>
                <w:lang w:val="fr-FR"/>
              </w:rPr>
            </w:pPr>
            <w:r>
              <w:rPr>
                <w:rFonts w:ascii="Arial" w:eastAsia="Calibri" w:hAnsi="Arial" w:cs="Arial"/>
                <w:sz w:val="20"/>
                <w:szCs w:val="20"/>
                <w:lang w:val="fr"/>
              </w:rPr>
              <w:t>4.4</w:t>
            </w:r>
            <w:r>
              <w:rPr>
                <w:rFonts w:ascii="Arial" w:eastAsia="Calibri" w:hAnsi="Arial" w:cs="Arial"/>
                <w:sz w:val="20"/>
                <w:szCs w:val="20"/>
                <w:lang w:val="fr"/>
              </w:rPr>
              <w:tab/>
              <w:t xml:space="preserve">Des programmes de formation des enseignants et des programmes pour les prestataires de services de formation de l’éducation non formelle comprennent des approches </w:t>
            </w:r>
            <w:r w:rsidR="00D41827">
              <w:rPr>
                <w:rFonts w:ascii="Arial" w:eastAsia="Calibri" w:hAnsi="Arial" w:cs="Arial"/>
                <w:sz w:val="20"/>
                <w:szCs w:val="20"/>
                <w:lang w:val="fr"/>
              </w:rPr>
              <w:t xml:space="preserve">visant </w:t>
            </w:r>
            <w:r>
              <w:rPr>
                <w:rFonts w:ascii="Arial" w:eastAsia="Calibri" w:hAnsi="Arial" w:cs="Arial"/>
                <w:sz w:val="20"/>
                <w:szCs w:val="20"/>
                <w:lang w:val="fr"/>
              </w:rPr>
              <w:t>à l’intégration du PCI et de sa sauvegarde dans l’éducation.</w:t>
            </w:r>
          </w:p>
        </w:tc>
        <w:tc>
          <w:tcPr>
            <w:tcW w:w="796" w:type="pct"/>
            <w:shd w:val="clear" w:color="auto" w:fill="auto"/>
            <w:vAlign w:val="center"/>
          </w:tcPr>
          <w:p w14:paraId="7C999B4E" w14:textId="79F171D1" w:rsidR="000C28B9" w:rsidRPr="00963017" w:rsidRDefault="0039166E" w:rsidP="00C707C3">
            <w:pPr>
              <w:keepLines/>
              <w:spacing w:before="120"/>
              <w:rPr>
                <w:rFonts w:ascii="Arial" w:hAnsi="Arial" w:cs="Arial"/>
                <w:sz w:val="20"/>
                <w:szCs w:val="20"/>
              </w:rPr>
            </w:pPr>
            <w:r>
              <w:rPr>
                <w:rFonts w:ascii="Arial" w:hAnsi="Arial" w:cs="Arial"/>
                <w:sz w:val="20"/>
                <w:szCs w:val="20"/>
                <w:lang w:val="fr"/>
              </w:rPr>
              <w:t>Article 14</w:t>
            </w:r>
          </w:p>
        </w:tc>
      </w:tr>
      <w:tr w:rsidR="005473CF" w:rsidRPr="00BE5514" w14:paraId="6764ABB7" w14:textId="77777777" w:rsidTr="001C73C7">
        <w:trPr>
          <w:cantSplit/>
        </w:trPr>
        <w:tc>
          <w:tcPr>
            <w:tcW w:w="786" w:type="pct"/>
            <w:shd w:val="clear" w:color="auto" w:fill="auto"/>
          </w:tcPr>
          <w:p w14:paraId="7CB674B9" w14:textId="77777777" w:rsidR="005473CF" w:rsidRPr="006F1A3E"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7EA8DD2E" w14:textId="3E482662" w:rsidR="005473CF" w:rsidRPr="006F1A3E" w:rsidRDefault="005473CF" w:rsidP="005473CF">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Cet indicateur complète l</w:t>
            </w:r>
            <w:r w:rsidR="000A6128">
              <w:rPr>
                <w:rFonts w:ascii="Arial" w:hAnsi="Arial" w:cs="Arial"/>
                <w:szCs w:val="22"/>
                <w:lang w:val="fr"/>
              </w:rPr>
              <w:t>a cible</w:t>
            </w:r>
            <w:r>
              <w:rPr>
                <w:rFonts w:ascii="Arial" w:hAnsi="Arial" w:cs="Arial"/>
                <w:szCs w:val="22"/>
                <w:lang w:val="fr"/>
              </w:rPr>
              <w:t xml:space="preserve"> 4.7 des ODD, en particulier dans la mesure où il concerne l'éducation destinée à favoriser « l'appréciation de la diversité culturelle et de la contribution de la culture au développement durable ». D'une manière plus générale, il contribue également à </w:t>
            </w:r>
            <w:r w:rsidR="000A6128">
              <w:rPr>
                <w:rFonts w:ascii="Arial" w:hAnsi="Arial" w:cs="Arial"/>
                <w:szCs w:val="22"/>
                <w:lang w:val="fr"/>
              </w:rPr>
              <w:t xml:space="preserve">la cible </w:t>
            </w:r>
            <w:r>
              <w:rPr>
                <w:rFonts w:ascii="Arial" w:hAnsi="Arial" w:cs="Arial"/>
                <w:szCs w:val="22"/>
                <w:lang w:val="fr"/>
              </w:rPr>
              <w:t>11.4 des ODD, « Renforcer les efforts pour protéger et sauvegarder le patrimoine culturel et naturel de l'humanité. ».</w:t>
            </w:r>
          </w:p>
          <w:p w14:paraId="2F3A3735" w14:textId="40706B3E" w:rsidR="005473CF" w:rsidRPr="006F1A3E" w:rsidRDefault="005473CF" w:rsidP="00882161">
            <w:pPr>
              <w:keepLines/>
              <w:spacing w:before="120"/>
              <w:jc w:val="both"/>
              <w:rPr>
                <w:rFonts w:ascii="Arial" w:hAnsi="Arial" w:cs="Arial"/>
                <w:bCs/>
                <w:szCs w:val="22"/>
                <w:lang w:val="fr-FR"/>
              </w:rPr>
            </w:pPr>
            <w:r>
              <w:rPr>
                <w:rFonts w:ascii="Arial" w:hAnsi="Arial" w:cs="Arial"/>
                <w:b/>
                <w:bCs/>
                <w:szCs w:val="22"/>
                <w:lang w:val="fr"/>
              </w:rPr>
              <w:t>Relation avec d'autres indicateurs :</w:t>
            </w:r>
            <w:r>
              <w:rPr>
                <w:rFonts w:ascii="Arial" w:hAnsi="Arial" w:cs="Arial"/>
                <w:szCs w:val="22"/>
                <w:lang w:val="fr"/>
              </w:rPr>
              <w:t xml:space="preserve"> Les indicateurs 4, 5 et 6 concernent tous la transmission du PCI et l'éducation, mais chacun met en lumière un domaine particulier. L'indicateur 4 englobe ici l'éducation formelle et non formelle et se concentre sur le renforcement de la transmission du PCI et la promotion du respect de celui-ci. L'indicateur 5 se concentre sur l'enseignement primaire et secondaire et sur la manière dont le PCI peut renforcer l'apprentissage, tandis que l'indicateur 6 concerne l'enseignement postsecondaire, en particulier lorsque cet enseignement vise à renforcer la pratique et la transmission et à étudier la place du PCI dans la société. Ces trois indicateurs doivent être distingués des indicateurs 2 et 3 qui ne sont pas axés sur l'apprentissage du PCI lui-même, mais sur la formation des personnes impliquées dans sa sauvegarde et sa gestion. L'indicateur 12 concerne les politiques éducatives, l'accent étant mis ici sur les programmes et activités. </w:t>
            </w:r>
          </w:p>
        </w:tc>
      </w:tr>
      <w:tr w:rsidR="00896177" w:rsidRPr="00BE5514" w14:paraId="72C192B1" w14:textId="77777777" w:rsidTr="001C73C7">
        <w:trPr>
          <w:cantSplit/>
        </w:trPr>
        <w:tc>
          <w:tcPr>
            <w:tcW w:w="786" w:type="pct"/>
            <w:shd w:val="clear" w:color="auto" w:fill="auto"/>
          </w:tcPr>
          <w:p w14:paraId="1C1C85EA" w14:textId="77777777" w:rsidR="00896177" w:rsidRPr="00963017" w:rsidRDefault="002C28BA" w:rsidP="00A7283F">
            <w:pPr>
              <w:spacing w:before="120"/>
              <w:rPr>
                <w:rFonts w:ascii="Arial" w:hAnsi="Arial" w:cs="Arial"/>
                <w:b/>
                <w:szCs w:val="22"/>
              </w:rPr>
            </w:pPr>
            <w:r>
              <w:rPr>
                <w:rFonts w:ascii="Arial" w:hAnsi="Arial" w:cs="Arial"/>
                <w:b/>
                <w:bCs/>
                <w:szCs w:val="22"/>
                <w:lang w:val="fr"/>
              </w:rPr>
              <w:lastRenderedPageBreak/>
              <w:t>Justification de l'action</w:t>
            </w:r>
          </w:p>
        </w:tc>
        <w:tc>
          <w:tcPr>
            <w:tcW w:w="4214" w:type="pct"/>
            <w:gridSpan w:val="2"/>
            <w:shd w:val="clear" w:color="auto" w:fill="auto"/>
          </w:tcPr>
          <w:p w14:paraId="0D4A3435" w14:textId="6EB401F5" w:rsidR="00704766" w:rsidRPr="006F1A3E" w:rsidRDefault="00294AE9" w:rsidP="00156614">
            <w:pPr>
              <w:keepLines/>
              <w:spacing w:before="120"/>
              <w:jc w:val="both"/>
              <w:rPr>
                <w:rFonts w:asciiTheme="minorBidi" w:hAnsiTheme="minorBidi" w:cstheme="minorBidi"/>
                <w:szCs w:val="22"/>
                <w:lang w:val="fr-FR"/>
              </w:rPr>
            </w:pPr>
            <w:r>
              <w:rPr>
                <w:rFonts w:asciiTheme="minorBidi" w:hAnsiTheme="minorBidi" w:cstheme="minorBidi"/>
                <w:szCs w:val="22"/>
                <w:lang w:val="fr"/>
              </w:rPr>
              <w:t>Dans la Convention, l'éducation occupe une place prépondérante parmi les responsabilités de sauvegarde de l'État au niveau national. L'article 14(a)(i) souligne l'importance des programmes éducatifs destinés au grand public, et en particulier aux jeunes, tandis que l'article 14(a)(ii) concerne les programmes éducatifs des communautés et groupes concernés. La pertinence des moyens non formels de transmission des connaissances est soulignée par l'article 14 (a)(iv). Les États ont conçu un large éventail de stratégies et d'approches éducatives créatives pour s'acquitter de ces responsabilités. De nombreuses activités ont lieu en dehors de la journée scolaire régulière et s'adressent aux enfants et aux adultes. Bien qu'elles soient souvent soutenues en tant qu'éléments du système éducatif d'un État, elles peuvent aussi être fournies par des communautés, des groupes, des organisations non gouvernementales ou autres, et ne font pas nécessairement partie du programme scolaire officiel. Cette approche peut offrir des méthodes pédagogiques novatrices susceptibles de renforcer le système éducatif dans son ensemble, en particulier lorsque les praticiens et les porteurs participent à la conception et à la mise en œuvre de ces programmes, et lorsqu'ils utilisent leurs propres modes et méthodes d'enseignement et d'apprentissage.</w:t>
            </w:r>
          </w:p>
        </w:tc>
      </w:tr>
      <w:tr w:rsidR="00704766" w:rsidRPr="00963017" w14:paraId="29145919" w14:textId="77777777" w:rsidTr="001C73C7">
        <w:trPr>
          <w:cantSplit/>
        </w:trPr>
        <w:tc>
          <w:tcPr>
            <w:tcW w:w="786" w:type="pct"/>
            <w:shd w:val="clear" w:color="auto" w:fill="auto"/>
          </w:tcPr>
          <w:p w14:paraId="0B0E7A56" w14:textId="77777777" w:rsidR="00704766" w:rsidRPr="00963017"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t>Termes clés</w:t>
            </w:r>
          </w:p>
        </w:tc>
        <w:tc>
          <w:tcPr>
            <w:tcW w:w="4214" w:type="pct"/>
            <w:gridSpan w:val="2"/>
            <w:shd w:val="clear" w:color="auto" w:fill="auto"/>
          </w:tcPr>
          <w:p w14:paraId="4577F0F6" w14:textId="77777777" w:rsidR="007B5657" w:rsidRPr="00963017" w:rsidRDefault="007B565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Éducation formelle</w:t>
            </w:r>
          </w:p>
          <w:p w14:paraId="2563DE4B" w14:textId="77777777" w:rsidR="007B5657" w:rsidRPr="00963017" w:rsidRDefault="007B565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Éducation non formelle</w:t>
            </w:r>
          </w:p>
          <w:p w14:paraId="03539D52" w14:textId="77777777" w:rsidR="00704766" w:rsidRPr="00963017" w:rsidRDefault="007B565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Praticiens et porteurs</w:t>
            </w:r>
          </w:p>
          <w:p w14:paraId="39C6FD80" w14:textId="77777777" w:rsidR="007B5657" w:rsidRPr="00963017" w:rsidRDefault="007B565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Inclusif/de manière inclusive</w:t>
            </w:r>
          </w:p>
          <w:p w14:paraId="21F7DF83" w14:textId="77777777" w:rsidR="007B5657" w:rsidRPr="006F1A3E" w:rsidRDefault="007B5657"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Communautés, groupes ou, dans certains cas, individus</w:t>
            </w:r>
          </w:p>
          <w:p w14:paraId="3D465E0F" w14:textId="77777777" w:rsidR="007B5657" w:rsidRPr="00963017" w:rsidRDefault="007B565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Activités parascolaires</w:t>
            </w:r>
          </w:p>
          <w:p w14:paraId="4F934B80" w14:textId="2E22F90B" w:rsidR="007B5657" w:rsidRPr="00963017" w:rsidRDefault="007B565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Organisations non gouvernementales</w:t>
            </w:r>
          </w:p>
          <w:p w14:paraId="60C45679" w14:textId="77777777" w:rsidR="007B5657" w:rsidRDefault="007B565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Établissements du patrimoine</w:t>
            </w:r>
          </w:p>
          <w:p w14:paraId="67364C27" w14:textId="77777777" w:rsidR="00B7231C" w:rsidRPr="00963017" w:rsidRDefault="00B7231C"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Formation</w:t>
            </w:r>
          </w:p>
        </w:tc>
      </w:tr>
    </w:tbl>
    <w:p w14:paraId="0CAAE143" w14:textId="77777777" w:rsidR="0054175C" w:rsidRPr="00963017" w:rsidRDefault="0054175C" w:rsidP="0054175C">
      <w:pPr>
        <w:jc w:val="center"/>
        <w:rPr>
          <w:rFonts w:ascii="Arial" w:hAnsi="Arial" w:cs="Arial"/>
          <w:b/>
          <w:sz w:val="24"/>
        </w:rPr>
        <w:sectPr w:rsidR="0054175C" w:rsidRPr="00963017" w:rsidSect="000F25BA">
          <w:footerReference w:type="default" r:id="rId8"/>
          <w:pgSz w:w="11906" w:h="16838" w:code="9"/>
          <w:pgMar w:top="1418" w:right="1134" w:bottom="1134" w:left="1134" w:header="397" w:footer="284" w:gutter="0"/>
          <w:cols w:space="708"/>
          <w:docGrid w:linePitch="360"/>
        </w:sectPr>
      </w:pPr>
    </w:p>
    <w:p w14:paraId="12907E44" w14:textId="77777777" w:rsidR="0054175C" w:rsidRPr="006F1A3E" w:rsidRDefault="0054175C" w:rsidP="00704766">
      <w:pPr>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BE5514" w14:paraId="30EC5303" w14:textId="77777777" w:rsidTr="00214C60">
        <w:tc>
          <w:tcPr>
            <w:tcW w:w="747" w:type="pct"/>
            <w:shd w:val="clear" w:color="auto" w:fill="auto"/>
          </w:tcPr>
          <w:p w14:paraId="4C48AFA6" w14:textId="77777777" w:rsidR="002C28BA" w:rsidRPr="00963017"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1B874EF2" w14:textId="7238DBE1" w:rsidR="002C28BA" w:rsidRPr="006F1A3E" w:rsidRDefault="0008510F" w:rsidP="0008510F">
            <w:pPr>
              <w:keepLines/>
              <w:spacing w:before="120"/>
              <w:jc w:val="both"/>
              <w:rPr>
                <w:rFonts w:ascii="Arial" w:hAnsi="Arial" w:cs="Arial"/>
                <w:bCs/>
                <w:szCs w:val="22"/>
                <w:lang w:val="fr-FR"/>
              </w:rPr>
            </w:pPr>
            <w:r>
              <w:rPr>
                <w:rFonts w:ascii="Arial" w:hAnsi="Arial" w:cs="Arial"/>
                <w:szCs w:val="22"/>
                <w:lang w:val="fr"/>
              </w:rPr>
              <w:t>Cet indicateur peut aider un État à identifier et à suivre les programmes et stratégies éducatifs novateurs sur son territoire. Le fait d'avoir une vue d'ensemble des diverses initiatives et de leurs résultats peut aider l'État à identifier des approches et des modèles efficaces et peut également indiquer les possibilités d'étendre ces approches à des contextes où elles n'ont pas encore été introduites. Le suivi peut également mettre en évidence des lacunes dans les services existants et aider à éclairer les interventions futures. Au niveau mondial, le suivi peut aider les États à échanger des données d'expérience sur les programmes éducatifs qui se sont avérés efficaces (ou non). Ce faisant, ils peuvent mieux déterminer quelles approches sont les mieux adaptées à leur propre situation.</w:t>
            </w:r>
          </w:p>
        </w:tc>
      </w:tr>
      <w:tr w:rsidR="0054175C" w:rsidRPr="00BE5514" w14:paraId="2675C80E" w14:textId="77777777" w:rsidTr="00214C60">
        <w:tc>
          <w:tcPr>
            <w:tcW w:w="747" w:type="pct"/>
            <w:shd w:val="clear" w:color="auto" w:fill="auto"/>
          </w:tcPr>
          <w:p w14:paraId="75395D4C" w14:textId="77777777" w:rsidR="0054175C" w:rsidRPr="006F1A3E"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34BD2A31" w14:textId="1089EBD2" w:rsidR="0054175C" w:rsidRPr="006F1A3E" w:rsidRDefault="00A112A8" w:rsidP="0054175C">
            <w:pPr>
              <w:spacing w:before="120"/>
              <w:jc w:val="both"/>
              <w:rPr>
                <w:rFonts w:ascii="Arial" w:hAnsi="Arial" w:cs="Arial"/>
                <w:szCs w:val="22"/>
                <w:lang w:val="fr-FR"/>
              </w:rPr>
            </w:pPr>
            <w:r>
              <w:rPr>
                <w:rFonts w:ascii="Arial" w:hAnsi="Arial" w:cs="Arial"/>
                <w:szCs w:val="22"/>
                <w:lang w:val="fr"/>
              </w:rPr>
              <w:t>Les responsables du suivi et de l'établissement des rapports souhaiteront peut-être collaborer étroitement avec leurs homologues du Ministère de l'éducation (pour les facteurs d'</w:t>
            </w:r>
            <w:r w:rsidR="00B447BF" w:rsidRPr="00B447BF">
              <w:rPr>
                <w:rFonts w:ascii="Arial" w:hAnsi="Arial" w:cs="Arial"/>
                <w:szCs w:val="22"/>
                <w:lang w:val="fr"/>
              </w:rPr>
              <w:t>appréciation</w:t>
            </w:r>
            <w:r>
              <w:rPr>
                <w:rFonts w:ascii="Arial" w:hAnsi="Arial" w:cs="Arial"/>
                <w:szCs w:val="22"/>
                <w:lang w:val="fr"/>
              </w:rPr>
              <w:t xml:space="preserve"> 4.1, 4.2 et 4.3) et du Ministère de l'enseignement supérieur (pour le facteur d'</w:t>
            </w:r>
            <w:r w:rsidR="00ED6E9C" w:rsidRPr="00ED6E9C">
              <w:rPr>
                <w:rFonts w:ascii="Arial" w:hAnsi="Arial" w:cs="Arial"/>
                <w:szCs w:val="22"/>
                <w:lang w:val="fr"/>
              </w:rPr>
              <w:t>appréciation</w:t>
            </w:r>
            <w:r>
              <w:rPr>
                <w:rFonts w:ascii="Arial" w:hAnsi="Arial" w:cs="Arial"/>
                <w:szCs w:val="22"/>
                <w:lang w:val="fr"/>
              </w:rPr>
              <w:t xml:space="preserve"> 4.4). Les instituts de recherche en éducation ou les </w:t>
            </w:r>
            <w:r>
              <w:rPr>
                <w:rFonts w:ascii="Arial" w:hAnsi="Arial" w:cs="Arial"/>
                <w:lang w:val="fr"/>
              </w:rPr>
              <w:t>établissements de formation des enseignants</w:t>
            </w:r>
            <w:r>
              <w:rPr>
                <w:rFonts w:ascii="Arial" w:hAnsi="Arial" w:cs="Arial"/>
                <w:szCs w:val="22"/>
                <w:lang w:val="fr"/>
              </w:rPr>
              <w:t xml:space="preserve"> peuvent entreprendre des recherches sur la conception des programmes et les méthodes d'enseignement et peuvent être chargés d'évaluer leur efficacité et d'en contrôler les résultats. Les programmes de formation des enseignants et des éducateurs non formels seront généralement mis en œuvre par des </w:t>
            </w:r>
            <w:r>
              <w:rPr>
                <w:rFonts w:ascii="Arial" w:hAnsi="Arial" w:cs="Arial"/>
                <w:lang w:val="fr"/>
              </w:rPr>
              <w:t>établissements de formation des enseignants</w:t>
            </w:r>
            <w:r>
              <w:rPr>
                <w:rFonts w:ascii="Arial" w:hAnsi="Arial" w:cs="Arial"/>
                <w:szCs w:val="22"/>
                <w:lang w:val="fr"/>
              </w:rPr>
              <w:t>, sous la supervision du Ministère de l'enseignement supérieur, et leurs programmes et approches devraient être accessibles.</w:t>
            </w:r>
          </w:p>
          <w:p w14:paraId="58085DC2" w14:textId="77777777" w:rsidR="0054175C" w:rsidRPr="00963017" w:rsidRDefault="00BE5B3F"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5401D203" w14:textId="77777777" w:rsidR="00963017" w:rsidRPr="00963017" w:rsidRDefault="00963017" w:rsidP="00963017">
            <w:pPr>
              <w:pStyle w:val="Paragraphedeliste"/>
              <w:numPr>
                <w:ilvl w:val="0"/>
                <w:numId w:val="73"/>
              </w:numPr>
              <w:spacing w:before="120"/>
              <w:jc w:val="both"/>
              <w:rPr>
                <w:rFonts w:ascii="Arial" w:hAnsi="Arial" w:cs="Arial"/>
              </w:rPr>
            </w:pPr>
            <w:r>
              <w:rPr>
                <w:rFonts w:ascii="Arial" w:hAnsi="Arial" w:cs="Arial"/>
                <w:lang w:val="fr"/>
              </w:rPr>
              <w:t>Programmes d'études ou normes d'enseignement</w:t>
            </w:r>
          </w:p>
          <w:p w14:paraId="64E2A490" w14:textId="77777777" w:rsidR="00963017" w:rsidRPr="006F1A3E" w:rsidRDefault="00963017" w:rsidP="00963017">
            <w:pPr>
              <w:pStyle w:val="Paragraphedeliste"/>
              <w:numPr>
                <w:ilvl w:val="0"/>
                <w:numId w:val="73"/>
              </w:numPr>
              <w:spacing w:before="120"/>
              <w:jc w:val="both"/>
              <w:rPr>
                <w:rFonts w:ascii="Arial" w:hAnsi="Arial" w:cs="Arial"/>
                <w:lang w:val="fr-FR"/>
              </w:rPr>
            </w:pPr>
            <w:r>
              <w:rPr>
                <w:rFonts w:ascii="Arial" w:hAnsi="Arial" w:cs="Arial"/>
                <w:lang w:val="fr"/>
              </w:rPr>
              <w:t>Programmes d'études et listes de cours des établissements de formation des enseignants</w:t>
            </w:r>
          </w:p>
          <w:p w14:paraId="65D02298" w14:textId="77777777" w:rsidR="0054175C" w:rsidRPr="006F1A3E" w:rsidRDefault="00963017" w:rsidP="00BE5B3F">
            <w:pPr>
              <w:pStyle w:val="Paragraphedeliste"/>
              <w:numPr>
                <w:ilvl w:val="0"/>
                <w:numId w:val="73"/>
              </w:numPr>
              <w:spacing w:before="120"/>
              <w:jc w:val="both"/>
              <w:rPr>
                <w:rFonts w:ascii="Arial" w:hAnsi="Arial" w:cs="Arial"/>
                <w:lang w:val="fr-FR"/>
              </w:rPr>
            </w:pPr>
            <w:r>
              <w:rPr>
                <w:rFonts w:ascii="Arial" w:hAnsi="Arial" w:cs="Arial"/>
                <w:lang w:val="fr"/>
              </w:rPr>
              <w:t>Suivi et rapports périodiques des ministères de l'éducation et de l'enseignement supérieur</w:t>
            </w:r>
          </w:p>
          <w:p w14:paraId="7CCC0BD7" w14:textId="77777777" w:rsidR="00963017" w:rsidRPr="006F1A3E" w:rsidRDefault="00963017" w:rsidP="00BE5B3F">
            <w:pPr>
              <w:pStyle w:val="Paragraphedeliste"/>
              <w:numPr>
                <w:ilvl w:val="0"/>
                <w:numId w:val="73"/>
              </w:numPr>
              <w:spacing w:before="120"/>
              <w:jc w:val="both"/>
              <w:rPr>
                <w:rFonts w:ascii="Arial" w:hAnsi="Arial" w:cs="Arial"/>
                <w:lang w:val="fr-FR"/>
              </w:rPr>
            </w:pPr>
            <w:r>
              <w:rPr>
                <w:rFonts w:ascii="Arial" w:hAnsi="Arial" w:cs="Arial"/>
                <w:lang w:val="fr"/>
              </w:rPr>
              <w:t>Statistiques de l'éducation, enquêtes, évaluations et rapports annuels ou périodiques sur les résultats scolaires</w:t>
            </w:r>
          </w:p>
          <w:p w14:paraId="3AEF2327" w14:textId="1628823A" w:rsidR="00D80805" w:rsidRPr="006F1A3E" w:rsidRDefault="001E3F49" w:rsidP="00BE5B3F">
            <w:pPr>
              <w:pStyle w:val="Paragraphedeliste"/>
              <w:numPr>
                <w:ilvl w:val="0"/>
                <w:numId w:val="73"/>
              </w:numPr>
              <w:spacing w:before="120"/>
              <w:jc w:val="both"/>
              <w:rPr>
                <w:rFonts w:ascii="Arial" w:hAnsi="Arial" w:cs="Arial"/>
                <w:lang w:val="fr-FR"/>
              </w:rPr>
            </w:pPr>
            <w:r>
              <w:rPr>
                <w:rFonts w:ascii="Arial" w:hAnsi="Arial" w:cs="Arial"/>
                <w:lang w:val="fr"/>
              </w:rPr>
              <w:t>Rapport sur l'ODD 4, en particulier l</w:t>
            </w:r>
            <w:r w:rsidR="00B4669E">
              <w:rPr>
                <w:rFonts w:ascii="Arial" w:hAnsi="Arial" w:cs="Arial"/>
                <w:lang w:val="fr"/>
              </w:rPr>
              <w:t xml:space="preserve">a cible </w:t>
            </w:r>
            <w:r>
              <w:rPr>
                <w:rFonts w:ascii="Arial" w:hAnsi="Arial" w:cs="Arial"/>
                <w:lang w:val="fr"/>
              </w:rPr>
              <w:t>4.7</w:t>
            </w:r>
          </w:p>
          <w:p w14:paraId="03246650" w14:textId="77777777" w:rsidR="00963017" w:rsidRPr="006F1A3E" w:rsidRDefault="00963017" w:rsidP="00BE5B3F">
            <w:pPr>
              <w:pStyle w:val="Paragraphedeliste"/>
              <w:numPr>
                <w:ilvl w:val="0"/>
                <w:numId w:val="73"/>
              </w:numPr>
              <w:spacing w:before="120"/>
              <w:jc w:val="both"/>
              <w:rPr>
                <w:rFonts w:ascii="Arial" w:hAnsi="Arial" w:cs="Arial"/>
                <w:lang w:val="fr-FR"/>
              </w:rPr>
            </w:pPr>
            <w:r>
              <w:rPr>
                <w:rFonts w:ascii="Arial" w:hAnsi="Arial" w:cs="Arial"/>
                <w:lang w:val="fr"/>
              </w:rPr>
              <w:t>Résultats des recherches sur la conception des programmes d'éducation et sur les méthodes et approches pédagogiques</w:t>
            </w:r>
          </w:p>
        </w:tc>
      </w:tr>
    </w:tbl>
    <w:p w14:paraId="749A37A8" w14:textId="77777777" w:rsidR="00320242" w:rsidRPr="00963017" w:rsidRDefault="00320242" w:rsidP="00A5709F">
      <w:pPr>
        <w:rPr>
          <w:rFonts w:ascii="Arial" w:hAnsi="Arial" w:cs="Arial"/>
        </w:rPr>
      </w:pPr>
    </w:p>
    <w:sectPr w:rsidR="00320242" w:rsidRPr="00963017"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819F3" w14:textId="77777777" w:rsidR="00597B2D" w:rsidRDefault="00597B2D" w:rsidP="002938F2">
      <w:r>
        <w:separator/>
      </w:r>
    </w:p>
    <w:p w14:paraId="50F86AA6" w14:textId="77777777" w:rsidR="00597B2D" w:rsidRDefault="00597B2D"/>
  </w:endnote>
  <w:endnote w:type="continuationSeparator" w:id="0">
    <w:p w14:paraId="225C75D9" w14:textId="77777777" w:rsidR="00597B2D" w:rsidRDefault="00597B2D" w:rsidP="002938F2">
      <w:r>
        <w:continuationSeparator/>
      </w:r>
    </w:p>
    <w:p w14:paraId="5021B8A2" w14:textId="77777777" w:rsidR="00597B2D" w:rsidRDefault="00597B2D"/>
  </w:endnote>
  <w:endnote w:type="continuationNotice" w:id="1">
    <w:p w14:paraId="1295A5E3" w14:textId="77777777" w:rsidR="00597B2D" w:rsidRDefault="00597B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F061" w14:textId="20FFD842" w:rsidR="00C04344" w:rsidRPr="000A0709" w:rsidRDefault="00F65B5C"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sidR="006F1A3E">
      <w:rPr>
        <w:rFonts w:ascii="Arial" w:hAnsi="Arial" w:cs="Arial"/>
        <w:noProof/>
        <w:lang w:val="fr"/>
      </w:rPr>
      <w:t>3</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A202" w14:textId="77777777" w:rsidR="00597B2D" w:rsidRDefault="00597B2D" w:rsidP="002938F2">
      <w:r>
        <w:separator/>
      </w:r>
    </w:p>
  </w:footnote>
  <w:footnote w:type="continuationSeparator" w:id="0">
    <w:p w14:paraId="09C908BB" w14:textId="77777777" w:rsidR="00597B2D" w:rsidRDefault="00597B2D" w:rsidP="002938F2">
      <w:r>
        <w:continuationSeparator/>
      </w:r>
    </w:p>
    <w:p w14:paraId="0060A0AA" w14:textId="77777777" w:rsidR="00597B2D" w:rsidRDefault="00597B2D"/>
  </w:footnote>
  <w:footnote w:type="continuationNotice" w:id="1">
    <w:p w14:paraId="2474AA69" w14:textId="77777777" w:rsidR="00597B2D" w:rsidRDefault="00597B2D">
      <w:pPr>
        <w:spacing w:after="0"/>
      </w:pPr>
    </w:p>
  </w:footnote>
  <w:footnote w:id="2">
    <w:p w14:paraId="5C6C5D0F" w14:textId="46EC57E3" w:rsidR="000C28B9" w:rsidRPr="006F1A3E" w:rsidRDefault="000C28B9" w:rsidP="00402EDD">
      <w:pPr>
        <w:pStyle w:val="Notedebasdepage"/>
        <w:spacing w:before="60" w:after="60"/>
        <w:ind w:left="567" w:hanging="567"/>
        <w:jc w:val="both"/>
        <w:rPr>
          <w:rFonts w:ascii="Arial" w:hAnsi="Arial" w:cs="Arial"/>
          <w:sz w:val="18"/>
          <w:szCs w:val="18"/>
          <w:lang w:val="fr-FR"/>
        </w:rPr>
      </w:pPr>
      <w:r>
        <w:rPr>
          <w:rFonts w:ascii="Arial" w:hAnsi="Arial" w:cs="Arial"/>
          <w:sz w:val="18"/>
          <w:szCs w:val="18"/>
          <w:lang w:val="fr"/>
        </w:rPr>
        <w:footnoteRef/>
      </w:r>
      <w:r>
        <w:rPr>
          <w:rFonts w:ascii="Arial" w:hAnsi="Arial" w:cs="Arial"/>
          <w:sz w:val="18"/>
          <w:szCs w:val="18"/>
          <w:lang w:val="fr"/>
        </w:rPr>
        <w:t>.</w:t>
      </w:r>
      <w:r>
        <w:rPr>
          <w:rFonts w:ascii="Arial" w:hAnsi="Arial" w:cs="Arial"/>
          <w:sz w:val="18"/>
          <w:szCs w:val="18"/>
          <w:lang w:val="fr"/>
        </w:rPr>
        <w:tab/>
        <w:t>Bien que la Convention utilise systématiquement l</w:t>
      </w:r>
      <w:r w:rsidR="00B5105C">
        <w:rPr>
          <w:rFonts w:ascii="Arial" w:hAnsi="Arial" w:cs="Arial"/>
          <w:sz w:val="18"/>
          <w:szCs w:val="18"/>
          <w:lang w:val="fr"/>
        </w:rPr>
        <w:t>e libellé</w:t>
      </w:r>
      <w:r>
        <w:rPr>
          <w:rFonts w:ascii="Arial" w:hAnsi="Arial" w:cs="Arial"/>
          <w:sz w:val="18"/>
          <w:szCs w:val="18"/>
          <w:lang w:val="fr"/>
        </w:rPr>
        <w:t xml:space="preserve"> «</w:t>
      </w:r>
      <w:r w:rsidR="00B5105C">
        <w:rPr>
          <w:rFonts w:ascii="Arial" w:hAnsi="Arial" w:cs="Arial"/>
          <w:sz w:val="18"/>
          <w:szCs w:val="18"/>
          <w:lang w:val="fr"/>
        </w:rPr>
        <w:t xml:space="preserve"> les</w:t>
      </w:r>
      <w:r>
        <w:rPr>
          <w:rFonts w:ascii="Arial" w:hAnsi="Arial" w:cs="Arial"/>
          <w:sz w:val="18"/>
          <w:szCs w:val="18"/>
          <w:lang w:val="fr"/>
        </w:rPr>
        <w:t> communautés, groupes et individus », plusieurs facteurs d'</w:t>
      </w:r>
      <w:r w:rsidR="00B447BF" w:rsidRPr="00B447BF">
        <w:rPr>
          <w:rFonts w:ascii="Arial" w:hAnsi="Arial" w:cs="Arial"/>
          <w:sz w:val="18"/>
          <w:szCs w:val="18"/>
          <w:lang w:val="fr"/>
        </w:rPr>
        <w:t>appréciation</w:t>
      </w:r>
      <w:r>
        <w:rPr>
          <w:rFonts w:ascii="Arial" w:hAnsi="Arial" w:cs="Arial"/>
          <w:sz w:val="18"/>
          <w:szCs w:val="18"/>
          <w:lang w:val="fr"/>
        </w:rPr>
        <w:t>,</w:t>
      </w:r>
      <w:r w:rsidR="00B5105C">
        <w:rPr>
          <w:rFonts w:ascii="Arial" w:hAnsi="Arial" w:cs="Arial"/>
          <w:sz w:val="18"/>
          <w:szCs w:val="18"/>
          <w:lang w:val="fr"/>
        </w:rPr>
        <w:t xml:space="preserve"> tout</w:t>
      </w:r>
      <w:r>
        <w:rPr>
          <w:rFonts w:ascii="Arial" w:hAnsi="Arial" w:cs="Arial"/>
          <w:sz w:val="18"/>
          <w:szCs w:val="18"/>
          <w:lang w:val="fr"/>
        </w:rPr>
        <w:t xml:space="preserve"> comme </w:t>
      </w:r>
      <w:r w:rsidR="00B5105C">
        <w:rPr>
          <w:rFonts w:ascii="Arial" w:hAnsi="Arial" w:cs="Arial"/>
          <w:sz w:val="18"/>
          <w:szCs w:val="18"/>
          <w:lang w:val="fr"/>
        </w:rPr>
        <w:t>plusieurs</w:t>
      </w:r>
      <w:r>
        <w:rPr>
          <w:rFonts w:ascii="Arial" w:hAnsi="Arial" w:cs="Arial"/>
          <w:sz w:val="18"/>
          <w:szCs w:val="18"/>
          <w:lang w:val="fr"/>
        </w:rPr>
        <w:t xml:space="preserve"> </w:t>
      </w:r>
      <w:r w:rsidR="00B5105C">
        <w:rPr>
          <w:rFonts w:ascii="Arial" w:hAnsi="Arial" w:cs="Arial"/>
          <w:sz w:val="18"/>
          <w:szCs w:val="18"/>
          <w:lang w:val="fr"/>
        </w:rPr>
        <w:t>D</w:t>
      </w:r>
      <w:r>
        <w:rPr>
          <w:rFonts w:ascii="Arial" w:hAnsi="Arial" w:cs="Arial"/>
          <w:sz w:val="18"/>
          <w:szCs w:val="18"/>
          <w:lang w:val="fr"/>
        </w:rPr>
        <w:t xml:space="preserve">irectives opérationnelles, choisissent de se référer </w:t>
      </w:r>
      <w:r w:rsidR="004A6BD0">
        <w:rPr>
          <w:rFonts w:ascii="Arial" w:hAnsi="Arial" w:cs="Arial"/>
          <w:sz w:val="18"/>
          <w:szCs w:val="18"/>
          <w:lang w:val="fr"/>
        </w:rPr>
        <w:t>à</w:t>
      </w:r>
      <w:r>
        <w:rPr>
          <w:rFonts w:ascii="Arial" w:hAnsi="Arial" w:cs="Arial"/>
          <w:sz w:val="18"/>
          <w:szCs w:val="18"/>
          <w:lang w:val="fr"/>
        </w:rPr>
        <w:t xml:space="preserve"> « praticiens et </w:t>
      </w:r>
      <w:r w:rsidR="00B5105C">
        <w:rPr>
          <w:rFonts w:ascii="Arial" w:hAnsi="Arial" w:cs="Arial"/>
          <w:sz w:val="18"/>
          <w:szCs w:val="18"/>
          <w:lang w:val="fr"/>
        </w:rPr>
        <w:t>détenteurs</w:t>
      </w:r>
      <w:r>
        <w:rPr>
          <w:rFonts w:ascii="Arial" w:hAnsi="Arial" w:cs="Arial"/>
          <w:sz w:val="18"/>
          <w:szCs w:val="18"/>
          <w:lang w:val="fr"/>
        </w:rPr>
        <w:t xml:space="preserve"> » pour mieux identifier certains de leurs membres qui jouent un rôle spécifique en ce qui concerne leur </w:t>
      </w:r>
      <w:r w:rsidR="00B5105C">
        <w:rPr>
          <w:rFonts w:ascii="Arial" w:hAnsi="Arial" w:cs="Arial"/>
          <w:sz w:val="18"/>
          <w:szCs w:val="18"/>
          <w:lang w:val="fr"/>
        </w:rPr>
        <w:t>patrimoine culturel immatériel</w:t>
      </w:r>
      <w:r>
        <w:rPr>
          <w:rFonts w:ascii="Arial" w:hAnsi="Arial" w:cs="Arial"/>
          <w:sz w:val="18"/>
          <w:szCs w:val="18"/>
          <w:lang w:val="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1"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1"/>
  </w:num>
  <w:num w:numId="2">
    <w:abstractNumId w:val="25"/>
  </w:num>
  <w:num w:numId="3">
    <w:abstractNumId w:val="11"/>
  </w:num>
  <w:num w:numId="4">
    <w:abstractNumId w:val="53"/>
  </w:num>
  <w:num w:numId="5">
    <w:abstractNumId w:val="44"/>
  </w:num>
  <w:num w:numId="6">
    <w:abstractNumId w:val="4"/>
  </w:num>
  <w:num w:numId="7">
    <w:abstractNumId w:val="15"/>
  </w:num>
  <w:num w:numId="8">
    <w:abstractNumId w:val="24"/>
  </w:num>
  <w:num w:numId="9">
    <w:abstractNumId w:val="47"/>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7"/>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1"/>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5"/>
  </w:num>
  <w:num w:numId="35">
    <w:abstractNumId w:val="20"/>
  </w:num>
  <w:num w:numId="36">
    <w:abstractNumId w:val="39"/>
  </w:num>
  <w:num w:numId="37">
    <w:abstractNumId w:val="17"/>
  </w:num>
  <w:num w:numId="38">
    <w:abstractNumId w:val="9"/>
  </w:num>
  <w:num w:numId="39">
    <w:abstractNumId w:val="6"/>
  </w:num>
  <w:num w:numId="40">
    <w:abstractNumId w:val="19"/>
  </w:num>
  <w:num w:numId="41">
    <w:abstractNumId w:val="52"/>
  </w:num>
  <w:num w:numId="42">
    <w:abstractNumId w:val="49"/>
  </w:num>
  <w:num w:numId="43">
    <w:abstractNumId w:val="28"/>
  </w:num>
  <w:num w:numId="44">
    <w:abstractNumId w:val="12"/>
  </w:num>
  <w:num w:numId="45">
    <w:abstractNumId w:val="50"/>
  </w:num>
  <w:num w:numId="46">
    <w:abstractNumId w:val="5"/>
  </w:num>
  <w:num w:numId="47">
    <w:abstractNumId w:val="34"/>
  </w:num>
  <w:num w:numId="48">
    <w:abstractNumId w:val="54"/>
  </w:num>
  <w:num w:numId="49">
    <w:abstractNumId w:val="31"/>
  </w:num>
  <w:num w:numId="50">
    <w:abstractNumId w:val="29"/>
  </w:num>
  <w:num w:numId="51">
    <w:abstractNumId w:val="26"/>
  </w:num>
  <w:num w:numId="52">
    <w:abstractNumId w:val="36"/>
  </w:num>
  <w:num w:numId="53">
    <w:abstractNumId w:val="14"/>
  </w:num>
  <w:num w:numId="54">
    <w:abstractNumId w:val="1"/>
  </w:num>
  <w:num w:numId="55">
    <w:abstractNumId w:val="33"/>
  </w:num>
  <w:num w:numId="56">
    <w:abstractNumId w:val="38"/>
  </w:num>
  <w:num w:numId="57">
    <w:abstractNumId w:val="0"/>
  </w:num>
  <w:num w:numId="58">
    <w:abstractNumId w:val="3"/>
  </w:num>
  <w:num w:numId="59">
    <w:abstractNumId w:val="42"/>
  </w:num>
  <w:num w:numId="60">
    <w:abstractNumId w:val="2"/>
  </w:num>
  <w:num w:numId="61">
    <w:abstractNumId w:val="30"/>
  </w:num>
  <w:num w:numId="62">
    <w:abstractNumId w:val="21"/>
  </w:num>
  <w:num w:numId="63">
    <w:abstractNumId w:val="46"/>
  </w:num>
  <w:num w:numId="64">
    <w:abstractNumId w:val="18"/>
  </w:num>
  <w:num w:numId="65">
    <w:abstractNumId w:val="23"/>
  </w:num>
  <w:num w:numId="66">
    <w:abstractNumId w:val="43"/>
  </w:num>
  <w:num w:numId="67">
    <w:abstractNumId w:val="35"/>
  </w:num>
  <w:num w:numId="68">
    <w:abstractNumId w:val="13"/>
  </w:num>
  <w:num w:numId="69">
    <w:abstractNumId w:val="40"/>
  </w:num>
  <w:num w:numId="70">
    <w:abstractNumId w:val="32"/>
  </w:num>
  <w:num w:numId="71">
    <w:abstractNumId w:val="27"/>
  </w:num>
  <w:num w:numId="72">
    <w:abstractNumId w:val="48"/>
  </w:num>
  <w:num w:numId="73">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8B9"/>
    <w:rsid w:val="000016A4"/>
    <w:rsid w:val="000019DB"/>
    <w:rsid w:val="000047CC"/>
    <w:rsid w:val="00005BA5"/>
    <w:rsid w:val="00005BFA"/>
    <w:rsid w:val="00006F66"/>
    <w:rsid w:val="00010E2D"/>
    <w:rsid w:val="000120FD"/>
    <w:rsid w:val="00013A65"/>
    <w:rsid w:val="00014D1D"/>
    <w:rsid w:val="0001506E"/>
    <w:rsid w:val="00015B9D"/>
    <w:rsid w:val="0001601A"/>
    <w:rsid w:val="00021831"/>
    <w:rsid w:val="00022C19"/>
    <w:rsid w:val="00031A37"/>
    <w:rsid w:val="00036843"/>
    <w:rsid w:val="00047E58"/>
    <w:rsid w:val="00052E81"/>
    <w:rsid w:val="00054FDC"/>
    <w:rsid w:val="000632E2"/>
    <w:rsid w:val="000677E3"/>
    <w:rsid w:val="0007203D"/>
    <w:rsid w:val="000729D2"/>
    <w:rsid w:val="00073D20"/>
    <w:rsid w:val="00074E7D"/>
    <w:rsid w:val="000755E1"/>
    <w:rsid w:val="0007681B"/>
    <w:rsid w:val="000769F1"/>
    <w:rsid w:val="0007706C"/>
    <w:rsid w:val="00083694"/>
    <w:rsid w:val="0008510F"/>
    <w:rsid w:val="00085541"/>
    <w:rsid w:val="00092AE6"/>
    <w:rsid w:val="00093063"/>
    <w:rsid w:val="000A0709"/>
    <w:rsid w:val="000A0F0D"/>
    <w:rsid w:val="000A112A"/>
    <w:rsid w:val="000A21DA"/>
    <w:rsid w:val="000A34CE"/>
    <w:rsid w:val="000A6128"/>
    <w:rsid w:val="000C03BF"/>
    <w:rsid w:val="000C15BD"/>
    <w:rsid w:val="000C28B9"/>
    <w:rsid w:val="000C65E4"/>
    <w:rsid w:val="000C7EE0"/>
    <w:rsid w:val="000D1EBC"/>
    <w:rsid w:val="000D260B"/>
    <w:rsid w:val="000D345F"/>
    <w:rsid w:val="000D7375"/>
    <w:rsid w:val="000E2EE7"/>
    <w:rsid w:val="000F25BA"/>
    <w:rsid w:val="000F2B3F"/>
    <w:rsid w:val="000F7E6F"/>
    <w:rsid w:val="001027BD"/>
    <w:rsid w:val="00106B72"/>
    <w:rsid w:val="00106D19"/>
    <w:rsid w:val="0011334A"/>
    <w:rsid w:val="00115830"/>
    <w:rsid w:val="00116489"/>
    <w:rsid w:val="0011750D"/>
    <w:rsid w:val="00121B41"/>
    <w:rsid w:val="001301DF"/>
    <w:rsid w:val="001412DE"/>
    <w:rsid w:val="00142D78"/>
    <w:rsid w:val="00144A4D"/>
    <w:rsid w:val="00151351"/>
    <w:rsid w:val="00156614"/>
    <w:rsid w:val="00156788"/>
    <w:rsid w:val="001609A1"/>
    <w:rsid w:val="00162554"/>
    <w:rsid w:val="00163F68"/>
    <w:rsid w:val="00167B09"/>
    <w:rsid w:val="00173B50"/>
    <w:rsid w:val="00173E0E"/>
    <w:rsid w:val="00174B39"/>
    <w:rsid w:val="00183F6C"/>
    <w:rsid w:val="0018582A"/>
    <w:rsid w:val="00194802"/>
    <w:rsid w:val="00194AEB"/>
    <w:rsid w:val="001A431C"/>
    <w:rsid w:val="001A5519"/>
    <w:rsid w:val="001A7C3A"/>
    <w:rsid w:val="001B5C26"/>
    <w:rsid w:val="001C08BC"/>
    <w:rsid w:val="001C56BA"/>
    <w:rsid w:val="001C6D7D"/>
    <w:rsid w:val="001C73C7"/>
    <w:rsid w:val="001D00B5"/>
    <w:rsid w:val="001D3B29"/>
    <w:rsid w:val="001D59C8"/>
    <w:rsid w:val="001E3F49"/>
    <w:rsid w:val="001E4EEB"/>
    <w:rsid w:val="001E6026"/>
    <w:rsid w:val="001F3696"/>
    <w:rsid w:val="001F37CA"/>
    <w:rsid w:val="0020163D"/>
    <w:rsid w:val="00203AD7"/>
    <w:rsid w:val="002042CC"/>
    <w:rsid w:val="00204B37"/>
    <w:rsid w:val="002074D6"/>
    <w:rsid w:val="00210CBC"/>
    <w:rsid w:val="002119C5"/>
    <w:rsid w:val="00214C60"/>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56596"/>
    <w:rsid w:val="0026007A"/>
    <w:rsid w:val="002638C0"/>
    <w:rsid w:val="00265E42"/>
    <w:rsid w:val="00266B45"/>
    <w:rsid w:val="0027198B"/>
    <w:rsid w:val="00273658"/>
    <w:rsid w:val="00282A9D"/>
    <w:rsid w:val="00286C0C"/>
    <w:rsid w:val="00287687"/>
    <w:rsid w:val="00287A84"/>
    <w:rsid w:val="00290D5F"/>
    <w:rsid w:val="002938F2"/>
    <w:rsid w:val="00293CCC"/>
    <w:rsid w:val="00294AE9"/>
    <w:rsid w:val="002A195D"/>
    <w:rsid w:val="002A6A49"/>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4A32"/>
    <w:rsid w:val="00325D6E"/>
    <w:rsid w:val="00334977"/>
    <w:rsid w:val="00337194"/>
    <w:rsid w:val="003422BD"/>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166E"/>
    <w:rsid w:val="0039446E"/>
    <w:rsid w:val="003A260A"/>
    <w:rsid w:val="003A2BC4"/>
    <w:rsid w:val="003B31BE"/>
    <w:rsid w:val="003B504D"/>
    <w:rsid w:val="003C7065"/>
    <w:rsid w:val="003D2E0D"/>
    <w:rsid w:val="003D5113"/>
    <w:rsid w:val="003D5BFC"/>
    <w:rsid w:val="003D6E10"/>
    <w:rsid w:val="003E0C0F"/>
    <w:rsid w:val="003E0C4E"/>
    <w:rsid w:val="003E0E28"/>
    <w:rsid w:val="003E19D5"/>
    <w:rsid w:val="003E76A8"/>
    <w:rsid w:val="003F5B90"/>
    <w:rsid w:val="00400E45"/>
    <w:rsid w:val="00404856"/>
    <w:rsid w:val="00406ED7"/>
    <w:rsid w:val="004108B6"/>
    <w:rsid w:val="0041110F"/>
    <w:rsid w:val="0041147A"/>
    <w:rsid w:val="0041300C"/>
    <w:rsid w:val="00414B68"/>
    <w:rsid w:val="00430ED2"/>
    <w:rsid w:val="00434773"/>
    <w:rsid w:val="004367F5"/>
    <w:rsid w:val="00441DEB"/>
    <w:rsid w:val="004458C9"/>
    <w:rsid w:val="00447C66"/>
    <w:rsid w:val="00456159"/>
    <w:rsid w:val="004564CD"/>
    <w:rsid w:val="00462F38"/>
    <w:rsid w:val="00471B34"/>
    <w:rsid w:val="00474AFE"/>
    <w:rsid w:val="00477E66"/>
    <w:rsid w:val="00480809"/>
    <w:rsid w:val="00486A5E"/>
    <w:rsid w:val="00493F92"/>
    <w:rsid w:val="004A0C2B"/>
    <w:rsid w:val="004A610E"/>
    <w:rsid w:val="004A6BD0"/>
    <w:rsid w:val="004C20E2"/>
    <w:rsid w:val="004C6B42"/>
    <w:rsid w:val="004E056C"/>
    <w:rsid w:val="004E1E43"/>
    <w:rsid w:val="004E2817"/>
    <w:rsid w:val="004E2AE8"/>
    <w:rsid w:val="004E418A"/>
    <w:rsid w:val="005016FB"/>
    <w:rsid w:val="00504256"/>
    <w:rsid w:val="00511D17"/>
    <w:rsid w:val="005157E2"/>
    <w:rsid w:val="0051699F"/>
    <w:rsid w:val="00516DE3"/>
    <w:rsid w:val="00526192"/>
    <w:rsid w:val="005300BF"/>
    <w:rsid w:val="00532631"/>
    <w:rsid w:val="005414A1"/>
    <w:rsid w:val="0054175C"/>
    <w:rsid w:val="005473CF"/>
    <w:rsid w:val="005509CA"/>
    <w:rsid w:val="00570355"/>
    <w:rsid w:val="00574530"/>
    <w:rsid w:val="00581423"/>
    <w:rsid w:val="00582F4C"/>
    <w:rsid w:val="005831AA"/>
    <w:rsid w:val="0058407A"/>
    <w:rsid w:val="00593AE6"/>
    <w:rsid w:val="00594539"/>
    <w:rsid w:val="00597B2D"/>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19"/>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1A3E"/>
    <w:rsid w:val="006F3E83"/>
    <w:rsid w:val="006F4B83"/>
    <w:rsid w:val="006F7F47"/>
    <w:rsid w:val="00701458"/>
    <w:rsid w:val="00701D7E"/>
    <w:rsid w:val="00704766"/>
    <w:rsid w:val="007118F5"/>
    <w:rsid w:val="007119B8"/>
    <w:rsid w:val="0072415E"/>
    <w:rsid w:val="007247D7"/>
    <w:rsid w:val="007250E3"/>
    <w:rsid w:val="007277C8"/>
    <w:rsid w:val="00732057"/>
    <w:rsid w:val="007368A2"/>
    <w:rsid w:val="007418AE"/>
    <w:rsid w:val="00742923"/>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A7EDB"/>
    <w:rsid w:val="007B4ADA"/>
    <w:rsid w:val="007B5657"/>
    <w:rsid w:val="007C105C"/>
    <w:rsid w:val="007C1B00"/>
    <w:rsid w:val="007D0F1D"/>
    <w:rsid w:val="007D2881"/>
    <w:rsid w:val="007D31CE"/>
    <w:rsid w:val="007D3AD8"/>
    <w:rsid w:val="007D5BB7"/>
    <w:rsid w:val="007D6A69"/>
    <w:rsid w:val="007E0621"/>
    <w:rsid w:val="007E4E37"/>
    <w:rsid w:val="007F2D99"/>
    <w:rsid w:val="007F4B07"/>
    <w:rsid w:val="008029A6"/>
    <w:rsid w:val="00804233"/>
    <w:rsid w:val="008147BA"/>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2161"/>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1ABC"/>
    <w:rsid w:val="009577E1"/>
    <w:rsid w:val="00963017"/>
    <w:rsid w:val="00971CA1"/>
    <w:rsid w:val="0097349C"/>
    <w:rsid w:val="009814C2"/>
    <w:rsid w:val="00982FFD"/>
    <w:rsid w:val="00985265"/>
    <w:rsid w:val="00985856"/>
    <w:rsid w:val="00990D89"/>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9F5387"/>
    <w:rsid w:val="00A003D0"/>
    <w:rsid w:val="00A05BAF"/>
    <w:rsid w:val="00A073FD"/>
    <w:rsid w:val="00A112A8"/>
    <w:rsid w:val="00A150C7"/>
    <w:rsid w:val="00A2307A"/>
    <w:rsid w:val="00A462C6"/>
    <w:rsid w:val="00A519A2"/>
    <w:rsid w:val="00A51BDC"/>
    <w:rsid w:val="00A535B7"/>
    <w:rsid w:val="00A5709F"/>
    <w:rsid w:val="00A616C4"/>
    <w:rsid w:val="00A61F20"/>
    <w:rsid w:val="00A64796"/>
    <w:rsid w:val="00A66CD4"/>
    <w:rsid w:val="00A70883"/>
    <w:rsid w:val="00A72D9B"/>
    <w:rsid w:val="00A77AEB"/>
    <w:rsid w:val="00A81F0A"/>
    <w:rsid w:val="00A85C7A"/>
    <w:rsid w:val="00A86042"/>
    <w:rsid w:val="00AA36F9"/>
    <w:rsid w:val="00AA444A"/>
    <w:rsid w:val="00AB1528"/>
    <w:rsid w:val="00AD6BD4"/>
    <w:rsid w:val="00AE1B18"/>
    <w:rsid w:val="00AE1D83"/>
    <w:rsid w:val="00AE2DFB"/>
    <w:rsid w:val="00AE3061"/>
    <w:rsid w:val="00AE758A"/>
    <w:rsid w:val="00AF15BA"/>
    <w:rsid w:val="00AF1C32"/>
    <w:rsid w:val="00AF65C6"/>
    <w:rsid w:val="00B11AE3"/>
    <w:rsid w:val="00B121A6"/>
    <w:rsid w:val="00B25A22"/>
    <w:rsid w:val="00B300B8"/>
    <w:rsid w:val="00B32A28"/>
    <w:rsid w:val="00B33904"/>
    <w:rsid w:val="00B34D0C"/>
    <w:rsid w:val="00B3751E"/>
    <w:rsid w:val="00B427FE"/>
    <w:rsid w:val="00B43FC5"/>
    <w:rsid w:val="00B447BF"/>
    <w:rsid w:val="00B4669E"/>
    <w:rsid w:val="00B5105C"/>
    <w:rsid w:val="00B51737"/>
    <w:rsid w:val="00B6102A"/>
    <w:rsid w:val="00B6167A"/>
    <w:rsid w:val="00B62ED0"/>
    <w:rsid w:val="00B64196"/>
    <w:rsid w:val="00B66A7A"/>
    <w:rsid w:val="00B70266"/>
    <w:rsid w:val="00B7231C"/>
    <w:rsid w:val="00B74304"/>
    <w:rsid w:val="00B82F05"/>
    <w:rsid w:val="00B87142"/>
    <w:rsid w:val="00B8750E"/>
    <w:rsid w:val="00B92374"/>
    <w:rsid w:val="00B924C8"/>
    <w:rsid w:val="00B95E33"/>
    <w:rsid w:val="00B973B5"/>
    <w:rsid w:val="00B97FD1"/>
    <w:rsid w:val="00BB1062"/>
    <w:rsid w:val="00BB28EF"/>
    <w:rsid w:val="00BB5DEE"/>
    <w:rsid w:val="00BC002E"/>
    <w:rsid w:val="00BC393F"/>
    <w:rsid w:val="00BC75FC"/>
    <w:rsid w:val="00BD59BD"/>
    <w:rsid w:val="00BE5514"/>
    <w:rsid w:val="00BE5B3F"/>
    <w:rsid w:val="00BF351F"/>
    <w:rsid w:val="00BF3F50"/>
    <w:rsid w:val="00BF6F37"/>
    <w:rsid w:val="00C02924"/>
    <w:rsid w:val="00C04344"/>
    <w:rsid w:val="00C17FE4"/>
    <w:rsid w:val="00C21897"/>
    <w:rsid w:val="00C276EE"/>
    <w:rsid w:val="00C402B6"/>
    <w:rsid w:val="00C43757"/>
    <w:rsid w:val="00C43BCE"/>
    <w:rsid w:val="00C47CF1"/>
    <w:rsid w:val="00C47D76"/>
    <w:rsid w:val="00C52006"/>
    <w:rsid w:val="00C53AB4"/>
    <w:rsid w:val="00C542F1"/>
    <w:rsid w:val="00C572B3"/>
    <w:rsid w:val="00C57CA1"/>
    <w:rsid w:val="00C6300B"/>
    <w:rsid w:val="00C6426B"/>
    <w:rsid w:val="00C6478B"/>
    <w:rsid w:val="00C707C3"/>
    <w:rsid w:val="00C87194"/>
    <w:rsid w:val="00C90629"/>
    <w:rsid w:val="00C90C51"/>
    <w:rsid w:val="00C91CA2"/>
    <w:rsid w:val="00CA3ED6"/>
    <w:rsid w:val="00CA7CF4"/>
    <w:rsid w:val="00CB0F37"/>
    <w:rsid w:val="00CB1135"/>
    <w:rsid w:val="00CB590B"/>
    <w:rsid w:val="00CC02C5"/>
    <w:rsid w:val="00CC2BC6"/>
    <w:rsid w:val="00CC3AAB"/>
    <w:rsid w:val="00CD324E"/>
    <w:rsid w:val="00CD4A28"/>
    <w:rsid w:val="00CD54BD"/>
    <w:rsid w:val="00CD6C36"/>
    <w:rsid w:val="00CE2586"/>
    <w:rsid w:val="00CE74BE"/>
    <w:rsid w:val="00CF05D7"/>
    <w:rsid w:val="00CF34A6"/>
    <w:rsid w:val="00CF3F93"/>
    <w:rsid w:val="00D020F3"/>
    <w:rsid w:val="00D04515"/>
    <w:rsid w:val="00D065AD"/>
    <w:rsid w:val="00D22831"/>
    <w:rsid w:val="00D3626A"/>
    <w:rsid w:val="00D404B7"/>
    <w:rsid w:val="00D41827"/>
    <w:rsid w:val="00D44509"/>
    <w:rsid w:val="00D448CB"/>
    <w:rsid w:val="00D47226"/>
    <w:rsid w:val="00D47ED5"/>
    <w:rsid w:val="00D50F5A"/>
    <w:rsid w:val="00D603FC"/>
    <w:rsid w:val="00D61779"/>
    <w:rsid w:val="00D73DB6"/>
    <w:rsid w:val="00D80805"/>
    <w:rsid w:val="00D809E5"/>
    <w:rsid w:val="00D81948"/>
    <w:rsid w:val="00D8694A"/>
    <w:rsid w:val="00D90819"/>
    <w:rsid w:val="00D93291"/>
    <w:rsid w:val="00D9501F"/>
    <w:rsid w:val="00DB212C"/>
    <w:rsid w:val="00DB50D5"/>
    <w:rsid w:val="00DC5537"/>
    <w:rsid w:val="00DC7871"/>
    <w:rsid w:val="00DD11EE"/>
    <w:rsid w:val="00DD52A0"/>
    <w:rsid w:val="00DE5590"/>
    <w:rsid w:val="00DE6364"/>
    <w:rsid w:val="00DE76B4"/>
    <w:rsid w:val="00DF1D9E"/>
    <w:rsid w:val="00DF3DA3"/>
    <w:rsid w:val="00DF5B48"/>
    <w:rsid w:val="00DF5DA4"/>
    <w:rsid w:val="00E06492"/>
    <w:rsid w:val="00E065CE"/>
    <w:rsid w:val="00E06A00"/>
    <w:rsid w:val="00E13E03"/>
    <w:rsid w:val="00E20655"/>
    <w:rsid w:val="00E22B99"/>
    <w:rsid w:val="00E24A9D"/>
    <w:rsid w:val="00E258D9"/>
    <w:rsid w:val="00E35B8C"/>
    <w:rsid w:val="00E439CA"/>
    <w:rsid w:val="00E46DDB"/>
    <w:rsid w:val="00E473F3"/>
    <w:rsid w:val="00E5219B"/>
    <w:rsid w:val="00E56905"/>
    <w:rsid w:val="00E64BE4"/>
    <w:rsid w:val="00E85565"/>
    <w:rsid w:val="00E87F91"/>
    <w:rsid w:val="00E94BC6"/>
    <w:rsid w:val="00EA0563"/>
    <w:rsid w:val="00EA198F"/>
    <w:rsid w:val="00EA2EA1"/>
    <w:rsid w:val="00EA3CB9"/>
    <w:rsid w:val="00EA59EB"/>
    <w:rsid w:val="00EA67F3"/>
    <w:rsid w:val="00EB48F8"/>
    <w:rsid w:val="00ED0C60"/>
    <w:rsid w:val="00ED3D26"/>
    <w:rsid w:val="00ED5218"/>
    <w:rsid w:val="00ED6E9C"/>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1ED8"/>
    <w:rsid w:val="00F473CB"/>
    <w:rsid w:val="00F50245"/>
    <w:rsid w:val="00F63DDA"/>
    <w:rsid w:val="00F65B5C"/>
    <w:rsid w:val="00F67029"/>
    <w:rsid w:val="00F70858"/>
    <w:rsid w:val="00F71BBC"/>
    <w:rsid w:val="00F7397F"/>
    <w:rsid w:val="00F75949"/>
    <w:rsid w:val="00F75CF4"/>
    <w:rsid w:val="00F837B3"/>
    <w:rsid w:val="00F86347"/>
    <w:rsid w:val="00F86579"/>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259C8"/>
  <w15:docId w15:val="{98C615CC-E1B4-46BA-971E-9C43949B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character" w:customStyle="1" w:styleId="UnresolvedMention20">
    <w:name w:val="Unresolved Mention2"/>
    <w:basedOn w:val="Policepardfaut"/>
    <w:uiPriority w:val="99"/>
    <w:semiHidden/>
    <w:unhideWhenUsed/>
    <w:rsid w:val="001C7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B41DC-54A9-41FD-B1C2-0AF0A3CE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TotalTime>
  <Pages>3</Pages>
  <Words>1030</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3</cp:revision>
  <dcterms:created xsi:type="dcterms:W3CDTF">2021-05-10T14:17:00Z</dcterms:created>
  <dcterms:modified xsi:type="dcterms:W3CDTF">2021-05-10T14:18:00Z</dcterms:modified>
</cp:coreProperties>
</file>