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9EE8" w14:textId="2A2468BC" w:rsidR="000A0709" w:rsidRPr="00A833F6" w:rsidRDefault="00A833F6" w:rsidP="00762108">
      <w:pPr>
        <w:pageBreakBefore/>
        <w:bidi/>
        <w:jc w:val="center"/>
        <w:rPr>
          <w:rFonts w:asciiTheme="majorBidi" w:hAnsiTheme="majorBidi" w:cstheme="majorBidi"/>
          <w:b/>
          <w:bCs/>
          <w:sz w:val="24"/>
          <w:szCs w:val="28"/>
        </w:rPr>
      </w:pPr>
      <w:r w:rsidRPr="00A833F6">
        <w:rPr>
          <w:rFonts w:asciiTheme="majorBidi" w:hAnsiTheme="majorBidi" w:cstheme="majorBidi"/>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9D732F" w14:paraId="5772DFC9" w14:textId="77777777" w:rsidTr="00A833F6">
        <w:trPr>
          <w:cantSplit/>
        </w:trPr>
        <w:tc>
          <w:tcPr>
            <w:tcW w:w="786" w:type="pct"/>
            <w:shd w:val="clear" w:color="auto" w:fill="auto"/>
          </w:tcPr>
          <w:p w14:paraId="55C31CFF" w14:textId="293C3CA9" w:rsidR="005473CF" w:rsidRPr="00EE49A1" w:rsidRDefault="00A833F6" w:rsidP="00762108">
            <w:pPr>
              <w:bidi/>
              <w:spacing w:before="120"/>
              <w:rPr>
                <w:rFonts w:asciiTheme="majorBidi" w:hAnsiTheme="majorBidi" w:cstheme="majorBidi"/>
                <w:b/>
                <w:bCs/>
                <w:sz w:val="24"/>
              </w:rPr>
            </w:pPr>
            <w:r w:rsidRPr="00EE49A1">
              <w:rPr>
                <w:rFonts w:asciiTheme="majorBidi" w:hAnsiTheme="majorBidi" w:cstheme="majorBidi"/>
                <w:b/>
                <w:bCs/>
                <w:sz w:val="24"/>
                <w:rtl/>
              </w:rPr>
              <w:t>المؤشر</w:t>
            </w:r>
          </w:p>
        </w:tc>
        <w:tc>
          <w:tcPr>
            <w:tcW w:w="4214" w:type="pct"/>
            <w:gridSpan w:val="2"/>
            <w:shd w:val="clear" w:color="auto" w:fill="auto"/>
          </w:tcPr>
          <w:p w14:paraId="393C4013" w14:textId="090989B1" w:rsidR="005473CF" w:rsidRPr="00EE49A1" w:rsidRDefault="009D732F" w:rsidP="00762108">
            <w:pPr>
              <w:pStyle w:val="ListParagraph"/>
              <w:keepLines/>
              <w:numPr>
                <w:ilvl w:val="0"/>
                <w:numId w:val="77"/>
              </w:numPr>
              <w:bidi/>
              <w:spacing w:before="120"/>
              <w:jc w:val="both"/>
              <w:rPr>
                <w:rFonts w:asciiTheme="majorBidi" w:hAnsiTheme="majorBidi" w:cstheme="majorBidi"/>
                <w:bCs/>
                <w:sz w:val="24"/>
                <w:szCs w:val="24"/>
              </w:rPr>
            </w:pPr>
            <w:r w:rsidRPr="00EE49A1">
              <w:rPr>
                <w:rFonts w:asciiTheme="majorBidi" w:hAnsiTheme="majorBidi" w:cstheme="majorBidi"/>
                <w:bCs/>
                <w:sz w:val="24"/>
                <w:szCs w:val="24"/>
                <w:rtl/>
                <w:lang w:bidi="ar-EG"/>
              </w:rPr>
              <w:t>مدى إدماج التراث الثقافي غير المادي وصونه في التعليم الابتدائي والثانوي، وتضمينهما في محتوى المواد ذات الصلة، واستخدامهما في تعزيز التدريس والتعلّم بشأن التراث الثقافي غير المادي واحترام التراث الثقافي غير المادي الذاتي والتابع للغير</w:t>
            </w:r>
          </w:p>
        </w:tc>
      </w:tr>
      <w:tr w:rsidR="005B0FE5" w:rsidRPr="009D732F" w14:paraId="113F2604" w14:textId="77777777" w:rsidTr="00A833F6">
        <w:trPr>
          <w:cantSplit/>
        </w:trPr>
        <w:tc>
          <w:tcPr>
            <w:tcW w:w="786" w:type="pct"/>
            <w:vMerge w:val="restart"/>
            <w:shd w:val="clear" w:color="auto" w:fill="auto"/>
          </w:tcPr>
          <w:p w14:paraId="6CFFF56A" w14:textId="0F106935" w:rsidR="005B0FE5" w:rsidRPr="00EE49A1" w:rsidRDefault="00A833F6" w:rsidP="00762108">
            <w:pPr>
              <w:bidi/>
              <w:spacing w:before="120"/>
              <w:rPr>
                <w:rFonts w:asciiTheme="majorBidi" w:hAnsiTheme="majorBidi" w:cstheme="majorBidi"/>
                <w:b/>
                <w:bCs/>
                <w:sz w:val="24"/>
              </w:rPr>
            </w:pPr>
            <w:r w:rsidRPr="00EE49A1">
              <w:rPr>
                <w:rFonts w:asciiTheme="majorBidi" w:hAnsiTheme="majorBidi"/>
                <w:b/>
                <w:bCs/>
                <w:sz w:val="24"/>
                <w:rtl/>
              </w:rPr>
              <w:t>عوامل التقييم الشامل</w:t>
            </w:r>
          </w:p>
        </w:tc>
        <w:tc>
          <w:tcPr>
            <w:tcW w:w="4214" w:type="pct"/>
            <w:gridSpan w:val="2"/>
            <w:shd w:val="clear" w:color="auto" w:fill="auto"/>
          </w:tcPr>
          <w:p w14:paraId="3276C3B8" w14:textId="1449620F" w:rsidR="005B0FE5" w:rsidRPr="00EE49A1" w:rsidRDefault="009A7955" w:rsidP="00762108">
            <w:pPr>
              <w:keepLines/>
              <w:bidi/>
              <w:spacing w:before="120"/>
              <w:jc w:val="both"/>
              <w:rPr>
                <w:rFonts w:asciiTheme="majorBidi" w:hAnsiTheme="majorBidi" w:cstheme="majorBidi"/>
                <w:b/>
                <w:sz w:val="24"/>
              </w:rPr>
            </w:pPr>
            <w:r w:rsidRPr="00EE49A1">
              <w:rPr>
                <w:rFonts w:asciiTheme="majorBidi" w:hAnsiTheme="majorBidi"/>
                <w:sz w:val="24"/>
                <w:rtl/>
              </w:rPr>
              <w:t xml:space="preserve">يتم تقييم هذا المؤشر على أساس </w:t>
            </w:r>
            <w:r w:rsidR="009D732F" w:rsidRPr="00EE49A1">
              <w:rPr>
                <w:rFonts w:asciiTheme="majorBidi" w:hAnsiTheme="majorBidi" w:hint="cs"/>
                <w:sz w:val="24"/>
                <w:rtl/>
              </w:rPr>
              <w:t xml:space="preserve">أربعة عوامل </w:t>
            </w:r>
            <w:r w:rsidRPr="00EE49A1">
              <w:rPr>
                <w:rFonts w:asciiTheme="majorBidi" w:hAnsiTheme="majorBidi"/>
                <w:sz w:val="24"/>
                <w:rtl/>
              </w:rPr>
              <w:t>على ال</w:t>
            </w:r>
            <w:r w:rsidR="007C0BB2" w:rsidRPr="00EE49A1">
              <w:rPr>
                <w:rFonts w:asciiTheme="majorBidi" w:hAnsiTheme="majorBidi" w:hint="cs"/>
                <w:sz w:val="24"/>
                <w:rtl/>
              </w:rPr>
              <w:t>صعيد</w:t>
            </w:r>
            <w:r w:rsidRPr="00EE49A1">
              <w:rPr>
                <w:rFonts w:asciiTheme="majorBidi" w:hAnsiTheme="majorBidi"/>
                <w:sz w:val="24"/>
                <w:rtl/>
              </w:rPr>
              <w:t xml:space="preserve"> القطري، </w:t>
            </w:r>
            <w:r w:rsidR="009D732F" w:rsidRPr="00EE49A1">
              <w:rPr>
                <w:rFonts w:asciiTheme="majorBidi" w:hAnsiTheme="majorBidi" w:hint="cs"/>
                <w:sz w:val="24"/>
                <w:rtl/>
              </w:rPr>
              <w:t>ت</w:t>
            </w:r>
            <w:r w:rsidRPr="00EE49A1">
              <w:rPr>
                <w:rFonts w:asciiTheme="majorBidi" w:hAnsiTheme="majorBidi"/>
                <w:sz w:val="24"/>
                <w:rtl/>
              </w:rPr>
              <w:t xml:space="preserve">رصدهما كل دولة طرف </w:t>
            </w:r>
            <w:r w:rsidR="00D61B01" w:rsidRPr="00EE49A1">
              <w:rPr>
                <w:rFonts w:asciiTheme="majorBidi" w:hAnsiTheme="majorBidi" w:hint="cs"/>
                <w:sz w:val="24"/>
                <w:rtl/>
                <w:lang w:bidi="ar-EG"/>
              </w:rPr>
              <w:t>و</w:t>
            </w:r>
            <w:r w:rsidR="00A413BA" w:rsidRPr="00EE49A1">
              <w:rPr>
                <w:rFonts w:asciiTheme="majorBidi" w:hAnsiTheme="majorBidi" w:hint="cs"/>
                <w:sz w:val="24"/>
                <w:rtl/>
                <w:lang w:bidi="ar-EG"/>
              </w:rPr>
              <w:t>ت</w:t>
            </w:r>
            <w:r w:rsidR="00760AB9">
              <w:rPr>
                <w:rFonts w:asciiTheme="majorBidi" w:hAnsiTheme="majorBidi" w:hint="cs"/>
                <w:sz w:val="24"/>
                <w:rtl/>
                <w:lang w:bidi="ar-EG"/>
              </w:rPr>
              <w:t xml:space="preserve">عد التقرير </w:t>
            </w:r>
            <w:r w:rsidR="00A413BA" w:rsidRPr="00EE49A1">
              <w:rPr>
                <w:rFonts w:asciiTheme="majorBidi" w:hAnsiTheme="majorBidi" w:hint="cs"/>
                <w:sz w:val="24"/>
                <w:rtl/>
                <w:lang w:bidi="ar-EG"/>
              </w:rPr>
              <w:t>عنها</w:t>
            </w:r>
            <w:r w:rsidRPr="00EE49A1">
              <w:rPr>
                <w:rFonts w:asciiTheme="majorBidi" w:hAnsiTheme="majorBidi"/>
                <w:sz w:val="24"/>
                <w:rtl/>
              </w:rPr>
              <w:t>:</w:t>
            </w:r>
          </w:p>
        </w:tc>
      </w:tr>
      <w:tr w:rsidR="003D6D25" w:rsidRPr="009D732F" w14:paraId="58FF08D9" w14:textId="77777777" w:rsidTr="00A833F6">
        <w:trPr>
          <w:cantSplit/>
        </w:trPr>
        <w:tc>
          <w:tcPr>
            <w:tcW w:w="786" w:type="pct"/>
            <w:vMerge/>
            <w:shd w:val="clear" w:color="auto" w:fill="auto"/>
          </w:tcPr>
          <w:p w14:paraId="3EA21576" w14:textId="77777777" w:rsidR="003D6D25" w:rsidRPr="00EE49A1" w:rsidRDefault="003D6D25" w:rsidP="00762108">
            <w:pPr>
              <w:bidi/>
              <w:spacing w:before="120"/>
              <w:rPr>
                <w:rFonts w:asciiTheme="majorBidi" w:hAnsiTheme="majorBidi" w:cstheme="majorBidi"/>
                <w:b/>
                <w:bCs/>
                <w:sz w:val="24"/>
              </w:rPr>
            </w:pPr>
          </w:p>
        </w:tc>
        <w:tc>
          <w:tcPr>
            <w:tcW w:w="3418" w:type="pct"/>
            <w:shd w:val="clear" w:color="auto" w:fill="auto"/>
            <w:vAlign w:val="center"/>
          </w:tcPr>
          <w:p w14:paraId="7A8AA81A" w14:textId="5E438CC6" w:rsidR="003D6D25" w:rsidRPr="00EE49A1" w:rsidRDefault="004D51CE" w:rsidP="00762108">
            <w:pPr>
              <w:keepLines/>
              <w:bidi/>
              <w:spacing w:before="120"/>
              <w:jc w:val="both"/>
              <w:rPr>
                <w:rFonts w:asciiTheme="majorBidi" w:hAnsiTheme="majorBidi" w:cstheme="majorBidi"/>
                <w:sz w:val="24"/>
              </w:rPr>
            </w:pPr>
            <w:r w:rsidRPr="00EE49A1">
              <w:rPr>
                <w:rFonts w:asciiTheme="majorBidi" w:hAnsiTheme="majorBidi"/>
                <w:sz w:val="24"/>
                <w:rtl/>
              </w:rPr>
              <w:t xml:space="preserve">5-1 إدماج التراث الثقافي غير المادي، بأشكاله المتنوّعة، في محتوى </w:t>
            </w:r>
            <w:r w:rsidR="00E15EB2">
              <w:rPr>
                <w:rFonts w:asciiTheme="majorBidi" w:hAnsiTheme="majorBidi" w:hint="cs"/>
                <w:sz w:val="24"/>
                <w:rtl/>
              </w:rPr>
              <w:t xml:space="preserve">المواد </w:t>
            </w:r>
            <w:r w:rsidRPr="00EE49A1">
              <w:rPr>
                <w:rFonts w:asciiTheme="majorBidi" w:hAnsiTheme="majorBidi"/>
                <w:sz w:val="24"/>
                <w:rtl/>
              </w:rPr>
              <w:t>ذات الصلة، كمساهمة في حدّ ذاتها و/أو كوسيلة لشرح أو إظهار مواضيع أخرى.</w:t>
            </w:r>
          </w:p>
        </w:tc>
        <w:tc>
          <w:tcPr>
            <w:tcW w:w="796" w:type="pct"/>
            <w:shd w:val="clear" w:color="auto" w:fill="auto"/>
            <w:vAlign w:val="center"/>
          </w:tcPr>
          <w:p w14:paraId="6C944C61" w14:textId="527B6248" w:rsidR="00AD3AF4" w:rsidRPr="00EE49A1" w:rsidRDefault="00AD3AF4" w:rsidP="00762108">
            <w:pPr>
              <w:bidi/>
              <w:spacing w:before="60" w:after="60"/>
              <w:jc w:val="both"/>
              <w:rPr>
                <w:rFonts w:asciiTheme="majorBidi" w:hAnsiTheme="majorBidi" w:cstheme="majorBidi"/>
                <w:sz w:val="24"/>
                <w:rtl/>
              </w:rPr>
            </w:pPr>
            <w:r w:rsidRPr="00EE49A1">
              <w:rPr>
                <w:rFonts w:asciiTheme="majorBidi" w:hAnsiTheme="majorBidi"/>
                <w:sz w:val="24"/>
                <w:rtl/>
              </w:rPr>
              <w:t>المادة 14 (أ) (</w:t>
            </w:r>
            <w:r w:rsidR="00F17602" w:rsidRPr="00EE49A1">
              <w:rPr>
                <w:rFonts w:asciiTheme="majorBidi" w:hAnsiTheme="majorBidi" w:hint="cs"/>
                <w:sz w:val="24"/>
                <w:rtl/>
              </w:rPr>
              <w:t>1</w:t>
            </w:r>
            <w:r w:rsidRPr="00EE49A1">
              <w:rPr>
                <w:rFonts w:asciiTheme="majorBidi" w:hAnsiTheme="majorBidi" w:cstheme="majorBidi" w:hint="cs"/>
                <w:sz w:val="24"/>
                <w:rtl/>
              </w:rPr>
              <w:t>)</w:t>
            </w:r>
          </w:p>
          <w:p w14:paraId="5B9AB42D" w14:textId="2C44B895" w:rsidR="003D6D25" w:rsidRPr="00EE49A1" w:rsidRDefault="00621B9F" w:rsidP="00762108">
            <w:pPr>
              <w:bidi/>
              <w:spacing w:before="60" w:after="60"/>
              <w:jc w:val="both"/>
              <w:rPr>
                <w:rFonts w:asciiTheme="majorBidi" w:hAnsiTheme="majorBidi" w:cstheme="majorBidi"/>
                <w:sz w:val="24"/>
              </w:rPr>
            </w:pPr>
            <w:r w:rsidRPr="00EE49A1">
              <w:rPr>
                <w:rFonts w:asciiTheme="majorBidi" w:hAnsiTheme="majorBidi"/>
                <w:sz w:val="24"/>
                <w:rtl/>
              </w:rPr>
              <w:t>التوجيه</w:t>
            </w:r>
            <w:r w:rsidR="00C15B58" w:rsidRPr="00EE49A1">
              <w:rPr>
                <w:rFonts w:asciiTheme="majorBidi" w:hAnsiTheme="majorBidi"/>
                <w:sz w:val="24"/>
                <w:rtl/>
              </w:rPr>
              <w:t xml:space="preserve"> </w:t>
            </w:r>
            <w:r w:rsidR="00392A68" w:rsidRPr="00EE49A1">
              <w:rPr>
                <w:rFonts w:asciiTheme="majorBidi" w:hAnsiTheme="majorBidi" w:hint="cs"/>
                <w:sz w:val="24"/>
                <w:rtl/>
              </w:rPr>
              <w:t>التنفيذي</w:t>
            </w:r>
            <w:r w:rsidR="00D61B01" w:rsidRPr="00EE49A1">
              <w:rPr>
                <w:rFonts w:asciiTheme="majorBidi" w:hAnsiTheme="majorBidi"/>
                <w:sz w:val="24"/>
                <w:rtl/>
              </w:rPr>
              <w:t xml:space="preserve"> 107</w:t>
            </w:r>
            <w:r w:rsidR="00C332A9" w:rsidRPr="00EE49A1">
              <w:rPr>
                <w:rFonts w:asciiTheme="majorBidi" w:hAnsiTheme="majorBidi" w:hint="cs"/>
                <w:sz w:val="24"/>
                <w:rtl/>
              </w:rPr>
              <w:t>، و</w:t>
            </w:r>
            <w:r w:rsidRPr="00EE49A1">
              <w:rPr>
                <w:rFonts w:asciiTheme="majorBidi" w:hAnsiTheme="majorBidi"/>
                <w:sz w:val="24"/>
                <w:rtl/>
              </w:rPr>
              <w:t>التوجيه</w:t>
            </w:r>
            <w:r w:rsidR="00AD3AF4" w:rsidRPr="00EE49A1">
              <w:rPr>
                <w:rFonts w:asciiTheme="majorBidi" w:hAnsiTheme="majorBidi"/>
                <w:sz w:val="24"/>
                <w:rtl/>
              </w:rPr>
              <w:t xml:space="preserve"> </w:t>
            </w:r>
            <w:r w:rsidR="00392A68" w:rsidRPr="00EE49A1">
              <w:rPr>
                <w:rFonts w:asciiTheme="majorBidi" w:hAnsiTheme="majorBidi" w:hint="cs"/>
                <w:sz w:val="24"/>
                <w:rtl/>
              </w:rPr>
              <w:t>التنفيذي</w:t>
            </w:r>
            <w:r w:rsidR="00AD3AF4" w:rsidRPr="00EE49A1">
              <w:rPr>
                <w:rFonts w:asciiTheme="majorBidi" w:hAnsiTheme="majorBidi"/>
                <w:sz w:val="24"/>
                <w:rtl/>
              </w:rPr>
              <w:t>180 (أ) (2)</w:t>
            </w:r>
          </w:p>
        </w:tc>
      </w:tr>
      <w:tr w:rsidR="003D6D25" w:rsidRPr="009D732F" w14:paraId="0F43830A" w14:textId="77777777" w:rsidTr="00A833F6">
        <w:trPr>
          <w:cantSplit/>
        </w:trPr>
        <w:tc>
          <w:tcPr>
            <w:tcW w:w="786" w:type="pct"/>
            <w:vMerge/>
            <w:shd w:val="clear" w:color="auto" w:fill="auto"/>
          </w:tcPr>
          <w:p w14:paraId="4B035941" w14:textId="77777777" w:rsidR="003D6D25" w:rsidRPr="00EE49A1" w:rsidRDefault="003D6D25" w:rsidP="00762108">
            <w:pPr>
              <w:bidi/>
              <w:spacing w:before="120"/>
              <w:rPr>
                <w:rFonts w:asciiTheme="majorBidi" w:hAnsiTheme="majorBidi" w:cstheme="majorBidi"/>
                <w:b/>
                <w:bCs/>
                <w:sz w:val="24"/>
              </w:rPr>
            </w:pPr>
          </w:p>
        </w:tc>
        <w:tc>
          <w:tcPr>
            <w:tcW w:w="3418" w:type="pct"/>
            <w:shd w:val="clear" w:color="auto" w:fill="auto"/>
            <w:vAlign w:val="center"/>
          </w:tcPr>
          <w:p w14:paraId="5A83E615" w14:textId="3EC83C60" w:rsidR="003D6D25" w:rsidRPr="00EE49A1" w:rsidRDefault="004D51CE" w:rsidP="00762108">
            <w:pPr>
              <w:keepLines/>
              <w:bidi/>
              <w:spacing w:before="120"/>
              <w:jc w:val="both"/>
              <w:rPr>
                <w:rFonts w:asciiTheme="majorBidi" w:hAnsiTheme="majorBidi" w:cstheme="majorBidi"/>
                <w:sz w:val="24"/>
              </w:rPr>
            </w:pPr>
            <w:r w:rsidRPr="00EE49A1">
              <w:rPr>
                <w:rFonts w:asciiTheme="majorBidi" w:hAnsiTheme="majorBidi"/>
                <w:sz w:val="24"/>
                <w:rtl/>
              </w:rPr>
              <w:t>5-2 تعلّم طلاب المدارس لاحترام التراث الثقافي غير المادي لجماعتهم أو مجموعتهم، وكذلك التراث الثقافي غير المادي للآخرين والتفكير فيها من خلال البرامج والمناهج التعليمية.</w:t>
            </w:r>
          </w:p>
        </w:tc>
        <w:tc>
          <w:tcPr>
            <w:tcW w:w="796" w:type="pct"/>
            <w:shd w:val="clear" w:color="auto" w:fill="auto"/>
            <w:vAlign w:val="center"/>
          </w:tcPr>
          <w:p w14:paraId="44690198" w14:textId="7EB72B07" w:rsidR="00B43834" w:rsidRPr="00EE49A1" w:rsidRDefault="00B43834" w:rsidP="00762108">
            <w:pPr>
              <w:bidi/>
              <w:spacing w:before="60" w:after="60"/>
              <w:jc w:val="both"/>
              <w:rPr>
                <w:rFonts w:asciiTheme="majorBidi" w:hAnsiTheme="majorBidi" w:cstheme="majorBidi"/>
                <w:sz w:val="24"/>
                <w:rtl/>
              </w:rPr>
            </w:pPr>
            <w:r w:rsidRPr="00EE49A1">
              <w:rPr>
                <w:rFonts w:asciiTheme="majorBidi" w:hAnsiTheme="majorBidi"/>
                <w:sz w:val="24"/>
                <w:rtl/>
              </w:rPr>
              <w:t>المادة 14 (أ) (</w:t>
            </w:r>
            <w:r w:rsidR="00F17602" w:rsidRPr="00EE49A1">
              <w:rPr>
                <w:rFonts w:asciiTheme="majorBidi" w:hAnsiTheme="majorBidi" w:hint="cs"/>
                <w:sz w:val="24"/>
                <w:rtl/>
              </w:rPr>
              <w:t>1</w:t>
            </w:r>
            <w:r w:rsidRPr="00EE49A1">
              <w:rPr>
                <w:rFonts w:asciiTheme="majorBidi" w:hAnsiTheme="majorBidi" w:cstheme="majorBidi"/>
                <w:sz w:val="24"/>
              </w:rPr>
              <w:t>(</w:t>
            </w:r>
          </w:p>
          <w:p w14:paraId="3AD92559" w14:textId="507968B4" w:rsidR="00B43834" w:rsidRPr="00EE49A1" w:rsidRDefault="00621B9F" w:rsidP="00762108">
            <w:pPr>
              <w:bidi/>
              <w:spacing w:before="60" w:after="60"/>
              <w:jc w:val="both"/>
              <w:rPr>
                <w:rFonts w:asciiTheme="majorBidi" w:hAnsiTheme="majorBidi" w:cstheme="majorBidi"/>
                <w:sz w:val="24"/>
                <w:rtl/>
              </w:rPr>
            </w:pPr>
            <w:r w:rsidRPr="00EE49A1">
              <w:rPr>
                <w:rFonts w:asciiTheme="majorBidi" w:hAnsiTheme="majorBidi"/>
                <w:sz w:val="24"/>
                <w:rtl/>
              </w:rPr>
              <w:t>التوجيه</w:t>
            </w:r>
            <w:r w:rsidR="00C15B58" w:rsidRPr="00EE49A1">
              <w:rPr>
                <w:rFonts w:asciiTheme="majorBidi" w:hAnsiTheme="majorBidi"/>
                <w:sz w:val="24"/>
                <w:rtl/>
              </w:rPr>
              <w:t xml:space="preserve"> </w:t>
            </w:r>
            <w:r w:rsidR="003040CB" w:rsidRPr="00EE49A1">
              <w:rPr>
                <w:rFonts w:asciiTheme="majorBidi" w:hAnsiTheme="majorBidi" w:hint="cs"/>
                <w:sz w:val="24"/>
                <w:rtl/>
              </w:rPr>
              <w:t>التنفيذي</w:t>
            </w:r>
            <w:r w:rsidR="00D61B01" w:rsidRPr="00EE49A1">
              <w:rPr>
                <w:rFonts w:asciiTheme="majorBidi" w:hAnsiTheme="majorBidi"/>
                <w:sz w:val="24"/>
                <w:rtl/>
              </w:rPr>
              <w:t xml:space="preserve"> 105</w:t>
            </w:r>
            <w:r w:rsidR="00C332A9" w:rsidRPr="00EE49A1">
              <w:rPr>
                <w:rFonts w:asciiTheme="majorBidi" w:hAnsiTheme="majorBidi" w:hint="cs"/>
                <w:sz w:val="24"/>
                <w:rtl/>
              </w:rPr>
              <w:t xml:space="preserve">، </w:t>
            </w:r>
            <w:r w:rsidR="003040CB" w:rsidRPr="00EE49A1">
              <w:rPr>
                <w:rFonts w:asciiTheme="majorBidi" w:hAnsiTheme="majorBidi" w:hint="cs"/>
                <w:sz w:val="24"/>
                <w:rtl/>
              </w:rPr>
              <w:t>و</w:t>
            </w:r>
            <w:r w:rsidRPr="00EE49A1">
              <w:rPr>
                <w:rFonts w:asciiTheme="majorBidi" w:hAnsiTheme="majorBidi"/>
                <w:sz w:val="24"/>
                <w:rtl/>
              </w:rPr>
              <w:t>التوجيه</w:t>
            </w:r>
            <w:r w:rsidR="00B43834" w:rsidRPr="00EE49A1">
              <w:rPr>
                <w:rFonts w:asciiTheme="majorBidi" w:hAnsiTheme="majorBidi"/>
                <w:sz w:val="24"/>
                <w:rtl/>
              </w:rPr>
              <w:t xml:space="preserve"> </w:t>
            </w:r>
            <w:r w:rsidR="003040CB" w:rsidRPr="00EE49A1">
              <w:rPr>
                <w:rFonts w:asciiTheme="majorBidi" w:hAnsiTheme="majorBidi" w:hint="cs"/>
                <w:sz w:val="24"/>
                <w:rtl/>
              </w:rPr>
              <w:t xml:space="preserve">التنفيذي </w:t>
            </w:r>
            <w:r w:rsidR="00B43834" w:rsidRPr="00EE49A1">
              <w:rPr>
                <w:rFonts w:asciiTheme="majorBidi" w:hAnsiTheme="majorBidi"/>
                <w:sz w:val="24"/>
                <w:rtl/>
              </w:rPr>
              <w:t>180 (أ) (</w:t>
            </w:r>
            <w:r w:rsidR="00F17602" w:rsidRPr="00EE49A1">
              <w:rPr>
                <w:rFonts w:asciiTheme="majorBidi" w:hAnsiTheme="majorBidi" w:hint="cs"/>
                <w:sz w:val="24"/>
                <w:rtl/>
              </w:rPr>
              <w:t>1</w:t>
            </w:r>
            <w:r w:rsidR="00C332A9" w:rsidRPr="00EE49A1">
              <w:rPr>
                <w:rFonts w:asciiTheme="majorBidi" w:hAnsiTheme="majorBidi" w:hint="cs"/>
                <w:sz w:val="24"/>
                <w:rtl/>
              </w:rPr>
              <w:t>)</w:t>
            </w:r>
          </w:p>
          <w:p w14:paraId="66C0D8A1" w14:textId="17332332" w:rsidR="003D6D25" w:rsidRPr="00EE49A1" w:rsidRDefault="00797028" w:rsidP="00762108">
            <w:pPr>
              <w:bidi/>
              <w:spacing w:before="60" w:after="60"/>
              <w:jc w:val="both"/>
              <w:rPr>
                <w:rFonts w:asciiTheme="majorBidi" w:hAnsiTheme="majorBidi" w:cstheme="majorBidi"/>
                <w:sz w:val="24"/>
              </w:rPr>
            </w:pPr>
            <w:r w:rsidRPr="00EE49A1">
              <w:rPr>
                <w:rFonts w:asciiTheme="majorBidi" w:hAnsiTheme="majorBidi" w:hint="cs"/>
                <w:sz w:val="24"/>
                <w:rtl/>
              </w:rPr>
              <w:t>المبد</w:t>
            </w:r>
            <w:r w:rsidR="00C332A9" w:rsidRPr="00EE49A1">
              <w:rPr>
                <w:rFonts w:asciiTheme="majorBidi" w:hAnsiTheme="majorBidi" w:hint="cs"/>
                <w:sz w:val="24"/>
                <w:rtl/>
                <w:lang w:bidi="ar-EG"/>
              </w:rPr>
              <w:t>أ</w:t>
            </w:r>
            <w:r w:rsidRPr="00EE49A1">
              <w:rPr>
                <w:rFonts w:asciiTheme="majorBidi" w:hAnsiTheme="majorBidi" w:hint="cs"/>
                <w:sz w:val="24"/>
                <w:rtl/>
              </w:rPr>
              <w:t xml:space="preserve"> الأخلاقي </w:t>
            </w:r>
            <w:r w:rsidR="00B43834" w:rsidRPr="00EE49A1">
              <w:rPr>
                <w:rFonts w:asciiTheme="majorBidi" w:hAnsiTheme="majorBidi"/>
                <w:sz w:val="24"/>
                <w:rtl/>
              </w:rPr>
              <w:t>11</w:t>
            </w:r>
          </w:p>
        </w:tc>
      </w:tr>
      <w:tr w:rsidR="003D6D25" w:rsidRPr="009D732F" w14:paraId="54000C90" w14:textId="77777777" w:rsidTr="00A833F6">
        <w:trPr>
          <w:cantSplit/>
        </w:trPr>
        <w:tc>
          <w:tcPr>
            <w:tcW w:w="786" w:type="pct"/>
            <w:vMerge/>
            <w:shd w:val="clear" w:color="auto" w:fill="auto"/>
          </w:tcPr>
          <w:p w14:paraId="2C06D559" w14:textId="77777777" w:rsidR="003D6D25" w:rsidRPr="00EE49A1" w:rsidRDefault="003D6D25" w:rsidP="00762108">
            <w:pPr>
              <w:bidi/>
              <w:spacing w:before="120"/>
              <w:rPr>
                <w:rFonts w:asciiTheme="majorBidi" w:hAnsiTheme="majorBidi" w:cstheme="majorBidi"/>
                <w:b/>
                <w:bCs/>
                <w:sz w:val="24"/>
              </w:rPr>
            </w:pPr>
          </w:p>
        </w:tc>
        <w:tc>
          <w:tcPr>
            <w:tcW w:w="3418" w:type="pct"/>
            <w:shd w:val="clear" w:color="auto" w:fill="auto"/>
            <w:vAlign w:val="center"/>
          </w:tcPr>
          <w:p w14:paraId="1D339273" w14:textId="6AB376B9" w:rsidR="003D6D25" w:rsidRPr="00EE49A1" w:rsidRDefault="004D51CE" w:rsidP="00762108">
            <w:pPr>
              <w:keepLines/>
              <w:bidi/>
              <w:spacing w:before="120"/>
              <w:jc w:val="both"/>
              <w:rPr>
                <w:rFonts w:asciiTheme="majorBidi" w:hAnsiTheme="majorBidi" w:cstheme="majorBidi"/>
                <w:sz w:val="24"/>
              </w:rPr>
            </w:pPr>
            <w:r w:rsidRPr="00EE49A1">
              <w:rPr>
                <w:rFonts w:asciiTheme="majorBidi" w:hAnsiTheme="majorBidi"/>
                <w:sz w:val="24"/>
                <w:rtl/>
              </w:rPr>
              <w:t>5-3 انعكاس تنوّع المتدربين في مجال التراث الثقافي غير المادي من خلال التعليم باللغة الأم أو التعليم متعدّد اللغات و/أو إدراج "محتوى محلي" في المناهج التعليمية.</w:t>
            </w:r>
          </w:p>
        </w:tc>
        <w:tc>
          <w:tcPr>
            <w:tcW w:w="796" w:type="pct"/>
            <w:shd w:val="clear" w:color="auto" w:fill="auto"/>
            <w:vAlign w:val="center"/>
          </w:tcPr>
          <w:p w14:paraId="5E85F475" w14:textId="62219A4A" w:rsidR="003D6D25" w:rsidRPr="00EE49A1" w:rsidRDefault="00621B9F" w:rsidP="00762108">
            <w:pPr>
              <w:keepLines/>
              <w:bidi/>
              <w:spacing w:before="120"/>
              <w:jc w:val="both"/>
              <w:rPr>
                <w:rFonts w:asciiTheme="majorBidi" w:hAnsiTheme="majorBidi" w:cstheme="majorBidi"/>
                <w:sz w:val="24"/>
              </w:rPr>
            </w:pPr>
            <w:r w:rsidRPr="00EE49A1">
              <w:rPr>
                <w:rFonts w:asciiTheme="majorBidi" w:hAnsiTheme="majorBidi"/>
                <w:sz w:val="24"/>
                <w:rtl/>
              </w:rPr>
              <w:t>التوجيه</w:t>
            </w:r>
            <w:r w:rsidR="006251FA" w:rsidRPr="00EE49A1">
              <w:rPr>
                <w:rFonts w:asciiTheme="majorBidi" w:hAnsiTheme="majorBidi"/>
                <w:sz w:val="24"/>
                <w:rtl/>
              </w:rPr>
              <w:t xml:space="preserve"> </w:t>
            </w:r>
            <w:r w:rsidR="00B505FD" w:rsidRPr="00EE49A1">
              <w:rPr>
                <w:rFonts w:asciiTheme="majorBidi" w:hAnsiTheme="majorBidi" w:hint="cs"/>
                <w:sz w:val="24"/>
                <w:rtl/>
              </w:rPr>
              <w:t>التنفيذي</w:t>
            </w:r>
            <w:r w:rsidR="006251FA" w:rsidRPr="00EE49A1">
              <w:rPr>
                <w:rFonts w:asciiTheme="majorBidi" w:hAnsiTheme="majorBidi"/>
                <w:sz w:val="24"/>
                <w:rtl/>
              </w:rPr>
              <w:t xml:space="preserve"> 107</w:t>
            </w:r>
          </w:p>
        </w:tc>
      </w:tr>
      <w:tr w:rsidR="003D6D25" w:rsidRPr="009D732F" w14:paraId="3BE2CBD4" w14:textId="77777777" w:rsidTr="00A833F6">
        <w:trPr>
          <w:cantSplit/>
        </w:trPr>
        <w:tc>
          <w:tcPr>
            <w:tcW w:w="786" w:type="pct"/>
            <w:vMerge/>
            <w:shd w:val="clear" w:color="auto" w:fill="auto"/>
          </w:tcPr>
          <w:p w14:paraId="20EEC4E9" w14:textId="77777777" w:rsidR="003D6D25" w:rsidRPr="00EE49A1" w:rsidRDefault="003D6D25" w:rsidP="00762108">
            <w:pPr>
              <w:bidi/>
              <w:spacing w:before="120"/>
              <w:rPr>
                <w:rFonts w:asciiTheme="majorBidi" w:hAnsiTheme="majorBidi" w:cstheme="majorBidi"/>
                <w:b/>
                <w:bCs/>
                <w:sz w:val="24"/>
              </w:rPr>
            </w:pPr>
          </w:p>
        </w:tc>
        <w:tc>
          <w:tcPr>
            <w:tcW w:w="3418" w:type="pct"/>
            <w:shd w:val="clear" w:color="auto" w:fill="auto"/>
            <w:vAlign w:val="center"/>
          </w:tcPr>
          <w:p w14:paraId="0304D4E6" w14:textId="6DAA79D7" w:rsidR="003D6D25" w:rsidRPr="00EE49A1" w:rsidRDefault="00C70D44" w:rsidP="00762108">
            <w:pPr>
              <w:keepLines/>
              <w:bidi/>
              <w:spacing w:before="120"/>
              <w:jc w:val="both"/>
              <w:rPr>
                <w:rFonts w:asciiTheme="majorBidi" w:hAnsiTheme="majorBidi" w:cstheme="majorBidi"/>
                <w:sz w:val="24"/>
              </w:rPr>
            </w:pPr>
            <w:r w:rsidRPr="00EE49A1">
              <w:rPr>
                <w:rFonts w:asciiTheme="majorBidi" w:hAnsiTheme="majorBidi"/>
                <w:sz w:val="24"/>
                <w:rtl/>
              </w:rPr>
              <w:t>5-4 تدريس البرامج التعليمية لحماية الأماكن الطبيعية والثقافية وأماكن الذاكرة التي يُعتبر وجودها ضروريًا للتعبير عن التراث الثقافي غير المادي.</w:t>
            </w:r>
          </w:p>
        </w:tc>
        <w:tc>
          <w:tcPr>
            <w:tcW w:w="796" w:type="pct"/>
            <w:shd w:val="clear" w:color="auto" w:fill="auto"/>
            <w:vAlign w:val="center"/>
          </w:tcPr>
          <w:p w14:paraId="7D53F0DD" w14:textId="31B889F6" w:rsidR="002C0D84" w:rsidRPr="00EE49A1" w:rsidRDefault="002C0D84" w:rsidP="00762108">
            <w:pPr>
              <w:bidi/>
              <w:spacing w:before="60" w:after="60"/>
              <w:jc w:val="both"/>
              <w:rPr>
                <w:rFonts w:asciiTheme="majorBidi" w:hAnsiTheme="majorBidi" w:cstheme="majorBidi"/>
                <w:sz w:val="24"/>
                <w:rtl/>
              </w:rPr>
            </w:pPr>
            <w:r w:rsidRPr="00EE49A1">
              <w:rPr>
                <w:rFonts w:asciiTheme="majorBidi" w:hAnsiTheme="majorBidi"/>
                <w:sz w:val="24"/>
                <w:rtl/>
              </w:rPr>
              <w:t>المادة 14 (</w:t>
            </w:r>
            <w:r w:rsidR="0085107D" w:rsidRPr="00EE49A1">
              <w:rPr>
                <w:rFonts w:asciiTheme="majorBidi" w:hAnsiTheme="majorBidi" w:hint="cs"/>
                <w:sz w:val="24"/>
                <w:rtl/>
              </w:rPr>
              <w:t>ج</w:t>
            </w:r>
            <w:r w:rsidR="0085107D" w:rsidRPr="00EE49A1">
              <w:rPr>
                <w:rFonts w:asciiTheme="majorBidi" w:hAnsiTheme="majorBidi" w:cstheme="majorBidi"/>
                <w:sz w:val="24"/>
              </w:rPr>
              <w:t xml:space="preserve"> (</w:t>
            </w:r>
          </w:p>
          <w:p w14:paraId="3FF65F68" w14:textId="337EC3C1" w:rsidR="002C0D84" w:rsidRPr="00EE49A1" w:rsidRDefault="00621B9F" w:rsidP="00762108">
            <w:pPr>
              <w:bidi/>
              <w:spacing w:before="60" w:after="60"/>
              <w:jc w:val="both"/>
              <w:rPr>
                <w:rFonts w:asciiTheme="majorBidi" w:hAnsiTheme="majorBidi" w:cstheme="majorBidi"/>
                <w:sz w:val="24"/>
                <w:rtl/>
              </w:rPr>
            </w:pPr>
            <w:r w:rsidRPr="00EE49A1">
              <w:rPr>
                <w:rFonts w:asciiTheme="majorBidi" w:hAnsiTheme="majorBidi"/>
                <w:sz w:val="24"/>
                <w:rtl/>
              </w:rPr>
              <w:t>التوجيه</w:t>
            </w:r>
            <w:r w:rsidR="00C15B58" w:rsidRPr="00EE49A1">
              <w:rPr>
                <w:rFonts w:asciiTheme="majorBidi" w:hAnsiTheme="majorBidi"/>
                <w:sz w:val="24"/>
                <w:rtl/>
              </w:rPr>
              <w:t xml:space="preserve"> </w:t>
            </w:r>
            <w:r w:rsidR="003D4398" w:rsidRPr="00EE49A1">
              <w:rPr>
                <w:rFonts w:asciiTheme="majorBidi" w:hAnsiTheme="majorBidi" w:hint="cs"/>
                <w:sz w:val="24"/>
                <w:rtl/>
              </w:rPr>
              <w:t>التنفيذي</w:t>
            </w:r>
            <w:r w:rsidR="002C0D84" w:rsidRPr="00EE49A1">
              <w:rPr>
                <w:rFonts w:asciiTheme="majorBidi" w:hAnsiTheme="majorBidi"/>
                <w:sz w:val="24"/>
                <w:rtl/>
              </w:rPr>
              <w:t xml:space="preserve"> 155</w:t>
            </w:r>
            <w:r w:rsidR="00C332A9" w:rsidRPr="00EE49A1">
              <w:rPr>
                <w:rFonts w:asciiTheme="majorBidi" w:hAnsiTheme="majorBidi" w:cstheme="majorBidi" w:hint="cs"/>
                <w:sz w:val="24"/>
                <w:rtl/>
              </w:rPr>
              <w:t>(هـ)، و</w:t>
            </w:r>
            <w:r w:rsidRPr="00EE49A1">
              <w:rPr>
                <w:rFonts w:asciiTheme="majorBidi" w:hAnsiTheme="majorBidi"/>
                <w:sz w:val="24"/>
                <w:rtl/>
              </w:rPr>
              <w:t>التوجيه</w:t>
            </w:r>
            <w:r w:rsidR="00C15B58" w:rsidRPr="00EE49A1">
              <w:rPr>
                <w:rFonts w:asciiTheme="majorBidi" w:hAnsiTheme="majorBidi"/>
                <w:sz w:val="24"/>
                <w:rtl/>
              </w:rPr>
              <w:t xml:space="preserve"> </w:t>
            </w:r>
            <w:r w:rsidR="003D4398" w:rsidRPr="00EE49A1">
              <w:rPr>
                <w:rFonts w:asciiTheme="majorBidi" w:hAnsiTheme="majorBidi" w:hint="cs"/>
                <w:sz w:val="24"/>
                <w:rtl/>
              </w:rPr>
              <w:t>التنفيذي</w:t>
            </w:r>
            <w:r w:rsidR="002C0D84" w:rsidRPr="00EE49A1">
              <w:rPr>
                <w:rFonts w:asciiTheme="majorBidi" w:hAnsiTheme="majorBidi"/>
                <w:sz w:val="24"/>
                <w:rtl/>
              </w:rPr>
              <w:t xml:space="preserve"> 180 </w:t>
            </w:r>
            <w:r w:rsidR="00C332A9" w:rsidRPr="00EE49A1">
              <w:rPr>
                <w:rFonts w:asciiTheme="majorBidi" w:hAnsiTheme="majorBidi" w:hint="cs"/>
                <w:sz w:val="24"/>
                <w:rtl/>
              </w:rPr>
              <w:t>(د)</w:t>
            </w:r>
          </w:p>
          <w:p w14:paraId="47023CC9" w14:textId="08AA0BA1" w:rsidR="003D6D25" w:rsidRPr="00EE49A1" w:rsidRDefault="003D4398" w:rsidP="00762108">
            <w:pPr>
              <w:keepLines/>
              <w:bidi/>
              <w:spacing w:before="120"/>
              <w:jc w:val="both"/>
              <w:rPr>
                <w:rFonts w:asciiTheme="majorBidi" w:hAnsiTheme="majorBidi" w:cstheme="majorBidi"/>
                <w:sz w:val="24"/>
              </w:rPr>
            </w:pPr>
            <w:r w:rsidRPr="00EE49A1">
              <w:rPr>
                <w:rFonts w:asciiTheme="majorBidi" w:hAnsiTheme="majorBidi"/>
                <w:sz w:val="24"/>
                <w:rtl/>
              </w:rPr>
              <w:t>المبد</w:t>
            </w:r>
            <w:r w:rsidR="00C332A9" w:rsidRPr="00EE49A1">
              <w:rPr>
                <w:rFonts w:asciiTheme="majorBidi" w:hAnsiTheme="majorBidi" w:hint="cs"/>
                <w:sz w:val="24"/>
                <w:rtl/>
              </w:rPr>
              <w:t>أ</w:t>
            </w:r>
            <w:r w:rsidRPr="00EE49A1">
              <w:rPr>
                <w:rFonts w:asciiTheme="majorBidi" w:hAnsiTheme="majorBidi"/>
                <w:sz w:val="24"/>
                <w:rtl/>
              </w:rPr>
              <w:t xml:space="preserve"> الأخلاقي</w:t>
            </w:r>
            <w:r w:rsidR="002C0D84" w:rsidRPr="00EE49A1">
              <w:rPr>
                <w:rFonts w:asciiTheme="majorBidi" w:hAnsiTheme="majorBidi"/>
                <w:sz w:val="24"/>
                <w:rtl/>
              </w:rPr>
              <w:t xml:space="preserve"> 5</w:t>
            </w:r>
          </w:p>
        </w:tc>
      </w:tr>
      <w:tr w:rsidR="005473CF" w:rsidRPr="009D732F" w14:paraId="5399C7A0" w14:textId="77777777" w:rsidTr="00A833F6">
        <w:trPr>
          <w:cantSplit/>
        </w:trPr>
        <w:tc>
          <w:tcPr>
            <w:tcW w:w="786" w:type="pct"/>
            <w:shd w:val="clear" w:color="auto" w:fill="auto"/>
          </w:tcPr>
          <w:p w14:paraId="06B25192" w14:textId="7885B485" w:rsidR="005473CF" w:rsidRPr="00EE49A1" w:rsidRDefault="00A833F6" w:rsidP="00762108">
            <w:pPr>
              <w:bidi/>
              <w:spacing w:before="120"/>
              <w:rPr>
                <w:rFonts w:asciiTheme="majorBidi" w:hAnsiTheme="majorBidi" w:cstheme="majorBidi"/>
                <w:b/>
                <w:bCs/>
                <w:sz w:val="24"/>
              </w:rPr>
            </w:pPr>
            <w:r w:rsidRPr="00EE49A1">
              <w:rPr>
                <w:rFonts w:asciiTheme="majorBidi" w:hAnsiTheme="majorBidi"/>
                <w:b/>
                <w:bCs/>
                <w:sz w:val="24"/>
                <w:rtl/>
              </w:rPr>
              <w:t>العلاقة مع أهداف التنمية المستدامة والمؤشرات الأخرى</w:t>
            </w:r>
          </w:p>
        </w:tc>
        <w:tc>
          <w:tcPr>
            <w:tcW w:w="4214" w:type="pct"/>
            <w:gridSpan w:val="2"/>
            <w:shd w:val="clear" w:color="auto" w:fill="auto"/>
          </w:tcPr>
          <w:p w14:paraId="72BE1D5E" w14:textId="4A7EFAF5" w:rsidR="00A33154" w:rsidRPr="00EE49A1" w:rsidRDefault="00A33154" w:rsidP="00762108">
            <w:pPr>
              <w:keepLines/>
              <w:bidi/>
              <w:spacing w:before="120"/>
              <w:jc w:val="both"/>
              <w:rPr>
                <w:rFonts w:asciiTheme="majorBidi" w:hAnsiTheme="majorBidi"/>
                <w:b/>
                <w:bCs/>
                <w:sz w:val="24"/>
                <w:rtl/>
              </w:rPr>
            </w:pPr>
            <w:r w:rsidRPr="00EE49A1">
              <w:rPr>
                <w:rFonts w:asciiTheme="majorBidi" w:hAnsiTheme="majorBidi"/>
                <w:b/>
                <w:bCs/>
                <w:sz w:val="24"/>
                <w:rtl/>
              </w:rPr>
              <w:t xml:space="preserve">أهداف التنمية المستدامة: </w:t>
            </w:r>
            <w:r w:rsidRPr="00EE49A1">
              <w:rPr>
                <w:rFonts w:asciiTheme="majorBidi" w:hAnsiTheme="majorBidi"/>
                <w:sz w:val="24"/>
                <w:rtl/>
              </w:rPr>
              <w:t>يكمل هذا المؤشر الغاية 4-7 من أهداف التنمية المستدامة، لا سيما فيما يتعلق بالتعليم لتعزيز "تقدير التنوع الثقافي وتقدير مساهمة الثقافة في التنمية المستدامة." كما أنه يدعم الغاية 12-8 من أهداف التنمية المستدامة، لأنها تتعلق بال</w:t>
            </w:r>
            <w:r w:rsidR="00640B8A" w:rsidRPr="00EE49A1">
              <w:rPr>
                <w:rFonts w:asciiTheme="majorBidi" w:hAnsiTheme="majorBidi" w:hint="cs"/>
                <w:sz w:val="24"/>
                <w:rtl/>
              </w:rPr>
              <w:t>تثقيف</w:t>
            </w:r>
            <w:r w:rsidRPr="00EE49A1">
              <w:rPr>
                <w:rFonts w:asciiTheme="majorBidi" w:hAnsiTheme="majorBidi"/>
                <w:sz w:val="24"/>
                <w:rtl/>
              </w:rPr>
              <w:t xml:space="preserve"> </w:t>
            </w:r>
            <w:r w:rsidR="00640B8A" w:rsidRPr="00EE49A1">
              <w:rPr>
                <w:rFonts w:asciiTheme="majorBidi" w:hAnsiTheme="majorBidi" w:hint="cs"/>
                <w:sz w:val="24"/>
                <w:rtl/>
              </w:rPr>
              <w:t xml:space="preserve">حول </w:t>
            </w:r>
            <w:r w:rsidR="00FE5B47" w:rsidRPr="00EE49A1">
              <w:rPr>
                <w:rFonts w:asciiTheme="majorBidi" w:hAnsiTheme="majorBidi" w:hint="cs"/>
                <w:sz w:val="24"/>
                <w:rtl/>
              </w:rPr>
              <w:t>"</w:t>
            </w:r>
            <w:r w:rsidRPr="00EE49A1">
              <w:rPr>
                <w:rFonts w:asciiTheme="majorBidi" w:hAnsiTheme="majorBidi"/>
                <w:sz w:val="24"/>
                <w:rtl/>
              </w:rPr>
              <w:t>التنمية المستدامة وأنماط العيش في وئام مع الطبيعة"، مع المساهمة في الغاية 11-4 من أهداف التنمية المستدامة، صون التراث الثقافي والطبيعي العالمي.</w:t>
            </w:r>
          </w:p>
          <w:p w14:paraId="6F7416C0" w14:textId="40533B5B" w:rsidR="005473CF" w:rsidRPr="00EE49A1" w:rsidRDefault="0077590E" w:rsidP="00762108">
            <w:pPr>
              <w:keepLines/>
              <w:bidi/>
              <w:spacing w:before="120"/>
              <w:jc w:val="both"/>
              <w:rPr>
                <w:rFonts w:asciiTheme="majorBidi" w:hAnsiTheme="majorBidi" w:cstheme="majorBidi"/>
                <w:b/>
                <w:sz w:val="24"/>
              </w:rPr>
            </w:pPr>
            <w:r w:rsidRPr="00EE49A1">
              <w:rPr>
                <w:rFonts w:asciiTheme="majorBidi" w:hAnsiTheme="majorBidi"/>
                <w:bCs/>
                <w:sz w:val="24"/>
                <w:rtl/>
              </w:rPr>
              <w:t>العلاقة بالمؤشرات الأخرى:</w:t>
            </w:r>
            <w:r w:rsidRPr="00EE49A1">
              <w:rPr>
                <w:rFonts w:asciiTheme="majorBidi" w:hAnsiTheme="majorBidi"/>
                <w:b/>
                <w:sz w:val="24"/>
                <w:rtl/>
              </w:rPr>
              <w:t xml:space="preserve"> يركز المؤشر الحالي على أحكام المادة 14 التي تشمل التعليم الابتدائي والثانوي، وخاصة تلك التي تهدف إلى تعزيز فهم واحترام الفرد ل</w:t>
            </w:r>
            <w:r w:rsidR="00640B8A" w:rsidRPr="00EE49A1">
              <w:rPr>
                <w:rFonts w:asciiTheme="majorBidi" w:hAnsiTheme="majorBidi" w:hint="cs"/>
                <w:b/>
                <w:sz w:val="24"/>
                <w:rtl/>
              </w:rPr>
              <w:t>ل</w:t>
            </w:r>
            <w:r w:rsidRPr="00EE49A1">
              <w:rPr>
                <w:rFonts w:asciiTheme="majorBidi" w:hAnsiTheme="majorBidi"/>
                <w:b/>
                <w:sz w:val="24"/>
                <w:rtl/>
              </w:rPr>
              <w:t xml:space="preserve">تراث الثقافي غير المادي </w:t>
            </w:r>
            <w:r w:rsidR="00640B8A" w:rsidRPr="00EE49A1">
              <w:rPr>
                <w:rFonts w:asciiTheme="majorBidi" w:hAnsiTheme="majorBidi"/>
                <w:b/>
                <w:sz w:val="24"/>
                <w:rtl/>
              </w:rPr>
              <w:t>الذاتي والتابع للغير</w:t>
            </w:r>
            <w:r w:rsidRPr="00EE49A1">
              <w:rPr>
                <w:rFonts w:asciiTheme="majorBidi" w:hAnsiTheme="majorBidi"/>
                <w:b/>
                <w:sz w:val="24"/>
                <w:rtl/>
              </w:rPr>
              <w:t>. كما يستجيب لسياق أشمل من حيث دور التراث الثقافي غير المادي في تعزيز التنوع الثقافي والتنمية المستدامة، على النحو الوارد في الديباجة. و</w:t>
            </w:r>
            <w:r w:rsidR="00520A9C" w:rsidRPr="00EE49A1">
              <w:rPr>
                <w:rFonts w:asciiTheme="majorBidi" w:hAnsiTheme="majorBidi" w:hint="cs"/>
                <w:b/>
                <w:sz w:val="24"/>
                <w:rtl/>
              </w:rPr>
              <w:t>لذلك</w:t>
            </w:r>
            <w:r w:rsidRPr="00EE49A1">
              <w:rPr>
                <w:rFonts w:asciiTheme="majorBidi" w:hAnsiTheme="majorBidi"/>
                <w:b/>
                <w:sz w:val="24"/>
                <w:rtl/>
              </w:rPr>
              <w:t xml:space="preserve">، يعترف المؤشر بأهمية اللغة كأداة للتراث الثقافي وقدرته على توفير محتوى وطرق تعلم محددة حسب السياق. يركز المؤشر 4، بالمقارنة، تركيزًا أكبر على كيفية استخدام كل من التعليم النظامي وغير النظامي في تعزيز نقل التراث الثقافي غير المادي، بينما يركز المؤشر 6 على التعليم ما بعد </w:t>
            </w:r>
            <w:r w:rsidR="00520A9C" w:rsidRPr="00EE49A1">
              <w:rPr>
                <w:rFonts w:asciiTheme="majorBidi" w:hAnsiTheme="majorBidi" w:hint="cs"/>
                <w:b/>
                <w:sz w:val="24"/>
                <w:rtl/>
              </w:rPr>
              <w:t xml:space="preserve">المرحلة </w:t>
            </w:r>
            <w:r w:rsidRPr="00EE49A1">
              <w:rPr>
                <w:rFonts w:asciiTheme="majorBidi" w:hAnsiTheme="majorBidi"/>
                <w:b/>
                <w:sz w:val="24"/>
                <w:rtl/>
              </w:rPr>
              <w:t>الثانوي</w:t>
            </w:r>
            <w:r w:rsidR="00520A9C" w:rsidRPr="00EE49A1">
              <w:rPr>
                <w:rFonts w:asciiTheme="majorBidi" w:hAnsiTheme="majorBidi" w:hint="cs"/>
                <w:b/>
                <w:sz w:val="24"/>
                <w:rtl/>
              </w:rPr>
              <w:t>ة</w:t>
            </w:r>
            <w:r w:rsidRPr="00EE49A1">
              <w:rPr>
                <w:rFonts w:asciiTheme="majorBidi" w:hAnsiTheme="majorBidi"/>
                <w:b/>
                <w:sz w:val="24"/>
                <w:rtl/>
              </w:rPr>
              <w:t>. كما يتناول المؤشر 12 التشريعات والسياسات المتعلقة بالتراث الثقافي غير المادي والتعليم. وينصب تركيز المؤشرين 2 و3 على فرص التدريب في مجال صون التراث الثقافي غير المادي وإدارته، بما في ذلك الأنشطة المحددة</w:t>
            </w:r>
            <w:r w:rsidR="00520A9C" w:rsidRPr="00EE49A1">
              <w:rPr>
                <w:rFonts w:asciiTheme="majorBidi" w:hAnsiTheme="majorBidi" w:hint="cs"/>
                <w:b/>
                <w:sz w:val="24"/>
                <w:rtl/>
              </w:rPr>
              <w:t>،</w:t>
            </w:r>
            <w:r w:rsidRPr="00EE49A1">
              <w:rPr>
                <w:rFonts w:asciiTheme="majorBidi" w:hAnsiTheme="majorBidi"/>
                <w:b/>
                <w:sz w:val="24"/>
                <w:rtl/>
              </w:rPr>
              <w:t xml:space="preserve"> مثل </w:t>
            </w:r>
            <w:r w:rsidR="00520A9C" w:rsidRPr="00EE49A1">
              <w:rPr>
                <w:rFonts w:asciiTheme="majorBidi" w:hAnsiTheme="majorBidi" w:hint="cs"/>
                <w:b/>
                <w:sz w:val="24"/>
                <w:rtl/>
              </w:rPr>
              <w:t xml:space="preserve">حلقات </w:t>
            </w:r>
            <w:r w:rsidRPr="00EE49A1">
              <w:rPr>
                <w:rFonts w:asciiTheme="majorBidi" w:hAnsiTheme="majorBidi"/>
                <w:b/>
                <w:sz w:val="24"/>
                <w:rtl/>
              </w:rPr>
              <w:t>عمل بناء القدرات.</w:t>
            </w:r>
          </w:p>
        </w:tc>
      </w:tr>
      <w:tr w:rsidR="00896177" w:rsidRPr="009D732F" w14:paraId="59B36FA0" w14:textId="77777777" w:rsidTr="00A833F6">
        <w:trPr>
          <w:cantSplit/>
        </w:trPr>
        <w:tc>
          <w:tcPr>
            <w:tcW w:w="786" w:type="pct"/>
            <w:shd w:val="clear" w:color="auto" w:fill="auto"/>
          </w:tcPr>
          <w:p w14:paraId="4D8C2A0E" w14:textId="43F07668" w:rsidR="00896177" w:rsidRPr="00EE49A1" w:rsidRDefault="00A833F6" w:rsidP="00762108">
            <w:pPr>
              <w:bidi/>
              <w:spacing w:before="120"/>
              <w:rPr>
                <w:rFonts w:asciiTheme="majorBidi" w:hAnsiTheme="majorBidi" w:cstheme="majorBidi"/>
                <w:b/>
                <w:bCs/>
                <w:sz w:val="24"/>
              </w:rPr>
            </w:pPr>
            <w:r w:rsidRPr="00EE49A1">
              <w:rPr>
                <w:rFonts w:asciiTheme="majorBidi" w:hAnsiTheme="majorBidi"/>
                <w:b/>
                <w:bCs/>
                <w:sz w:val="24"/>
                <w:rtl/>
              </w:rPr>
              <w:lastRenderedPageBreak/>
              <w:t xml:space="preserve">الأسس المنطقية </w:t>
            </w:r>
            <w:r w:rsidR="004E3E57" w:rsidRPr="00EE49A1">
              <w:rPr>
                <w:rFonts w:asciiTheme="majorBidi" w:hAnsiTheme="majorBidi" w:hint="cs"/>
                <w:b/>
                <w:bCs/>
                <w:sz w:val="24"/>
                <w:rtl/>
              </w:rPr>
              <w:t>للإجراءا</w:t>
            </w:r>
            <w:r w:rsidR="004E3E57" w:rsidRPr="00EE49A1">
              <w:rPr>
                <w:rFonts w:asciiTheme="majorBidi" w:hAnsiTheme="majorBidi" w:hint="eastAsia"/>
                <w:b/>
                <w:bCs/>
                <w:sz w:val="24"/>
                <w:rtl/>
              </w:rPr>
              <w:t>ت</w:t>
            </w:r>
            <w:r w:rsidR="004E3E57" w:rsidRPr="00EE49A1">
              <w:rPr>
                <w:rFonts w:asciiTheme="majorBidi" w:hAnsiTheme="majorBidi" w:hint="cs"/>
                <w:b/>
                <w:bCs/>
                <w:sz w:val="24"/>
                <w:rtl/>
              </w:rPr>
              <w:t xml:space="preserve"> </w:t>
            </w:r>
          </w:p>
        </w:tc>
        <w:tc>
          <w:tcPr>
            <w:tcW w:w="4214" w:type="pct"/>
            <w:gridSpan w:val="2"/>
            <w:shd w:val="clear" w:color="auto" w:fill="auto"/>
          </w:tcPr>
          <w:p w14:paraId="15362844" w14:textId="6DA6C0E4" w:rsidR="00704766" w:rsidRPr="00EE49A1" w:rsidRDefault="000D075B" w:rsidP="00762108">
            <w:pPr>
              <w:keepLines/>
              <w:bidi/>
              <w:spacing w:before="120"/>
              <w:jc w:val="both"/>
              <w:rPr>
                <w:rFonts w:asciiTheme="majorBidi" w:hAnsiTheme="majorBidi" w:cstheme="majorBidi"/>
                <w:sz w:val="24"/>
              </w:rPr>
            </w:pPr>
            <w:r w:rsidRPr="00EE49A1">
              <w:rPr>
                <w:rFonts w:asciiTheme="majorBidi" w:hAnsiTheme="majorBidi"/>
                <w:sz w:val="24"/>
                <w:rtl/>
              </w:rPr>
              <w:t xml:space="preserve">تدعو المادة 14 الدول إلى تثقيف سكانها، </w:t>
            </w:r>
            <w:r w:rsidR="00AB4E14" w:rsidRPr="00EE49A1">
              <w:rPr>
                <w:rFonts w:asciiTheme="majorBidi" w:hAnsiTheme="majorBidi" w:hint="cs"/>
                <w:sz w:val="24"/>
                <w:rtl/>
              </w:rPr>
              <w:t>وخاصة</w:t>
            </w:r>
            <w:r w:rsidRPr="00EE49A1">
              <w:rPr>
                <w:rFonts w:asciiTheme="majorBidi" w:hAnsiTheme="majorBidi"/>
                <w:sz w:val="24"/>
                <w:rtl/>
              </w:rPr>
              <w:t xml:space="preserve"> الشباب، حول ماهية التراث الثقافي غير المادي و</w:t>
            </w:r>
            <w:r w:rsidR="00801734" w:rsidRPr="00EE49A1">
              <w:rPr>
                <w:rFonts w:asciiTheme="majorBidi" w:hAnsiTheme="majorBidi" w:hint="cs"/>
                <w:sz w:val="24"/>
                <w:rtl/>
              </w:rPr>
              <w:t>السبب وراء أهمية صونه</w:t>
            </w:r>
            <w:r w:rsidRPr="00EE49A1">
              <w:rPr>
                <w:rFonts w:asciiTheme="majorBidi" w:hAnsiTheme="majorBidi"/>
                <w:sz w:val="24"/>
                <w:rtl/>
              </w:rPr>
              <w:t xml:space="preserve">. ويشمل هذا الحاجة إلى حماية </w:t>
            </w:r>
            <w:r w:rsidR="00AB4E14" w:rsidRPr="00EE49A1">
              <w:rPr>
                <w:rFonts w:asciiTheme="majorBidi" w:hAnsiTheme="majorBidi" w:hint="cs"/>
                <w:sz w:val="24"/>
                <w:rtl/>
              </w:rPr>
              <w:t>الأماكن</w:t>
            </w:r>
            <w:r w:rsidRPr="00EE49A1">
              <w:rPr>
                <w:rFonts w:asciiTheme="majorBidi" w:hAnsiTheme="majorBidi"/>
                <w:sz w:val="24"/>
                <w:rtl/>
              </w:rPr>
              <w:t xml:space="preserve"> الطبيعية والثقافية وأماكن الذ</w:t>
            </w:r>
            <w:r w:rsidR="00AB4E14" w:rsidRPr="00EE49A1">
              <w:rPr>
                <w:rFonts w:asciiTheme="majorBidi" w:hAnsiTheme="majorBidi" w:hint="cs"/>
                <w:sz w:val="24"/>
                <w:rtl/>
              </w:rPr>
              <w:t>ا</w:t>
            </w:r>
            <w:r w:rsidRPr="00EE49A1">
              <w:rPr>
                <w:rFonts w:asciiTheme="majorBidi" w:hAnsiTheme="majorBidi"/>
                <w:sz w:val="24"/>
                <w:rtl/>
              </w:rPr>
              <w:t>كر</w:t>
            </w:r>
            <w:r w:rsidR="00AB4E14" w:rsidRPr="00EE49A1">
              <w:rPr>
                <w:rFonts w:asciiTheme="majorBidi" w:hAnsiTheme="majorBidi" w:hint="cs"/>
                <w:sz w:val="24"/>
                <w:rtl/>
              </w:rPr>
              <w:t xml:space="preserve">ة التي يعتبر </w:t>
            </w:r>
            <w:r w:rsidR="00AB4E14" w:rsidRPr="00EE49A1">
              <w:rPr>
                <w:rFonts w:asciiTheme="majorBidi" w:hAnsiTheme="majorBidi"/>
                <w:sz w:val="24"/>
                <w:rtl/>
              </w:rPr>
              <w:t xml:space="preserve">وجودها </w:t>
            </w:r>
            <w:r w:rsidRPr="00EE49A1">
              <w:rPr>
                <w:rFonts w:asciiTheme="majorBidi" w:hAnsiTheme="majorBidi"/>
                <w:sz w:val="24"/>
                <w:rtl/>
              </w:rPr>
              <w:t>ضروري</w:t>
            </w:r>
            <w:r w:rsidR="00AB4E14" w:rsidRPr="00EE49A1">
              <w:rPr>
                <w:rFonts w:asciiTheme="majorBidi" w:hAnsiTheme="majorBidi" w:hint="cs"/>
                <w:sz w:val="24"/>
                <w:rtl/>
              </w:rPr>
              <w:t>ًا</w:t>
            </w:r>
            <w:r w:rsidRPr="00EE49A1">
              <w:rPr>
                <w:rFonts w:asciiTheme="majorBidi" w:hAnsiTheme="majorBidi"/>
                <w:sz w:val="24"/>
                <w:rtl/>
              </w:rPr>
              <w:t xml:space="preserve"> للتعبير عن التراث الثقافي غير المادي</w:t>
            </w:r>
            <w:r w:rsidRPr="00EE49A1">
              <w:rPr>
                <w:rFonts w:asciiTheme="majorBidi" w:hAnsiTheme="majorBidi" w:hint="cs"/>
                <w:sz w:val="24"/>
                <w:rtl/>
              </w:rPr>
              <w:t>.</w:t>
            </w:r>
            <w:r w:rsidR="000154DA" w:rsidRPr="00EE49A1">
              <w:rPr>
                <w:rFonts w:asciiTheme="majorBidi" w:hAnsiTheme="majorBidi"/>
                <w:sz w:val="24"/>
                <w:rtl/>
              </w:rPr>
              <w:t xml:space="preserve"> في العديد من البلدان، تعتبر أنظمة التعليم الابتدائي والثانوي السياقات الرئيسية لمثل هذه الجهود. وتركز الإجراءات المحتملة في هذا المجال على التدريس والتعلم عن التراث الثقافي غير المادي وبه - سواء كان تراث الطلاب الثقافي غير المادي </w:t>
            </w:r>
            <w:r w:rsidR="00801734" w:rsidRPr="00EE49A1">
              <w:rPr>
                <w:rFonts w:asciiTheme="majorBidi" w:hAnsiTheme="majorBidi" w:hint="cs"/>
                <w:sz w:val="24"/>
                <w:rtl/>
              </w:rPr>
              <w:t>الذاتي أو التابع للغير</w:t>
            </w:r>
            <w:r w:rsidR="000154DA" w:rsidRPr="00EE49A1">
              <w:rPr>
                <w:rFonts w:asciiTheme="majorBidi" w:hAnsiTheme="majorBidi"/>
                <w:sz w:val="24"/>
                <w:rtl/>
              </w:rPr>
              <w:t xml:space="preserve">. بذلك، يمكن للمعلمين تعزيز احترام التراث الثقافي غير المادي ودعم الاحترام المتبادل بين طلابهم. كما أظهرت </w:t>
            </w:r>
            <w:r w:rsidR="00941954" w:rsidRPr="00EE49A1">
              <w:rPr>
                <w:rFonts w:asciiTheme="majorBidi" w:hAnsiTheme="majorBidi" w:hint="cs"/>
                <w:sz w:val="24"/>
                <w:rtl/>
              </w:rPr>
              <w:t>التجربة</w:t>
            </w:r>
            <w:r w:rsidR="000154DA" w:rsidRPr="00EE49A1">
              <w:rPr>
                <w:rFonts w:asciiTheme="majorBidi" w:hAnsiTheme="majorBidi"/>
                <w:sz w:val="24"/>
                <w:rtl/>
              </w:rPr>
              <w:t xml:space="preserve"> أنه </w:t>
            </w:r>
            <w:r w:rsidR="00941954" w:rsidRPr="00EE49A1">
              <w:rPr>
                <w:rFonts w:asciiTheme="majorBidi" w:hAnsiTheme="majorBidi" w:hint="cs"/>
                <w:sz w:val="24"/>
                <w:rtl/>
              </w:rPr>
              <w:t>ب</w:t>
            </w:r>
            <w:r w:rsidR="000154DA" w:rsidRPr="00EE49A1">
              <w:rPr>
                <w:rFonts w:asciiTheme="majorBidi" w:hAnsiTheme="majorBidi"/>
                <w:sz w:val="24"/>
                <w:rtl/>
              </w:rPr>
              <w:t>استخدام محتوى وطرق التراث الثقافي غير المادي لتدريس وتعلم مواد أخرى، مثل الرياضيات أو العلوم أو الأدب، يمكن للمدارس التأكيد على أهمية التراث الثقافي غير المادي في الحياة اليومية، وإثارة فضول الطلاب، وتعزيز الصون - كل ذلك مع جعل التعلم أكثر إثارة و</w:t>
            </w:r>
            <w:r w:rsidR="00941954" w:rsidRPr="00EE49A1">
              <w:rPr>
                <w:rFonts w:asciiTheme="majorBidi" w:hAnsiTheme="majorBidi" w:hint="cs"/>
                <w:sz w:val="24"/>
                <w:rtl/>
              </w:rPr>
              <w:t>متاح</w:t>
            </w:r>
            <w:r w:rsidR="000154DA" w:rsidRPr="00EE49A1">
              <w:rPr>
                <w:rFonts w:asciiTheme="majorBidi" w:hAnsiTheme="majorBidi"/>
                <w:sz w:val="24"/>
                <w:rtl/>
              </w:rPr>
              <w:t>.</w:t>
            </w:r>
          </w:p>
        </w:tc>
      </w:tr>
      <w:tr w:rsidR="00704766" w:rsidRPr="009D732F" w14:paraId="4151E48F" w14:textId="77777777" w:rsidTr="00A833F6">
        <w:trPr>
          <w:cantSplit/>
        </w:trPr>
        <w:tc>
          <w:tcPr>
            <w:tcW w:w="786" w:type="pct"/>
            <w:shd w:val="clear" w:color="auto" w:fill="auto"/>
          </w:tcPr>
          <w:p w14:paraId="2FDE7FD8" w14:textId="57E20E55" w:rsidR="00704766" w:rsidRPr="00EE49A1" w:rsidRDefault="00A833F6" w:rsidP="00762108">
            <w:pPr>
              <w:bidi/>
              <w:spacing w:before="120" w:after="60"/>
              <w:jc w:val="both"/>
              <w:rPr>
                <w:rFonts w:asciiTheme="majorBidi" w:hAnsiTheme="majorBidi" w:cstheme="majorBidi"/>
                <w:b/>
                <w:bCs/>
                <w:sz w:val="24"/>
              </w:rPr>
            </w:pPr>
            <w:r w:rsidRPr="00EE49A1">
              <w:rPr>
                <w:rFonts w:asciiTheme="majorBidi" w:hAnsiTheme="majorBidi"/>
                <w:b/>
                <w:bCs/>
                <w:sz w:val="24"/>
                <w:rtl/>
              </w:rPr>
              <w:t>المصطلحات الرئيسية</w:t>
            </w:r>
          </w:p>
        </w:tc>
        <w:tc>
          <w:tcPr>
            <w:tcW w:w="4214" w:type="pct"/>
            <w:gridSpan w:val="2"/>
            <w:shd w:val="clear" w:color="auto" w:fill="auto"/>
          </w:tcPr>
          <w:p w14:paraId="01FF2A72" w14:textId="7584B998" w:rsidR="000154DA" w:rsidRPr="00EE49A1" w:rsidRDefault="00436BE8" w:rsidP="00762108">
            <w:pPr>
              <w:pStyle w:val="ListParagraph"/>
              <w:numPr>
                <w:ilvl w:val="0"/>
                <w:numId w:val="71"/>
              </w:numPr>
              <w:bidi/>
              <w:spacing w:before="120"/>
              <w:jc w:val="both"/>
              <w:rPr>
                <w:rFonts w:asciiTheme="majorBidi" w:hAnsiTheme="majorBidi" w:cstheme="majorBidi"/>
                <w:sz w:val="24"/>
                <w:szCs w:val="24"/>
                <w:lang w:val="en-GB"/>
              </w:rPr>
            </w:pPr>
            <w:r w:rsidRPr="00EE49A1">
              <w:rPr>
                <w:rFonts w:asciiTheme="majorBidi" w:hAnsiTheme="majorBidi" w:hint="cs"/>
                <w:sz w:val="24"/>
                <w:szCs w:val="24"/>
                <w:rtl/>
                <w:lang w:val="en-GB"/>
              </w:rPr>
              <w:t>ال</w:t>
            </w:r>
            <w:r w:rsidR="00806BFF" w:rsidRPr="00EE49A1">
              <w:rPr>
                <w:rFonts w:asciiTheme="majorBidi" w:hAnsiTheme="majorBidi"/>
                <w:sz w:val="24"/>
                <w:szCs w:val="24"/>
                <w:rtl/>
                <w:lang w:val="en-GB"/>
              </w:rPr>
              <w:t xml:space="preserve">تعليم </w:t>
            </w:r>
            <w:r w:rsidRPr="00EE49A1">
              <w:rPr>
                <w:rFonts w:asciiTheme="majorBidi" w:hAnsiTheme="majorBidi" w:hint="cs"/>
                <w:sz w:val="24"/>
                <w:szCs w:val="24"/>
                <w:rtl/>
                <w:lang w:val="en-GB"/>
              </w:rPr>
              <w:t>ال</w:t>
            </w:r>
            <w:r w:rsidR="000154DA" w:rsidRPr="00EE49A1">
              <w:rPr>
                <w:rFonts w:asciiTheme="majorBidi" w:hAnsiTheme="majorBidi"/>
                <w:sz w:val="24"/>
                <w:szCs w:val="24"/>
                <w:rtl/>
                <w:lang w:val="en-GB"/>
              </w:rPr>
              <w:t>نظامي</w:t>
            </w:r>
          </w:p>
          <w:p w14:paraId="350C0B31" w14:textId="77777777" w:rsidR="000154DA" w:rsidRPr="00EE49A1" w:rsidRDefault="000154DA" w:rsidP="00762108">
            <w:pPr>
              <w:pStyle w:val="ListParagraph"/>
              <w:numPr>
                <w:ilvl w:val="0"/>
                <w:numId w:val="71"/>
              </w:numPr>
              <w:bidi/>
              <w:spacing w:before="120"/>
              <w:jc w:val="both"/>
              <w:rPr>
                <w:rFonts w:asciiTheme="majorBidi" w:hAnsiTheme="majorBidi" w:cstheme="majorBidi"/>
                <w:sz w:val="24"/>
                <w:szCs w:val="24"/>
                <w:lang w:val="en-GB"/>
              </w:rPr>
            </w:pPr>
            <w:r w:rsidRPr="00EE49A1">
              <w:rPr>
                <w:rFonts w:asciiTheme="majorBidi" w:hAnsiTheme="majorBidi"/>
                <w:sz w:val="24"/>
                <w:szCs w:val="24"/>
                <w:rtl/>
                <w:lang w:val="en-GB"/>
              </w:rPr>
              <w:t>احترام التراث الثقافي غير المادي</w:t>
            </w:r>
          </w:p>
          <w:p w14:paraId="2A162C5C" w14:textId="1076214A" w:rsidR="000154DA" w:rsidRPr="00EE49A1" w:rsidRDefault="00436BE8" w:rsidP="00762108">
            <w:pPr>
              <w:pStyle w:val="ListParagraph"/>
              <w:numPr>
                <w:ilvl w:val="0"/>
                <w:numId w:val="71"/>
              </w:numPr>
              <w:bidi/>
              <w:spacing w:before="120"/>
              <w:jc w:val="both"/>
              <w:rPr>
                <w:rFonts w:asciiTheme="majorBidi" w:hAnsiTheme="majorBidi" w:cstheme="majorBidi"/>
                <w:sz w:val="24"/>
                <w:szCs w:val="24"/>
                <w:lang w:val="en-GB"/>
              </w:rPr>
            </w:pPr>
            <w:r w:rsidRPr="00EE49A1">
              <w:rPr>
                <w:rFonts w:asciiTheme="majorBidi" w:hAnsiTheme="majorBidi" w:hint="cs"/>
                <w:sz w:val="24"/>
                <w:szCs w:val="24"/>
                <w:rtl/>
                <w:lang w:val="en-GB"/>
              </w:rPr>
              <w:t>ال</w:t>
            </w:r>
            <w:r w:rsidR="000154DA" w:rsidRPr="00EE49A1">
              <w:rPr>
                <w:rFonts w:asciiTheme="majorBidi" w:hAnsiTheme="majorBidi"/>
                <w:sz w:val="24"/>
                <w:szCs w:val="24"/>
                <w:rtl/>
                <w:lang w:val="en-GB"/>
              </w:rPr>
              <w:t>تعليم باللغة الأم</w:t>
            </w:r>
          </w:p>
          <w:p w14:paraId="2FB089A5" w14:textId="402ABFD0" w:rsidR="000154DA" w:rsidRPr="00EE49A1" w:rsidRDefault="00436BE8" w:rsidP="00762108">
            <w:pPr>
              <w:pStyle w:val="ListParagraph"/>
              <w:numPr>
                <w:ilvl w:val="0"/>
                <w:numId w:val="71"/>
              </w:numPr>
              <w:bidi/>
              <w:spacing w:before="120"/>
              <w:jc w:val="both"/>
              <w:rPr>
                <w:rFonts w:asciiTheme="majorBidi" w:hAnsiTheme="majorBidi" w:cstheme="majorBidi"/>
                <w:sz w:val="24"/>
                <w:szCs w:val="24"/>
                <w:lang w:val="en-GB"/>
              </w:rPr>
            </w:pPr>
            <w:r w:rsidRPr="00EE49A1">
              <w:rPr>
                <w:rFonts w:asciiTheme="majorBidi" w:hAnsiTheme="majorBidi" w:hint="cs"/>
                <w:sz w:val="24"/>
                <w:szCs w:val="24"/>
                <w:rtl/>
                <w:lang w:val="en-GB"/>
              </w:rPr>
              <w:t>ال</w:t>
            </w:r>
            <w:r w:rsidR="000154DA" w:rsidRPr="00EE49A1">
              <w:rPr>
                <w:rFonts w:asciiTheme="majorBidi" w:hAnsiTheme="majorBidi"/>
                <w:sz w:val="24"/>
                <w:szCs w:val="24"/>
                <w:rtl/>
                <w:lang w:val="en-GB"/>
              </w:rPr>
              <w:t>تعليم متعدد اللغات</w:t>
            </w:r>
          </w:p>
          <w:p w14:paraId="229D5453" w14:textId="431C718F" w:rsidR="000154DA" w:rsidRPr="00EE49A1" w:rsidRDefault="00436BE8" w:rsidP="00762108">
            <w:pPr>
              <w:pStyle w:val="ListParagraph"/>
              <w:numPr>
                <w:ilvl w:val="0"/>
                <w:numId w:val="71"/>
              </w:numPr>
              <w:bidi/>
              <w:spacing w:before="120"/>
              <w:jc w:val="both"/>
              <w:rPr>
                <w:rFonts w:asciiTheme="majorBidi" w:hAnsiTheme="majorBidi" w:cstheme="majorBidi"/>
                <w:sz w:val="24"/>
                <w:szCs w:val="24"/>
                <w:lang w:val="en-GB"/>
              </w:rPr>
            </w:pPr>
            <w:r w:rsidRPr="00EE49A1">
              <w:rPr>
                <w:rFonts w:asciiTheme="majorBidi" w:hAnsiTheme="majorBidi" w:hint="cs"/>
                <w:sz w:val="24"/>
                <w:szCs w:val="24"/>
                <w:rtl/>
                <w:lang w:val="en-GB"/>
              </w:rPr>
              <w:t>ال</w:t>
            </w:r>
            <w:r w:rsidR="00D003E4" w:rsidRPr="00EE49A1">
              <w:rPr>
                <w:rFonts w:asciiTheme="majorBidi" w:hAnsiTheme="majorBidi"/>
                <w:sz w:val="24"/>
                <w:szCs w:val="24"/>
                <w:rtl/>
                <w:lang w:val="en-GB"/>
              </w:rPr>
              <w:t xml:space="preserve">محتوى </w:t>
            </w:r>
            <w:r w:rsidRPr="00EE49A1">
              <w:rPr>
                <w:rFonts w:asciiTheme="majorBidi" w:hAnsiTheme="majorBidi" w:hint="cs"/>
                <w:sz w:val="24"/>
                <w:szCs w:val="24"/>
                <w:rtl/>
                <w:lang w:val="en-GB"/>
              </w:rPr>
              <w:t>ال</w:t>
            </w:r>
            <w:r w:rsidR="000154DA" w:rsidRPr="00EE49A1">
              <w:rPr>
                <w:rFonts w:asciiTheme="majorBidi" w:hAnsiTheme="majorBidi"/>
                <w:sz w:val="24"/>
                <w:szCs w:val="24"/>
                <w:rtl/>
                <w:lang w:val="en-GB"/>
              </w:rPr>
              <w:t>محلي</w:t>
            </w:r>
          </w:p>
          <w:p w14:paraId="08B8BA07" w14:textId="20652FDC" w:rsidR="000154DA" w:rsidRPr="00EE49A1" w:rsidRDefault="000154DA" w:rsidP="00762108">
            <w:pPr>
              <w:pStyle w:val="ListParagraph"/>
              <w:numPr>
                <w:ilvl w:val="0"/>
                <w:numId w:val="71"/>
              </w:numPr>
              <w:bidi/>
              <w:spacing w:before="120"/>
              <w:jc w:val="both"/>
              <w:rPr>
                <w:rFonts w:asciiTheme="majorBidi" w:hAnsiTheme="majorBidi" w:cstheme="majorBidi"/>
                <w:sz w:val="24"/>
                <w:szCs w:val="24"/>
                <w:lang w:val="en-GB"/>
              </w:rPr>
            </w:pPr>
            <w:r w:rsidRPr="00EE49A1">
              <w:rPr>
                <w:rFonts w:asciiTheme="majorBidi" w:hAnsiTheme="majorBidi"/>
                <w:sz w:val="24"/>
                <w:szCs w:val="24"/>
                <w:rtl/>
                <w:lang w:val="en-GB"/>
              </w:rPr>
              <w:t>أماكن الذ</w:t>
            </w:r>
            <w:r w:rsidR="00D003E4" w:rsidRPr="00EE49A1">
              <w:rPr>
                <w:rFonts w:asciiTheme="majorBidi" w:hAnsiTheme="majorBidi" w:hint="cs"/>
                <w:sz w:val="24"/>
                <w:szCs w:val="24"/>
                <w:rtl/>
                <w:lang w:val="en-GB"/>
              </w:rPr>
              <w:t>ا</w:t>
            </w:r>
            <w:r w:rsidR="00D003E4" w:rsidRPr="00EE49A1">
              <w:rPr>
                <w:rFonts w:asciiTheme="majorBidi" w:hAnsiTheme="majorBidi"/>
                <w:sz w:val="24"/>
                <w:szCs w:val="24"/>
                <w:rtl/>
                <w:lang w:val="en-GB"/>
              </w:rPr>
              <w:t>كر</w:t>
            </w:r>
            <w:r w:rsidR="00D003E4" w:rsidRPr="00EE49A1">
              <w:rPr>
                <w:rFonts w:asciiTheme="majorBidi" w:hAnsiTheme="majorBidi" w:hint="cs"/>
                <w:sz w:val="24"/>
                <w:szCs w:val="24"/>
                <w:rtl/>
                <w:lang w:val="en-GB"/>
              </w:rPr>
              <w:t>ة</w:t>
            </w:r>
          </w:p>
          <w:p w14:paraId="31C54D69" w14:textId="2731FBB3" w:rsidR="000154DA" w:rsidRPr="00EE49A1" w:rsidRDefault="00436BE8" w:rsidP="00762108">
            <w:pPr>
              <w:pStyle w:val="ListParagraph"/>
              <w:numPr>
                <w:ilvl w:val="0"/>
                <w:numId w:val="71"/>
              </w:numPr>
              <w:bidi/>
              <w:spacing w:before="120"/>
              <w:jc w:val="both"/>
              <w:rPr>
                <w:rFonts w:asciiTheme="majorBidi" w:hAnsiTheme="majorBidi" w:cstheme="majorBidi"/>
                <w:sz w:val="24"/>
                <w:szCs w:val="24"/>
                <w:lang w:val="en-GB"/>
              </w:rPr>
            </w:pPr>
            <w:r w:rsidRPr="00EE49A1">
              <w:rPr>
                <w:rFonts w:asciiTheme="majorBidi" w:hAnsiTheme="majorBidi" w:hint="cs"/>
                <w:sz w:val="24"/>
                <w:szCs w:val="24"/>
                <w:rtl/>
                <w:lang w:val="en-GB"/>
              </w:rPr>
              <w:t>ال</w:t>
            </w:r>
            <w:r w:rsidR="000154DA" w:rsidRPr="00EE49A1">
              <w:rPr>
                <w:rFonts w:asciiTheme="majorBidi" w:hAnsiTheme="majorBidi"/>
                <w:sz w:val="24"/>
                <w:szCs w:val="24"/>
                <w:rtl/>
                <w:lang w:val="en-GB"/>
              </w:rPr>
              <w:t xml:space="preserve">تعليم </w:t>
            </w:r>
            <w:r w:rsidRPr="00EE49A1">
              <w:rPr>
                <w:rFonts w:asciiTheme="majorBidi" w:hAnsiTheme="majorBidi" w:hint="cs"/>
                <w:sz w:val="24"/>
                <w:szCs w:val="24"/>
                <w:rtl/>
                <w:lang w:val="en-GB"/>
              </w:rPr>
              <w:t>ال</w:t>
            </w:r>
            <w:r w:rsidR="000154DA" w:rsidRPr="00EE49A1">
              <w:rPr>
                <w:rFonts w:asciiTheme="majorBidi" w:hAnsiTheme="majorBidi"/>
                <w:sz w:val="24"/>
                <w:szCs w:val="24"/>
                <w:rtl/>
                <w:lang w:val="en-GB"/>
              </w:rPr>
              <w:t>ابتدائي</w:t>
            </w:r>
          </w:p>
          <w:p w14:paraId="05023903" w14:textId="6F00C3C8" w:rsidR="00DA69AB" w:rsidRPr="00EE49A1" w:rsidRDefault="00436BE8" w:rsidP="00762108">
            <w:pPr>
              <w:pStyle w:val="ListParagraph"/>
              <w:numPr>
                <w:ilvl w:val="0"/>
                <w:numId w:val="71"/>
              </w:numPr>
              <w:bidi/>
              <w:spacing w:before="120" w:after="120"/>
              <w:jc w:val="both"/>
              <w:rPr>
                <w:rFonts w:asciiTheme="majorBidi" w:hAnsiTheme="majorBidi" w:cstheme="majorBidi"/>
                <w:sz w:val="24"/>
                <w:szCs w:val="24"/>
                <w:lang w:val="en-GB"/>
              </w:rPr>
            </w:pPr>
            <w:r w:rsidRPr="00EE49A1">
              <w:rPr>
                <w:rFonts w:asciiTheme="majorBidi" w:hAnsiTheme="majorBidi" w:hint="cs"/>
                <w:sz w:val="24"/>
                <w:szCs w:val="24"/>
                <w:rtl/>
                <w:lang w:val="en-GB"/>
              </w:rPr>
              <w:t>ال</w:t>
            </w:r>
            <w:r w:rsidR="00D003E4" w:rsidRPr="00EE49A1">
              <w:rPr>
                <w:rFonts w:asciiTheme="majorBidi" w:hAnsiTheme="majorBidi"/>
                <w:sz w:val="24"/>
                <w:szCs w:val="24"/>
                <w:rtl/>
                <w:lang w:val="en-GB"/>
              </w:rPr>
              <w:t xml:space="preserve">تعليم </w:t>
            </w:r>
            <w:r w:rsidRPr="00EE49A1">
              <w:rPr>
                <w:rFonts w:asciiTheme="majorBidi" w:hAnsiTheme="majorBidi" w:hint="cs"/>
                <w:sz w:val="24"/>
                <w:szCs w:val="24"/>
                <w:rtl/>
                <w:lang w:val="en-GB"/>
              </w:rPr>
              <w:t>ال</w:t>
            </w:r>
            <w:r w:rsidR="000154DA" w:rsidRPr="00EE49A1">
              <w:rPr>
                <w:rFonts w:asciiTheme="majorBidi" w:hAnsiTheme="majorBidi"/>
                <w:sz w:val="24"/>
                <w:szCs w:val="24"/>
                <w:rtl/>
                <w:lang w:val="en-GB"/>
              </w:rPr>
              <w:t>ثانوي</w:t>
            </w:r>
          </w:p>
        </w:tc>
      </w:tr>
    </w:tbl>
    <w:p w14:paraId="7DBA0BD3" w14:textId="77777777" w:rsidR="0054175C" w:rsidRPr="00A833F6" w:rsidRDefault="0054175C" w:rsidP="00762108">
      <w:pPr>
        <w:bidi/>
        <w:jc w:val="center"/>
        <w:rPr>
          <w:rFonts w:asciiTheme="majorBidi" w:hAnsiTheme="majorBidi" w:cstheme="majorBidi"/>
          <w:b/>
          <w:sz w:val="24"/>
        </w:rPr>
        <w:sectPr w:rsidR="0054175C" w:rsidRPr="00A833F6" w:rsidSect="000F25B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397" w:footer="284" w:gutter="0"/>
          <w:cols w:space="708"/>
          <w:docGrid w:linePitch="360"/>
        </w:sectPr>
      </w:pPr>
    </w:p>
    <w:p w14:paraId="6564A199" w14:textId="212F582D" w:rsidR="0054175C" w:rsidRPr="007973D1" w:rsidRDefault="00A833F6" w:rsidP="00762108">
      <w:pPr>
        <w:bidi/>
        <w:jc w:val="center"/>
        <w:rPr>
          <w:rFonts w:asciiTheme="majorBidi" w:hAnsiTheme="majorBidi" w:cstheme="majorBidi"/>
          <w:b/>
          <w:bCs/>
          <w:sz w:val="28"/>
          <w:szCs w:val="28"/>
        </w:rPr>
      </w:pPr>
      <w:r w:rsidRPr="007973D1">
        <w:rPr>
          <w:rFonts w:asciiTheme="majorBidi" w:hAnsiTheme="majorBidi"/>
          <w:b/>
          <w:bCs/>
          <w:sz w:val="28"/>
          <w:szCs w:val="28"/>
          <w:rtl/>
        </w:rPr>
        <w:t>التوجيهات المحددة بشأن الرصد و</w:t>
      </w:r>
      <w:r w:rsidR="007973D1">
        <w:rPr>
          <w:rFonts w:asciiTheme="majorBidi" w:hAnsiTheme="majorBidi" w:hint="cs"/>
          <w:b/>
          <w:bCs/>
          <w:sz w:val="28"/>
          <w:szCs w:val="28"/>
          <w:rtl/>
        </w:rPr>
        <w:t>ا</w:t>
      </w:r>
      <w:r w:rsidR="003B1B59">
        <w:rPr>
          <w:rFonts w:asciiTheme="majorBidi" w:hAnsiTheme="majorBidi" w:hint="cs"/>
          <w:b/>
          <w:bCs/>
          <w:sz w:val="28"/>
          <w:szCs w:val="28"/>
          <w:rtl/>
        </w:rPr>
        <w:t>عداد التقرير</w:t>
      </w:r>
      <w:r w:rsidR="007973D1">
        <w:rPr>
          <w:rFonts w:asciiTheme="majorBidi" w:hAnsiTheme="majorBidi" w:hint="cs"/>
          <w:b/>
          <w:bCs/>
          <w:sz w:val="28"/>
          <w:szCs w:val="28"/>
          <w:rtl/>
        </w:rPr>
        <w:t xml:space="preserve"> </w:t>
      </w:r>
      <w:r w:rsidRPr="007973D1">
        <w:rPr>
          <w:rFonts w:asciiTheme="majorBidi" w:hAnsiTheme="majorBidi"/>
          <w:b/>
          <w:bCs/>
          <w:sz w:val="28"/>
          <w:szCs w:val="28"/>
          <w:rtl/>
        </w:rPr>
        <w:t>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1624AF" w14:paraId="5F267CE8" w14:textId="77777777" w:rsidTr="00A833F6">
        <w:tc>
          <w:tcPr>
            <w:tcW w:w="730" w:type="pct"/>
            <w:shd w:val="clear" w:color="auto" w:fill="auto"/>
          </w:tcPr>
          <w:p w14:paraId="609865D6" w14:textId="02EE85FA" w:rsidR="002C28BA" w:rsidRPr="001624AF" w:rsidRDefault="00A833F6" w:rsidP="00762108">
            <w:pPr>
              <w:bidi/>
              <w:spacing w:before="120"/>
              <w:rPr>
                <w:rFonts w:asciiTheme="majorBidi" w:hAnsiTheme="majorBidi" w:cstheme="majorBidi"/>
                <w:b/>
                <w:bCs/>
                <w:sz w:val="24"/>
              </w:rPr>
            </w:pPr>
            <w:r w:rsidRPr="001624AF">
              <w:rPr>
                <w:rFonts w:asciiTheme="majorBidi" w:hAnsiTheme="majorBidi"/>
                <w:b/>
                <w:bCs/>
                <w:sz w:val="24"/>
                <w:rtl/>
              </w:rPr>
              <w:t>فوائد الرصد</w:t>
            </w:r>
          </w:p>
        </w:tc>
        <w:tc>
          <w:tcPr>
            <w:tcW w:w="4270" w:type="pct"/>
            <w:shd w:val="clear" w:color="auto" w:fill="auto"/>
          </w:tcPr>
          <w:p w14:paraId="5187BB3A" w14:textId="6D104FB4" w:rsidR="002C28BA" w:rsidRPr="001624AF" w:rsidRDefault="00853572" w:rsidP="00762108">
            <w:pPr>
              <w:keepLines/>
              <w:bidi/>
              <w:spacing w:before="120"/>
              <w:jc w:val="both"/>
              <w:rPr>
                <w:rFonts w:asciiTheme="majorBidi" w:hAnsiTheme="majorBidi" w:cstheme="majorBidi"/>
                <w:bCs/>
                <w:sz w:val="24"/>
              </w:rPr>
            </w:pPr>
            <w:r w:rsidRPr="001624AF">
              <w:rPr>
                <w:rFonts w:asciiTheme="majorBidi" w:hAnsiTheme="majorBidi"/>
                <w:sz w:val="24"/>
                <w:rtl/>
              </w:rPr>
              <w:t>يمكن أن يساعد الرصد على ال</w:t>
            </w:r>
            <w:r w:rsidR="007C0BB2" w:rsidRPr="001624AF">
              <w:rPr>
                <w:rFonts w:asciiTheme="majorBidi" w:hAnsiTheme="majorBidi" w:hint="cs"/>
                <w:sz w:val="24"/>
                <w:rtl/>
              </w:rPr>
              <w:t>صعيد</w:t>
            </w:r>
            <w:r w:rsidRPr="001624AF">
              <w:rPr>
                <w:rFonts w:asciiTheme="majorBidi" w:hAnsiTheme="majorBidi"/>
                <w:sz w:val="24"/>
                <w:rtl/>
              </w:rPr>
              <w:t xml:space="preserve"> القطري الدولة في تحديد مدى </w:t>
            </w:r>
            <w:r w:rsidR="00DE77BE">
              <w:rPr>
                <w:rFonts w:asciiTheme="majorBidi" w:hAnsiTheme="majorBidi" w:hint="cs"/>
                <w:sz w:val="24"/>
                <w:rtl/>
              </w:rPr>
              <w:t xml:space="preserve">كلية </w:t>
            </w:r>
            <w:r w:rsidRPr="001624AF">
              <w:rPr>
                <w:rFonts w:asciiTheme="majorBidi" w:hAnsiTheme="majorBidi"/>
                <w:sz w:val="24"/>
                <w:rtl/>
              </w:rPr>
              <w:t>استفادتها من النُهج والمنهجيات التعليمية التي أثبتت فعاليتها في ضمان احترام التراث الثقافي غير المادي وفهمه، فضلاً عن تحسين نتائج التعلم</w:t>
            </w:r>
            <w:r w:rsidR="00FE5B47" w:rsidRPr="001624AF">
              <w:rPr>
                <w:rFonts w:asciiTheme="majorBidi" w:hAnsiTheme="majorBidi" w:hint="cs"/>
                <w:sz w:val="24"/>
                <w:rtl/>
              </w:rPr>
              <w:t xml:space="preserve"> متوسطة المدى</w:t>
            </w:r>
            <w:r w:rsidRPr="001624AF">
              <w:rPr>
                <w:rFonts w:asciiTheme="majorBidi" w:hAnsiTheme="majorBidi"/>
                <w:sz w:val="24"/>
                <w:rtl/>
              </w:rPr>
              <w:t xml:space="preserve">. وبذلك، فإنه يساعد </w:t>
            </w:r>
            <w:r w:rsidR="00DE77BE">
              <w:rPr>
                <w:rFonts w:asciiTheme="majorBidi" w:hAnsiTheme="majorBidi" w:hint="cs"/>
                <w:sz w:val="24"/>
                <w:rtl/>
              </w:rPr>
              <w:t xml:space="preserve">أيضًا </w:t>
            </w:r>
            <w:r w:rsidRPr="001624AF">
              <w:rPr>
                <w:rFonts w:asciiTheme="majorBidi" w:hAnsiTheme="majorBidi"/>
                <w:sz w:val="24"/>
                <w:rtl/>
              </w:rPr>
              <w:t>على تعزيز الاحترام بين الشباب ل</w:t>
            </w:r>
            <w:r w:rsidR="00BE409D" w:rsidRPr="001624AF">
              <w:rPr>
                <w:rFonts w:asciiTheme="majorBidi" w:hAnsiTheme="majorBidi" w:hint="cs"/>
                <w:sz w:val="24"/>
                <w:rtl/>
              </w:rPr>
              <w:t>جماعاتهم</w:t>
            </w:r>
            <w:r w:rsidR="00DE77BE">
              <w:rPr>
                <w:rFonts w:asciiTheme="majorBidi" w:hAnsiTheme="majorBidi" w:hint="cs"/>
                <w:sz w:val="24"/>
                <w:rtl/>
              </w:rPr>
              <w:t xml:space="preserve"> الخاصة والتابعة للغير</w:t>
            </w:r>
            <w:r w:rsidRPr="001624AF">
              <w:rPr>
                <w:rFonts w:asciiTheme="majorBidi" w:hAnsiTheme="majorBidi"/>
                <w:sz w:val="24"/>
                <w:rtl/>
              </w:rPr>
              <w:t xml:space="preserve">. بينما يمكن أن يساعد الرصد على </w:t>
            </w:r>
            <w:r w:rsidR="007C0BB2" w:rsidRPr="001624AF">
              <w:rPr>
                <w:rFonts w:asciiTheme="majorBidi" w:hAnsiTheme="majorBidi"/>
                <w:sz w:val="24"/>
                <w:rtl/>
              </w:rPr>
              <w:t xml:space="preserve">الصعيد </w:t>
            </w:r>
            <w:r w:rsidRPr="001624AF">
              <w:rPr>
                <w:rFonts w:asciiTheme="majorBidi" w:hAnsiTheme="majorBidi"/>
                <w:sz w:val="24"/>
                <w:rtl/>
              </w:rPr>
              <w:t xml:space="preserve">العالمي في تحديد فرص تعزيز مثل هذه النُهج والمنهجيات، وتحسين فعاليتها، وتبادل الخبرات على </w:t>
            </w:r>
            <w:r w:rsidR="007C0BB2" w:rsidRPr="001624AF">
              <w:rPr>
                <w:rFonts w:asciiTheme="majorBidi" w:hAnsiTheme="majorBidi"/>
                <w:sz w:val="24"/>
                <w:rtl/>
              </w:rPr>
              <w:t xml:space="preserve">الصعيد </w:t>
            </w:r>
            <w:r w:rsidRPr="001624AF">
              <w:rPr>
                <w:rFonts w:asciiTheme="majorBidi" w:hAnsiTheme="majorBidi"/>
                <w:sz w:val="24"/>
                <w:rtl/>
              </w:rPr>
              <w:t>الدولي.</w:t>
            </w:r>
          </w:p>
        </w:tc>
      </w:tr>
      <w:tr w:rsidR="0054175C" w:rsidRPr="001624AF" w14:paraId="7A815EA5" w14:textId="77777777" w:rsidTr="00A833F6">
        <w:tc>
          <w:tcPr>
            <w:tcW w:w="730" w:type="pct"/>
            <w:shd w:val="clear" w:color="auto" w:fill="auto"/>
          </w:tcPr>
          <w:p w14:paraId="6292AC24" w14:textId="3E08462F" w:rsidR="0054175C" w:rsidRPr="001624AF" w:rsidRDefault="008A2384" w:rsidP="00762108">
            <w:pPr>
              <w:bidi/>
              <w:spacing w:before="120"/>
              <w:rPr>
                <w:rFonts w:asciiTheme="majorBidi" w:hAnsiTheme="majorBidi" w:cstheme="majorBidi"/>
                <w:b/>
                <w:bCs/>
                <w:sz w:val="24"/>
              </w:rPr>
            </w:pPr>
            <w:r w:rsidRPr="001624AF">
              <w:rPr>
                <w:rFonts w:asciiTheme="majorBidi" w:hAnsiTheme="majorBidi"/>
                <w:b/>
                <w:bCs/>
                <w:sz w:val="24"/>
                <w:rtl/>
              </w:rPr>
              <w:t>مصادر البيانات وجمعها</w:t>
            </w:r>
          </w:p>
        </w:tc>
        <w:tc>
          <w:tcPr>
            <w:tcW w:w="4270" w:type="pct"/>
            <w:shd w:val="clear" w:color="auto" w:fill="auto"/>
          </w:tcPr>
          <w:p w14:paraId="51DD9431" w14:textId="305683D3" w:rsidR="00C07280" w:rsidRPr="001624AF" w:rsidRDefault="00C07280" w:rsidP="00762108">
            <w:pPr>
              <w:keepNext/>
              <w:bidi/>
              <w:spacing w:before="120" w:after="60"/>
              <w:jc w:val="both"/>
              <w:rPr>
                <w:rFonts w:asciiTheme="majorBidi" w:hAnsiTheme="majorBidi"/>
                <w:sz w:val="24"/>
                <w:rtl/>
              </w:rPr>
            </w:pPr>
            <w:r w:rsidRPr="001624AF">
              <w:rPr>
                <w:rFonts w:asciiTheme="majorBidi" w:hAnsiTheme="majorBidi"/>
                <w:sz w:val="24"/>
                <w:rtl/>
              </w:rPr>
              <w:t xml:space="preserve">يركز المؤشر 5 على التعليم النظامي في المرحلتين الابتدائية والثانوية. من المرجح أن تحتاج دولة إلى </w:t>
            </w:r>
            <w:r w:rsidR="00043CB7">
              <w:rPr>
                <w:rFonts w:asciiTheme="majorBidi" w:hAnsiTheme="majorBidi" w:hint="cs"/>
                <w:sz w:val="24"/>
                <w:rtl/>
              </w:rPr>
              <w:t>الاستعانة</w:t>
            </w:r>
            <w:r w:rsidRPr="001624AF">
              <w:rPr>
                <w:rFonts w:asciiTheme="majorBidi" w:hAnsiTheme="majorBidi"/>
                <w:sz w:val="24"/>
                <w:rtl/>
              </w:rPr>
              <w:t xml:space="preserve"> </w:t>
            </w:r>
            <w:r w:rsidR="00436BE8">
              <w:rPr>
                <w:rFonts w:asciiTheme="majorBidi" w:hAnsiTheme="majorBidi" w:hint="cs"/>
                <w:sz w:val="24"/>
                <w:rtl/>
              </w:rPr>
              <w:t>بالمشاورات</w:t>
            </w:r>
            <w:r w:rsidR="00043CB7">
              <w:rPr>
                <w:rFonts w:asciiTheme="majorBidi" w:hAnsiTheme="majorBidi" w:hint="cs"/>
                <w:sz w:val="24"/>
                <w:rtl/>
              </w:rPr>
              <w:t xml:space="preserve"> </w:t>
            </w:r>
            <w:r w:rsidRPr="001624AF">
              <w:rPr>
                <w:rFonts w:asciiTheme="majorBidi" w:hAnsiTheme="majorBidi"/>
                <w:sz w:val="24"/>
                <w:rtl/>
              </w:rPr>
              <w:t>بين سلطات التراث الثقافي غير المادي ووزارة التربية والتعليم من أجل الرصد و</w:t>
            </w:r>
            <w:r w:rsidR="00043CB7">
              <w:rPr>
                <w:rFonts w:asciiTheme="majorBidi" w:hAnsiTheme="majorBidi" w:hint="cs"/>
                <w:sz w:val="24"/>
                <w:rtl/>
              </w:rPr>
              <w:t>ا</w:t>
            </w:r>
            <w:r w:rsidR="003B1B59">
              <w:rPr>
                <w:rFonts w:asciiTheme="majorBidi" w:hAnsiTheme="majorBidi" w:hint="cs"/>
                <w:sz w:val="24"/>
                <w:rtl/>
              </w:rPr>
              <w:t>عداد التقرير</w:t>
            </w:r>
            <w:r w:rsidRPr="001624AF">
              <w:rPr>
                <w:rFonts w:asciiTheme="majorBidi" w:hAnsiTheme="majorBidi"/>
                <w:sz w:val="24"/>
                <w:rtl/>
              </w:rPr>
              <w:t xml:space="preserve">. قد تكون هذه المعلومات متاحة بالفعل ضمن جهود </w:t>
            </w:r>
            <w:r w:rsidR="003129B0">
              <w:rPr>
                <w:rFonts w:asciiTheme="majorBidi" w:hAnsiTheme="majorBidi" w:hint="cs"/>
                <w:sz w:val="24"/>
                <w:rtl/>
              </w:rPr>
              <w:t>الرصد</w:t>
            </w:r>
            <w:r w:rsidRPr="001624AF">
              <w:rPr>
                <w:rFonts w:asciiTheme="majorBidi" w:hAnsiTheme="majorBidi"/>
                <w:sz w:val="24"/>
                <w:rtl/>
              </w:rPr>
              <w:t xml:space="preserve"> المستمرة لوزارة التربية والتعليم.</w:t>
            </w:r>
            <w:r w:rsidR="001624AF">
              <w:rPr>
                <w:rFonts w:asciiTheme="majorBidi" w:hAnsiTheme="majorBidi" w:hint="cs"/>
                <w:sz w:val="24"/>
                <w:rtl/>
              </w:rPr>
              <w:t xml:space="preserve"> </w:t>
            </w:r>
            <w:r w:rsidRPr="001624AF">
              <w:rPr>
                <w:rFonts w:asciiTheme="majorBidi" w:hAnsiTheme="majorBidi"/>
                <w:sz w:val="24"/>
                <w:rtl/>
              </w:rPr>
              <w:t>كما قد يكون من المفيد الرجوع إلى مصادر البيانات من المجالات المتعلقة بإدراج التراث الثقافي غير المادي في التعليم، مثل التعليم من أجل التنمية المستدامة، والتعليم من أجل المواطنة العالمية، وتعليم السكان الأصليين، والتعليم باللغة الأم، والتعليم متعدد اللغات، والتعليم متعدد الثقافات، وتعليم ال</w:t>
            </w:r>
            <w:r w:rsidR="003129B0">
              <w:rPr>
                <w:rFonts w:asciiTheme="majorBidi" w:hAnsiTheme="majorBidi" w:hint="cs"/>
                <w:sz w:val="24"/>
                <w:rtl/>
              </w:rPr>
              <w:t>جماعات</w:t>
            </w:r>
            <w:r w:rsidRPr="001624AF">
              <w:rPr>
                <w:rFonts w:asciiTheme="majorBidi" w:hAnsiTheme="majorBidi"/>
                <w:sz w:val="24"/>
                <w:rtl/>
              </w:rPr>
              <w:t xml:space="preserve">. </w:t>
            </w:r>
            <w:r w:rsidR="003129B0">
              <w:rPr>
                <w:rFonts w:asciiTheme="majorBidi" w:hAnsiTheme="majorBidi" w:hint="cs"/>
                <w:sz w:val="24"/>
                <w:rtl/>
              </w:rPr>
              <w:t xml:space="preserve">كما </w:t>
            </w:r>
            <w:r w:rsidRPr="001624AF">
              <w:rPr>
                <w:rFonts w:asciiTheme="majorBidi" w:hAnsiTheme="majorBidi"/>
                <w:sz w:val="24"/>
                <w:rtl/>
              </w:rPr>
              <w:t xml:space="preserve">قد تكون البيانات التي تم جمعها لرصد الغايات 4-7 </w:t>
            </w:r>
            <w:r w:rsidR="00DA2319" w:rsidRPr="001624AF">
              <w:rPr>
                <w:rFonts w:asciiTheme="majorBidi" w:hAnsiTheme="majorBidi" w:hint="cs"/>
                <w:sz w:val="24"/>
                <w:rtl/>
              </w:rPr>
              <w:t>و12</w:t>
            </w:r>
            <w:r w:rsidRPr="001624AF">
              <w:rPr>
                <w:rFonts w:asciiTheme="majorBidi" w:hAnsiTheme="majorBidi"/>
                <w:sz w:val="24"/>
                <w:rtl/>
              </w:rPr>
              <w:t xml:space="preserve">-8 من أهداف التنمية المستدامة </w:t>
            </w:r>
            <w:r w:rsidR="003129B0">
              <w:rPr>
                <w:rFonts w:asciiTheme="majorBidi" w:hAnsiTheme="majorBidi" w:hint="cs"/>
                <w:sz w:val="24"/>
                <w:rtl/>
              </w:rPr>
              <w:t xml:space="preserve">بالأخص </w:t>
            </w:r>
            <w:r w:rsidRPr="001624AF">
              <w:rPr>
                <w:rFonts w:asciiTheme="majorBidi" w:hAnsiTheme="majorBidi"/>
                <w:sz w:val="24"/>
                <w:rtl/>
              </w:rPr>
              <w:t>ذات صلة هنا.</w:t>
            </w:r>
          </w:p>
          <w:p w14:paraId="2C232D43" w14:textId="6A07CF6A" w:rsidR="00E73F0D" w:rsidRPr="001624AF" w:rsidRDefault="00C07280" w:rsidP="00762108">
            <w:pPr>
              <w:keepNext/>
              <w:bidi/>
              <w:spacing w:before="120" w:after="60"/>
              <w:jc w:val="both"/>
              <w:rPr>
                <w:rFonts w:asciiTheme="majorBidi" w:hAnsiTheme="majorBidi" w:cstheme="majorBidi"/>
                <w:b/>
                <w:bCs/>
                <w:sz w:val="24"/>
                <w:lang w:bidi="ar-EG"/>
              </w:rPr>
            </w:pPr>
            <w:r w:rsidRPr="001624AF">
              <w:rPr>
                <w:rFonts w:asciiTheme="majorBidi" w:hAnsiTheme="majorBidi" w:cstheme="majorBidi" w:hint="cs"/>
                <w:b/>
                <w:bCs/>
                <w:sz w:val="24"/>
                <w:rtl/>
              </w:rPr>
              <w:t>مصادر البيانات المحتملة</w:t>
            </w:r>
          </w:p>
          <w:p w14:paraId="5A95926B" w14:textId="020C0874" w:rsidR="00077B42" w:rsidRPr="001624AF" w:rsidRDefault="00FB1ECB" w:rsidP="00762108">
            <w:pPr>
              <w:pStyle w:val="ListParagraph"/>
              <w:numPr>
                <w:ilvl w:val="0"/>
                <w:numId w:val="73"/>
              </w:numPr>
              <w:bidi/>
              <w:jc w:val="both"/>
              <w:rPr>
                <w:rFonts w:asciiTheme="majorBidi" w:hAnsiTheme="majorBidi" w:cstheme="majorBidi"/>
                <w:sz w:val="24"/>
                <w:szCs w:val="24"/>
              </w:rPr>
            </w:pPr>
            <w:r w:rsidRPr="001624AF">
              <w:rPr>
                <w:rFonts w:asciiTheme="majorBidi" w:hAnsiTheme="majorBidi"/>
                <w:sz w:val="24"/>
                <w:szCs w:val="24"/>
                <w:rtl/>
              </w:rPr>
              <w:t xml:space="preserve">مناهج </w:t>
            </w:r>
            <w:r w:rsidR="00077B42" w:rsidRPr="001624AF">
              <w:rPr>
                <w:rFonts w:asciiTheme="majorBidi" w:hAnsiTheme="majorBidi"/>
                <w:sz w:val="24"/>
                <w:szCs w:val="24"/>
                <w:rtl/>
              </w:rPr>
              <w:t>تعليمية، على ال</w:t>
            </w:r>
            <w:r w:rsidR="00BE409D" w:rsidRPr="001624AF">
              <w:rPr>
                <w:rFonts w:asciiTheme="majorBidi" w:hAnsiTheme="majorBidi" w:hint="cs"/>
                <w:sz w:val="24"/>
                <w:szCs w:val="24"/>
                <w:rtl/>
              </w:rPr>
              <w:t xml:space="preserve">صعيدين </w:t>
            </w:r>
            <w:r w:rsidR="00077B42" w:rsidRPr="001624AF">
              <w:rPr>
                <w:rFonts w:asciiTheme="majorBidi" w:hAnsiTheme="majorBidi"/>
                <w:sz w:val="24"/>
                <w:szCs w:val="24"/>
                <w:rtl/>
              </w:rPr>
              <w:t xml:space="preserve">الوطني </w:t>
            </w:r>
            <w:proofErr w:type="gramStart"/>
            <w:r w:rsidR="00077B42" w:rsidRPr="001624AF">
              <w:rPr>
                <w:rFonts w:asciiTheme="majorBidi" w:hAnsiTheme="majorBidi"/>
                <w:sz w:val="24"/>
                <w:szCs w:val="24"/>
                <w:rtl/>
              </w:rPr>
              <w:t>والم</w:t>
            </w:r>
            <w:r w:rsidR="00945DAF">
              <w:rPr>
                <w:rFonts w:asciiTheme="majorBidi" w:hAnsiTheme="majorBidi" w:hint="cs"/>
                <w:sz w:val="24"/>
                <w:szCs w:val="24"/>
                <w:rtl/>
              </w:rPr>
              <w:t xml:space="preserve">حلي </w:t>
            </w:r>
            <w:r w:rsidR="00077B42" w:rsidRPr="001624AF">
              <w:rPr>
                <w:rFonts w:asciiTheme="majorBidi" w:hAnsiTheme="majorBidi"/>
                <w:sz w:val="24"/>
                <w:szCs w:val="24"/>
                <w:rtl/>
              </w:rPr>
              <w:t>،</w:t>
            </w:r>
            <w:proofErr w:type="gramEnd"/>
            <w:r w:rsidR="00077B42" w:rsidRPr="001624AF">
              <w:rPr>
                <w:rFonts w:asciiTheme="majorBidi" w:hAnsiTheme="majorBidi"/>
                <w:sz w:val="24"/>
                <w:szCs w:val="24"/>
                <w:rtl/>
              </w:rPr>
              <w:t xml:space="preserve"> بما في ذلك أهداف التعلم والنتائج</w:t>
            </w:r>
            <w:r w:rsidR="00FE5B47" w:rsidRPr="001624AF">
              <w:rPr>
                <w:rFonts w:asciiTheme="majorBidi" w:hAnsiTheme="majorBidi" w:hint="cs"/>
                <w:sz w:val="24"/>
                <w:szCs w:val="24"/>
                <w:rtl/>
              </w:rPr>
              <w:t xml:space="preserve"> </w:t>
            </w:r>
            <w:r w:rsidR="00077B42" w:rsidRPr="001624AF">
              <w:rPr>
                <w:rFonts w:asciiTheme="majorBidi" w:hAnsiTheme="majorBidi"/>
                <w:sz w:val="24"/>
                <w:szCs w:val="24"/>
                <w:rtl/>
              </w:rPr>
              <w:t>المتوقعة</w:t>
            </w:r>
            <w:r w:rsidR="00FE5B47" w:rsidRPr="001624AF">
              <w:rPr>
                <w:rFonts w:asciiTheme="majorBidi" w:hAnsiTheme="majorBidi" w:hint="cs"/>
                <w:sz w:val="24"/>
                <w:szCs w:val="24"/>
                <w:rtl/>
              </w:rPr>
              <w:t xml:space="preserve"> </w:t>
            </w:r>
          </w:p>
          <w:p w14:paraId="371EEF55" w14:textId="02A868B3" w:rsidR="00077B42" w:rsidRPr="001624AF" w:rsidRDefault="00FB1ECB" w:rsidP="00762108">
            <w:pPr>
              <w:pStyle w:val="ListParagraph"/>
              <w:numPr>
                <w:ilvl w:val="0"/>
                <w:numId w:val="73"/>
              </w:numPr>
              <w:bidi/>
              <w:jc w:val="both"/>
              <w:rPr>
                <w:rFonts w:asciiTheme="majorBidi" w:hAnsiTheme="majorBidi" w:cstheme="majorBidi"/>
                <w:sz w:val="24"/>
                <w:szCs w:val="24"/>
              </w:rPr>
            </w:pPr>
            <w:r w:rsidRPr="001624AF">
              <w:rPr>
                <w:rFonts w:asciiTheme="majorBidi" w:hAnsiTheme="majorBidi"/>
                <w:sz w:val="24"/>
                <w:szCs w:val="24"/>
                <w:rtl/>
              </w:rPr>
              <w:t xml:space="preserve">إحصاءات تربوية، </w:t>
            </w:r>
            <w:r w:rsidRPr="001624AF">
              <w:rPr>
                <w:rFonts w:asciiTheme="majorBidi" w:hAnsiTheme="majorBidi" w:hint="cs"/>
                <w:sz w:val="24"/>
                <w:szCs w:val="24"/>
                <w:rtl/>
              </w:rPr>
              <w:t>و</w:t>
            </w:r>
            <w:r w:rsidRPr="001624AF">
              <w:rPr>
                <w:rFonts w:asciiTheme="majorBidi" w:hAnsiTheme="majorBidi"/>
                <w:sz w:val="24"/>
                <w:szCs w:val="24"/>
                <w:rtl/>
              </w:rPr>
              <w:t>مسوح، و</w:t>
            </w:r>
            <w:r w:rsidR="00077B42" w:rsidRPr="001624AF">
              <w:rPr>
                <w:rFonts w:asciiTheme="majorBidi" w:hAnsiTheme="majorBidi"/>
                <w:sz w:val="24"/>
                <w:szCs w:val="24"/>
                <w:rtl/>
              </w:rPr>
              <w:t>تقييمات،</w:t>
            </w:r>
            <w:r w:rsidRPr="001624AF">
              <w:rPr>
                <w:rFonts w:asciiTheme="majorBidi" w:hAnsiTheme="majorBidi"/>
                <w:sz w:val="24"/>
                <w:szCs w:val="24"/>
                <w:rtl/>
              </w:rPr>
              <w:t xml:space="preserve"> وتقارير سنوية أو دورية عن إنجازات </w:t>
            </w:r>
            <w:r w:rsidR="00077B42" w:rsidRPr="001624AF">
              <w:rPr>
                <w:rFonts w:asciiTheme="majorBidi" w:hAnsiTheme="majorBidi"/>
                <w:sz w:val="24"/>
                <w:szCs w:val="24"/>
                <w:rtl/>
              </w:rPr>
              <w:t>تعليمية</w:t>
            </w:r>
          </w:p>
          <w:p w14:paraId="38D06F43" w14:textId="5C380585" w:rsidR="00077B42" w:rsidRPr="001624AF" w:rsidRDefault="00FB1ECB" w:rsidP="00762108">
            <w:pPr>
              <w:pStyle w:val="ListParagraph"/>
              <w:numPr>
                <w:ilvl w:val="0"/>
                <w:numId w:val="73"/>
              </w:numPr>
              <w:bidi/>
              <w:jc w:val="both"/>
              <w:rPr>
                <w:rFonts w:asciiTheme="majorBidi" w:hAnsiTheme="majorBidi" w:cstheme="majorBidi"/>
                <w:sz w:val="24"/>
                <w:szCs w:val="24"/>
              </w:rPr>
            </w:pPr>
            <w:r w:rsidRPr="001624AF">
              <w:rPr>
                <w:rFonts w:asciiTheme="majorBidi" w:hAnsiTheme="majorBidi"/>
                <w:sz w:val="24"/>
                <w:szCs w:val="24"/>
                <w:rtl/>
              </w:rPr>
              <w:t xml:space="preserve">تقرير </w:t>
            </w:r>
            <w:r w:rsidR="00077B42" w:rsidRPr="001624AF">
              <w:rPr>
                <w:rFonts w:asciiTheme="majorBidi" w:hAnsiTheme="majorBidi"/>
                <w:sz w:val="24"/>
                <w:szCs w:val="24"/>
                <w:rtl/>
              </w:rPr>
              <w:t>قطري لليونسكو بشأن تنفيذ الاتفاقية والتوصية الخاصتين بمكافحة التمييز في مجال التعليم (1960)، لا سيما فيما يتعلق بلغات الأقليات في التعليم</w:t>
            </w:r>
          </w:p>
          <w:p w14:paraId="2F493FF2" w14:textId="263A54AB" w:rsidR="00077B42" w:rsidRPr="001624AF" w:rsidRDefault="00FB1ECB" w:rsidP="00762108">
            <w:pPr>
              <w:pStyle w:val="ListParagraph"/>
              <w:numPr>
                <w:ilvl w:val="0"/>
                <w:numId w:val="73"/>
              </w:numPr>
              <w:bidi/>
              <w:jc w:val="both"/>
              <w:rPr>
                <w:rFonts w:asciiTheme="majorBidi" w:hAnsiTheme="majorBidi" w:cstheme="majorBidi"/>
                <w:sz w:val="24"/>
                <w:szCs w:val="24"/>
              </w:rPr>
            </w:pPr>
            <w:r w:rsidRPr="001624AF">
              <w:rPr>
                <w:rFonts w:asciiTheme="majorBidi" w:hAnsiTheme="majorBidi"/>
                <w:sz w:val="24"/>
                <w:szCs w:val="24"/>
                <w:rtl/>
              </w:rPr>
              <w:t xml:space="preserve">تقرير </w:t>
            </w:r>
            <w:r w:rsidR="00077B42" w:rsidRPr="001624AF">
              <w:rPr>
                <w:rFonts w:asciiTheme="majorBidi" w:hAnsiTheme="majorBidi"/>
                <w:sz w:val="24"/>
                <w:szCs w:val="24"/>
                <w:rtl/>
              </w:rPr>
              <w:t xml:space="preserve">قطري لليونسكو </w:t>
            </w:r>
            <w:r w:rsidR="003129B0">
              <w:rPr>
                <w:rFonts w:asciiTheme="majorBidi" w:hAnsiTheme="majorBidi" w:hint="cs"/>
                <w:sz w:val="24"/>
                <w:szCs w:val="24"/>
                <w:rtl/>
              </w:rPr>
              <w:t>حول</w:t>
            </w:r>
            <w:r w:rsidR="00077B42" w:rsidRPr="001624AF">
              <w:rPr>
                <w:rFonts w:asciiTheme="majorBidi" w:hAnsiTheme="majorBidi"/>
                <w:sz w:val="24"/>
                <w:szCs w:val="24"/>
                <w:rtl/>
              </w:rPr>
              <w:t xml:space="preserve"> تنفيذ التوصية بشأن التربية من أجل التفاهم والتعاون والسلام على الصعيد الدوليّ والتربية في مجال حقوق الإنسان وحرّيّاته الأساسيّة (1974)</w:t>
            </w:r>
          </w:p>
          <w:p w14:paraId="28270241" w14:textId="6F9E4567" w:rsidR="00077B42" w:rsidRPr="001624AF" w:rsidRDefault="00FB1ECB" w:rsidP="00762108">
            <w:pPr>
              <w:pStyle w:val="ListParagraph"/>
              <w:numPr>
                <w:ilvl w:val="0"/>
                <w:numId w:val="73"/>
              </w:numPr>
              <w:bidi/>
              <w:jc w:val="both"/>
              <w:rPr>
                <w:rFonts w:asciiTheme="majorBidi" w:hAnsiTheme="majorBidi" w:cstheme="majorBidi"/>
                <w:sz w:val="24"/>
                <w:szCs w:val="24"/>
              </w:rPr>
            </w:pPr>
            <w:r w:rsidRPr="001624AF">
              <w:rPr>
                <w:rFonts w:asciiTheme="majorBidi" w:hAnsiTheme="majorBidi"/>
                <w:sz w:val="24"/>
                <w:szCs w:val="24"/>
                <w:rtl/>
              </w:rPr>
              <w:t xml:space="preserve">تقرير </w:t>
            </w:r>
            <w:r w:rsidR="00077B42" w:rsidRPr="001624AF">
              <w:rPr>
                <w:rFonts w:asciiTheme="majorBidi" w:hAnsiTheme="majorBidi"/>
                <w:sz w:val="24"/>
                <w:szCs w:val="24"/>
                <w:rtl/>
              </w:rPr>
              <w:t>قطري للمجلس الاقتصادي والاجتماعي (</w:t>
            </w:r>
            <w:r w:rsidR="00077B42" w:rsidRPr="001624AF">
              <w:rPr>
                <w:rFonts w:asciiTheme="majorBidi" w:hAnsiTheme="majorBidi" w:cstheme="majorBidi"/>
                <w:sz w:val="24"/>
                <w:szCs w:val="24"/>
              </w:rPr>
              <w:t>ECOSOC</w:t>
            </w:r>
            <w:r w:rsidR="00077B42" w:rsidRPr="001624AF">
              <w:rPr>
                <w:rFonts w:asciiTheme="majorBidi" w:hAnsiTheme="majorBidi"/>
                <w:sz w:val="24"/>
                <w:szCs w:val="24"/>
                <w:rtl/>
              </w:rPr>
              <w:t xml:space="preserve">) بشأن تنفيذ المادة 13 من </w:t>
            </w:r>
            <w:r w:rsidR="00077B42" w:rsidRPr="001624AF">
              <w:rPr>
                <w:rFonts w:asciiTheme="majorBidi" w:hAnsiTheme="majorBidi" w:cstheme="majorBidi"/>
                <w:sz w:val="24"/>
                <w:szCs w:val="24"/>
                <w:cs/>
              </w:rPr>
              <w:t>‎‎</w:t>
            </w:r>
            <w:r w:rsidR="00077B42" w:rsidRPr="001624AF">
              <w:rPr>
                <w:rFonts w:asciiTheme="majorBidi" w:hAnsiTheme="majorBidi"/>
                <w:sz w:val="24"/>
                <w:szCs w:val="24"/>
                <w:rtl/>
              </w:rPr>
              <w:t>العهد الدولي الخاص بالحقوق الاقتصادية والاجتماعية والثقافية‏‏ (1966) (</w:t>
            </w:r>
            <w:r w:rsidR="00077B42" w:rsidRPr="001624AF">
              <w:rPr>
                <w:rFonts w:asciiTheme="majorBidi" w:hAnsiTheme="majorBidi" w:cstheme="majorBidi"/>
                <w:sz w:val="24"/>
                <w:szCs w:val="24"/>
              </w:rPr>
              <w:t>ICESCR</w:t>
            </w:r>
            <w:r w:rsidR="00077B42" w:rsidRPr="001624AF">
              <w:rPr>
                <w:rFonts w:asciiTheme="majorBidi" w:hAnsiTheme="majorBidi"/>
                <w:sz w:val="24"/>
                <w:szCs w:val="24"/>
                <w:rtl/>
              </w:rPr>
              <w:t>)</w:t>
            </w:r>
          </w:p>
          <w:p w14:paraId="23652677" w14:textId="78ED7E03" w:rsidR="0054175C" w:rsidRPr="001624AF" w:rsidRDefault="00FB1ECB" w:rsidP="00762108">
            <w:pPr>
              <w:pStyle w:val="ListParagraph"/>
              <w:numPr>
                <w:ilvl w:val="0"/>
                <w:numId w:val="73"/>
              </w:numPr>
              <w:bidi/>
              <w:spacing w:before="120"/>
              <w:jc w:val="both"/>
              <w:rPr>
                <w:rFonts w:asciiTheme="majorBidi" w:hAnsiTheme="majorBidi" w:cstheme="majorBidi"/>
                <w:sz w:val="24"/>
                <w:szCs w:val="24"/>
                <w:lang w:val="en-GB"/>
              </w:rPr>
            </w:pPr>
            <w:r w:rsidRPr="001624AF">
              <w:rPr>
                <w:rFonts w:asciiTheme="majorBidi" w:hAnsiTheme="majorBidi"/>
                <w:sz w:val="24"/>
                <w:szCs w:val="24"/>
                <w:rtl/>
              </w:rPr>
              <w:t xml:space="preserve">تقرير </w:t>
            </w:r>
            <w:r w:rsidR="00077B42" w:rsidRPr="001624AF">
              <w:rPr>
                <w:rFonts w:asciiTheme="majorBidi" w:hAnsiTheme="majorBidi"/>
                <w:sz w:val="24"/>
                <w:szCs w:val="24"/>
                <w:rtl/>
              </w:rPr>
              <w:t>قطري لمنظمة العمل الدولية (</w:t>
            </w:r>
            <w:r w:rsidR="00077B42" w:rsidRPr="001624AF">
              <w:rPr>
                <w:rFonts w:asciiTheme="majorBidi" w:hAnsiTheme="majorBidi" w:cstheme="majorBidi"/>
                <w:sz w:val="24"/>
                <w:szCs w:val="24"/>
              </w:rPr>
              <w:t>ILO</w:t>
            </w:r>
            <w:r w:rsidR="00077B42" w:rsidRPr="001624AF">
              <w:rPr>
                <w:rFonts w:asciiTheme="majorBidi" w:hAnsiTheme="majorBidi"/>
                <w:sz w:val="24"/>
                <w:szCs w:val="24"/>
                <w:rtl/>
              </w:rPr>
              <w:t>) بشأن تنفيذ الاتفاقية رقم 169، ولا سيما الجزء السادس، التعليم ووسائل الاتصال</w:t>
            </w:r>
          </w:p>
        </w:tc>
      </w:tr>
    </w:tbl>
    <w:p w14:paraId="15881895" w14:textId="77777777" w:rsidR="00320242" w:rsidRPr="00A833F6" w:rsidRDefault="00320242" w:rsidP="00762108">
      <w:pPr>
        <w:bidi/>
        <w:rPr>
          <w:rFonts w:asciiTheme="majorBidi" w:hAnsiTheme="majorBidi" w:cstheme="majorBidi"/>
        </w:rPr>
      </w:pPr>
    </w:p>
    <w:sectPr w:rsidR="00320242" w:rsidRPr="00A833F6"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A77B" w14:textId="77777777" w:rsidR="00B27D2B" w:rsidRDefault="00B27D2B" w:rsidP="002938F2">
      <w:r>
        <w:separator/>
      </w:r>
    </w:p>
    <w:p w14:paraId="5361E330" w14:textId="77777777" w:rsidR="00B27D2B" w:rsidRDefault="00B27D2B"/>
  </w:endnote>
  <w:endnote w:type="continuationSeparator" w:id="0">
    <w:p w14:paraId="058A82ED" w14:textId="77777777" w:rsidR="00B27D2B" w:rsidRDefault="00B27D2B" w:rsidP="002938F2">
      <w:r>
        <w:continuationSeparator/>
      </w:r>
    </w:p>
    <w:p w14:paraId="2DCD6117" w14:textId="77777777" w:rsidR="00B27D2B" w:rsidRDefault="00B27D2B"/>
  </w:endnote>
  <w:endnote w:type="continuationNotice" w:id="1">
    <w:p w14:paraId="50264058" w14:textId="77777777" w:rsidR="00B27D2B" w:rsidRDefault="00B27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9E52" w14:textId="77777777" w:rsidR="00F0052C" w:rsidRDefault="00F00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E4B7" w14:textId="7C98FD9C" w:rsidR="00C04344" w:rsidRPr="000A0709" w:rsidRDefault="00353FC1" w:rsidP="00F0052C">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D94199">
      <w:rPr>
        <w:rFonts w:ascii="Arial" w:hAnsi="Arial" w:cs="Arial"/>
        <w:noProof/>
        <w:rtl/>
      </w:rPr>
      <w:t>3</w:t>
    </w:r>
    <w:r w:rsidRPr="000F25B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86E1" w14:textId="77777777" w:rsidR="00F0052C" w:rsidRDefault="00F0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8028" w14:textId="77777777" w:rsidR="00B27D2B" w:rsidRDefault="00B27D2B" w:rsidP="002938F2">
      <w:r>
        <w:separator/>
      </w:r>
    </w:p>
  </w:footnote>
  <w:footnote w:type="continuationSeparator" w:id="0">
    <w:p w14:paraId="1783B017" w14:textId="77777777" w:rsidR="00B27D2B" w:rsidRDefault="00B27D2B" w:rsidP="002938F2">
      <w:r>
        <w:continuationSeparator/>
      </w:r>
    </w:p>
    <w:p w14:paraId="32070DE4" w14:textId="77777777" w:rsidR="00B27D2B" w:rsidRDefault="00B27D2B"/>
  </w:footnote>
  <w:footnote w:type="continuationNotice" w:id="1">
    <w:p w14:paraId="224619B4" w14:textId="77777777" w:rsidR="00B27D2B" w:rsidRDefault="00B27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6BDC" w14:textId="77777777" w:rsidR="00F0052C" w:rsidRDefault="00F00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C735" w14:textId="77777777" w:rsidR="006758BC" w:rsidRDefault="00675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39D" w14:textId="77777777" w:rsidR="00F0052C" w:rsidRDefault="00F00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81F4C59"/>
    <w:multiLevelType w:val="multilevel"/>
    <w:tmpl w:val="FD7C3C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C5B5BA3"/>
    <w:multiLevelType w:val="hybridMultilevel"/>
    <w:tmpl w:val="D6005100"/>
    <w:lvl w:ilvl="0" w:tplc="7AEAF05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53531D"/>
    <w:multiLevelType w:val="hybridMultilevel"/>
    <w:tmpl w:val="29E246E0"/>
    <w:lvl w:ilvl="0" w:tplc="35EAC7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5"/>
  </w:num>
  <w:num w:numId="3">
    <w:abstractNumId w:val="11"/>
  </w:num>
  <w:num w:numId="4">
    <w:abstractNumId w:val="57"/>
  </w:num>
  <w:num w:numId="5">
    <w:abstractNumId w:val="47"/>
  </w:num>
  <w:num w:numId="6">
    <w:abstractNumId w:val="4"/>
  </w:num>
  <w:num w:numId="7">
    <w:abstractNumId w:val="15"/>
  </w:num>
  <w:num w:numId="8">
    <w:abstractNumId w:val="24"/>
  </w:num>
  <w:num w:numId="9">
    <w:abstractNumId w:val="51"/>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5"/>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8"/>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6"/>
  </w:num>
  <w:num w:numId="42">
    <w:abstractNumId w:val="53"/>
  </w:num>
  <w:num w:numId="43">
    <w:abstractNumId w:val="29"/>
  </w:num>
  <w:num w:numId="44">
    <w:abstractNumId w:val="12"/>
  </w:num>
  <w:num w:numId="45">
    <w:abstractNumId w:val="54"/>
  </w:num>
  <w:num w:numId="46">
    <w:abstractNumId w:val="5"/>
  </w:num>
  <w:num w:numId="47">
    <w:abstractNumId w:val="36"/>
  </w:num>
  <w:num w:numId="48">
    <w:abstractNumId w:val="58"/>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5"/>
  </w:num>
  <w:num w:numId="60">
    <w:abstractNumId w:val="2"/>
  </w:num>
  <w:num w:numId="61">
    <w:abstractNumId w:val="31"/>
  </w:num>
  <w:num w:numId="62">
    <w:abstractNumId w:val="21"/>
  </w:num>
  <w:num w:numId="63">
    <w:abstractNumId w:val="50"/>
  </w:num>
  <w:num w:numId="64">
    <w:abstractNumId w:val="18"/>
  </w:num>
  <w:num w:numId="65">
    <w:abstractNumId w:val="23"/>
  </w:num>
  <w:num w:numId="66">
    <w:abstractNumId w:val="46"/>
  </w:num>
  <w:num w:numId="67">
    <w:abstractNumId w:val="37"/>
  </w:num>
  <w:num w:numId="68">
    <w:abstractNumId w:val="13"/>
  </w:num>
  <w:num w:numId="69">
    <w:abstractNumId w:val="43"/>
  </w:num>
  <w:num w:numId="70">
    <w:abstractNumId w:val="33"/>
  </w:num>
  <w:num w:numId="71">
    <w:abstractNumId w:val="28"/>
  </w:num>
  <w:num w:numId="72">
    <w:abstractNumId w:val="52"/>
  </w:num>
  <w:num w:numId="73">
    <w:abstractNumId w:val="7"/>
  </w:num>
  <w:num w:numId="74">
    <w:abstractNumId w:val="35"/>
  </w:num>
  <w:num w:numId="75">
    <w:abstractNumId w:val="26"/>
  </w:num>
  <w:num w:numId="76">
    <w:abstractNumId w:val="49"/>
  </w:num>
  <w:num w:numId="7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B7"/>
    <w:rsid w:val="000016A4"/>
    <w:rsid w:val="000019DB"/>
    <w:rsid w:val="000047CC"/>
    <w:rsid w:val="00005BA5"/>
    <w:rsid w:val="00005BFA"/>
    <w:rsid w:val="00006F66"/>
    <w:rsid w:val="00010E2D"/>
    <w:rsid w:val="000120FD"/>
    <w:rsid w:val="00013A65"/>
    <w:rsid w:val="0001506E"/>
    <w:rsid w:val="000154DA"/>
    <w:rsid w:val="00015B9D"/>
    <w:rsid w:val="0001601A"/>
    <w:rsid w:val="00021831"/>
    <w:rsid w:val="00022C19"/>
    <w:rsid w:val="00023A69"/>
    <w:rsid w:val="00031A37"/>
    <w:rsid w:val="00036843"/>
    <w:rsid w:val="00043CB7"/>
    <w:rsid w:val="00047E58"/>
    <w:rsid w:val="00054FDC"/>
    <w:rsid w:val="00055E4F"/>
    <w:rsid w:val="000632E2"/>
    <w:rsid w:val="0007203D"/>
    <w:rsid w:val="000729D2"/>
    <w:rsid w:val="00073D20"/>
    <w:rsid w:val="00074322"/>
    <w:rsid w:val="00074E7D"/>
    <w:rsid w:val="000755E1"/>
    <w:rsid w:val="0007681B"/>
    <w:rsid w:val="000769F1"/>
    <w:rsid w:val="00077B42"/>
    <w:rsid w:val="00083694"/>
    <w:rsid w:val="00085541"/>
    <w:rsid w:val="00092AE6"/>
    <w:rsid w:val="00093063"/>
    <w:rsid w:val="000A0709"/>
    <w:rsid w:val="000A0F0D"/>
    <w:rsid w:val="000A112A"/>
    <w:rsid w:val="000A21DA"/>
    <w:rsid w:val="000A34CE"/>
    <w:rsid w:val="000B379B"/>
    <w:rsid w:val="000B3B98"/>
    <w:rsid w:val="000C03BF"/>
    <w:rsid w:val="000C15BD"/>
    <w:rsid w:val="000C65E4"/>
    <w:rsid w:val="000C7EE0"/>
    <w:rsid w:val="000D075B"/>
    <w:rsid w:val="000D1EBC"/>
    <w:rsid w:val="000D260B"/>
    <w:rsid w:val="000D345F"/>
    <w:rsid w:val="000D7375"/>
    <w:rsid w:val="000E2EE7"/>
    <w:rsid w:val="000E4ACD"/>
    <w:rsid w:val="000E7367"/>
    <w:rsid w:val="000F25BA"/>
    <w:rsid w:val="000F2B3F"/>
    <w:rsid w:val="000F74F3"/>
    <w:rsid w:val="000F7E6F"/>
    <w:rsid w:val="00106B72"/>
    <w:rsid w:val="00106D19"/>
    <w:rsid w:val="0011334A"/>
    <w:rsid w:val="00115830"/>
    <w:rsid w:val="00115D96"/>
    <w:rsid w:val="00116489"/>
    <w:rsid w:val="0011750D"/>
    <w:rsid w:val="00121B41"/>
    <w:rsid w:val="00125471"/>
    <w:rsid w:val="001301DF"/>
    <w:rsid w:val="001412DE"/>
    <w:rsid w:val="00142D78"/>
    <w:rsid w:val="00143E9E"/>
    <w:rsid w:val="00144A4D"/>
    <w:rsid w:val="00151351"/>
    <w:rsid w:val="001529B7"/>
    <w:rsid w:val="00156788"/>
    <w:rsid w:val="001609A1"/>
    <w:rsid w:val="001624AF"/>
    <w:rsid w:val="00162554"/>
    <w:rsid w:val="00163F68"/>
    <w:rsid w:val="00173B50"/>
    <w:rsid w:val="00173E0E"/>
    <w:rsid w:val="00174B39"/>
    <w:rsid w:val="001814E2"/>
    <w:rsid w:val="00183F6C"/>
    <w:rsid w:val="00185628"/>
    <w:rsid w:val="001902E1"/>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3513"/>
    <w:rsid w:val="00286C0C"/>
    <w:rsid w:val="00287687"/>
    <w:rsid w:val="00290D5F"/>
    <w:rsid w:val="002938F2"/>
    <w:rsid w:val="00293AF6"/>
    <w:rsid w:val="00293CCC"/>
    <w:rsid w:val="002A195D"/>
    <w:rsid w:val="002B43D6"/>
    <w:rsid w:val="002B6B98"/>
    <w:rsid w:val="002C0D84"/>
    <w:rsid w:val="002C28BA"/>
    <w:rsid w:val="002C3B8F"/>
    <w:rsid w:val="002C444C"/>
    <w:rsid w:val="002C5021"/>
    <w:rsid w:val="002C5280"/>
    <w:rsid w:val="002C5C29"/>
    <w:rsid w:val="002D396D"/>
    <w:rsid w:val="002D71D4"/>
    <w:rsid w:val="002E113D"/>
    <w:rsid w:val="002F17E1"/>
    <w:rsid w:val="003040CB"/>
    <w:rsid w:val="003043A9"/>
    <w:rsid w:val="0030454E"/>
    <w:rsid w:val="003129B0"/>
    <w:rsid w:val="00320242"/>
    <w:rsid w:val="00322A3A"/>
    <w:rsid w:val="00324A32"/>
    <w:rsid w:val="00325D6E"/>
    <w:rsid w:val="00334977"/>
    <w:rsid w:val="00337194"/>
    <w:rsid w:val="00342EE8"/>
    <w:rsid w:val="00344D78"/>
    <w:rsid w:val="00346517"/>
    <w:rsid w:val="00351CCB"/>
    <w:rsid w:val="00353FC1"/>
    <w:rsid w:val="0035648A"/>
    <w:rsid w:val="00362B41"/>
    <w:rsid w:val="00363995"/>
    <w:rsid w:val="00364E5E"/>
    <w:rsid w:val="003656C7"/>
    <w:rsid w:val="003671E0"/>
    <w:rsid w:val="00370E9B"/>
    <w:rsid w:val="00373067"/>
    <w:rsid w:val="00374E35"/>
    <w:rsid w:val="00377E4B"/>
    <w:rsid w:val="00383BA9"/>
    <w:rsid w:val="003845B0"/>
    <w:rsid w:val="00385B34"/>
    <w:rsid w:val="00386C08"/>
    <w:rsid w:val="00387D88"/>
    <w:rsid w:val="00392A68"/>
    <w:rsid w:val="0039446E"/>
    <w:rsid w:val="003A260A"/>
    <w:rsid w:val="003A2BC4"/>
    <w:rsid w:val="003A6572"/>
    <w:rsid w:val="003B1B59"/>
    <w:rsid w:val="003B31BE"/>
    <w:rsid w:val="003B504D"/>
    <w:rsid w:val="003C3245"/>
    <w:rsid w:val="003C7065"/>
    <w:rsid w:val="003D2E0D"/>
    <w:rsid w:val="003D4398"/>
    <w:rsid w:val="003D5113"/>
    <w:rsid w:val="003D5BFC"/>
    <w:rsid w:val="003D6D25"/>
    <w:rsid w:val="003D6E10"/>
    <w:rsid w:val="003E0C0F"/>
    <w:rsid w:val="003E0E28"/>
    <w:rsid w:val="003E19D5"/>
    <w:rsid w:val="003E76A8"/>
    <w:rsid w:val="003F5B90"/>
    <w:rsid w:val="00404856"/>
    <w:rsid w:val="00404F66"/>
    <w:rsid w:val="00406ED7"/>
    <w:rsid w:val="004108B6"/>
    <w:rsid w:val="0041110F"/>
    <w:rsid w:val="00412F81"/>
    <w:rsid w:val="0041300C"/>
    <w:rsid w:val="00414B68"/>
    <w:rsid w:val="00430ED2"/>
    <w:rsid w:val="00434773"/>
    <w:rsid w:val="004367F5"/>
    <w:rsid w:val="00436BE8"/>
    <w:rsid w:val="004458C9"/>
    <w:rsid w:val="00447C66"/>
    <w:rsid w:val="00462F38"/>
    <w:rsid w:val="00471B34"/>
    <w:rsid w:val="00474AFE"/>
    <w:rsid w:val="00477E66"/>
    <w:rsid w:val="00480809"/>
    <w:rsid w:val="00486A5E"/>
    <w:rsid w:val="00493F92"/>
    <w:rsid w:val="004A0C2B"/>
    <w:rsid w:val="004A610E"/>
    <w:rsid w:val="004C20E2"/>
    <w:rsid w:val="004D51CE"/>
    <w:rsid w:val="004D7970"/>
    <w:rsid w:val="004E056C"/>
    <w:rsid w:val="004E2817"/>
    <w:rsid w:val="004E2AE8"/>
    <w:rsid w:val="004E3E57"/>
    <w:rsid w:val="004E418A"/>
    <w:rsid w:val="005016FB"/>
    <w:rsid w:val="00504256"/>
    <w:rsid w:val="00511D17"/>
    <w:rsid w:val="005157E2"/>
    <w:rsid w:val="0051699F"/>
    <w:rsid w:val="00516DE3"/>
    <w:rsid w:val="00520A9C"/>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D4C17"/>
    <w:rsid w:val="005E3A3E"/>
    <w:rsid w:val="005E6A2B"/>
    <w:rsid w:val="005E7C7C"/>
    <w:rsid w:val="00601BF2"/>
    <w:rsid w:val="00601DD6"/>
    <w:rsid w:val="006032AE"/>
    <w:rsid w:val="00603F71"/>
    <w:rsid w:val="00605202"/>
    <w:rsid w:val="00621092"/>
    <w:rsid w:val="00621208"/>
    <w:rsid w:val="00621B9F"/>
    <w:rsid w:val="006251FA"/>
    <w:rsid w:val="00632B30"/>
    <w:rsid w:val="006340A1"/>
    <w:rsid w:val="00636760"/>
    <w:rsid w:val="00640B8A"/>
    <w:rsid w:val="00644B92"/>
    <w:rsid w:val="00645B77"/>
    <w:rsid w:val="0065099D"/>
    <w:rsid w:val="006515C9"/>
    <w:rsid w:val="00651944"/>
    <w:rsid w:val="00652318"/>
    <w:rsid w:val="00652484"/>
    <w:rsid w:val="00653314"/>
    <w:rsid w:val="0066025A"/>
    <w:rsid w:val="0067005F"/>
    <w:rsid w:val="0067015A"/>
    <w:rsid w:val="006736EC"/>
    <w:rsid w:val="00673D90"/>
    <w:rsid w:val="006758BC"/>
    <w:rsid w:val="00676C1E"/>
    <w:rsid w:val="00686D60"/>
    <w:rsid w:val="00691869"/>
    <w:rsid w:val="006970FE"/>
    <w:rsid w:val="006A0D86"/>
    <w:rsid w:val="006A49AE"/>
    <w:rsid w:val="006A56C0"/>
    <w:rsid w:val="006C0911"/>
    <w:rsid w:val="006C737A"/>
    <w:rsid w:val="006D46FB"/>
    <w:rsid w:val="006E29C0"/>
    <w:rsid w:val="006E3565"/>
    <w:rsid w:val="006E5F42"/>
    <w:rsid w:val="006E752A"/>
    <w:rsid w:val="006E7CF0"/>
    <w:rsid w:val="006F3E83"/>
    <w:rsid w:val="006F4B83"/>
    <w:rsid w:val="006F5BB8"/>
    <w:rsid w:val="006F7F47"/>
    <w:rsid w:val="00701458"/>
    <w:rsid w:val="00701D7E"/>
    <w:rsid w:val="00703198"/>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610"/>
    <w:rsid w:val="00753DA3"/>
    <w:rsid w:val="00760AB9"/>
    <w:rsid w:val="007610D3"/>
    <w:rsid w:val="00762108"/>
    <w:rsid w:val="007629DB"/>
    <w:rsid w:val="00764F50"/>
    <w:rsid w:val="00767871"/>
    <w:rsid w:val="00770A92"/>
    <w:rsid w:val="00774D9C"/>
    <w:rsid w:val="0077590E"/>
    <w:rsid w:val="00776A63"/>
    <w:rsid w:val="00790C65"/>
    <w:rsid w:val="007929FF"/>
    <w:rsid w:val="0079316B"/>
    <w:rsid w:val="00797028"/>
    <w:rsid w:val="007973D1"/>
    <w:rsid w:val="007A0565"/>
    <w:rsid w:val="007A0EAA"/>
    <w:rsid w:val="007A1247"/>
    <w:rsid w:val="007A1E0A"/>
    <w:rsid w:val="007A6F91"/>
    <w:rsid w:val="007A7D45"/>
    <w:rsid w:val="007B4ADA"/>
    <w:rsid w:val="007C0BB2"/>
    <w:rsid w:val="007C105C"/>
    <w:rsid w:val="007C1B00"/>
    <w:rsid w:val="007D0F1D"/>
    <w:rsid w:val="007D2881"/>
    <w:rsid w:val="007D31CE"/>
    <w:rsid w:val="007D3AD8"/>
    <w:rsid w:val="007D5BB7"/>
    <w:rsid w:val="007D6A69"/>
    <w:rsid w:val="007E0621"/>
    <w:rsid w:val="007E4E37"/>
    <w:rsid w:val="007F4B07"/>
    <w:rsid w:val="00801734"/>
    <w:rsid w:val="008029A6"/>
    <w:rsid w:val="008056F9"/>
    <w:rsid w:val="00806BFF"/>
    <w:rsid w:val="008147BA"/>
    <w:rsid w:val="008269B0"/>
    <w:rsid w:val="0083067E"/>
    <w:rsid w:val="00832357"/>
    <w:rsid w:val="0083488D"/>
    <w:rsid w:val="008466C3"/>
    <w:rsid w:val="00846809"/>
    <w:rsid w:val="0085107D"/>
    <w:rsid w:val="00851458"/>
    <w:rsid w:val="00853572"/>
    <w:rsid w:val="008548D9"/>
    <w:rsid w:val="00861A47"/>
    <w:rsid w:val="008707FF"/>
    <w:rsid w:val="008724E5"/>
    <w:rsid w:val="00875CFA"/>
    <w:rsid w:val="00877AC5"/>
    <w:rsid w:val="00877F27"/>
    <w:rsid w:val="0088173A"/>
    <w:rsid w:val="00881EB9"/>
    <w:rsid w:val="008848E9"/>
    <w:rsid w:val="00884C09"/>
    <w:rsid w:val="00885596"/>
    <w:rsid w:val="00885B33"/>
    <w:rsid w:val="00886B71"/>
    <w:rsid w:val="0089499E"/>
    <w:rsid w:val="00896177"/>
    <w:rsid w:val="008A0BE3"/>
    <w:rsid w:val="008A2384"/>
    <w:rsid w:val="008A2566"/>
    <w:rsid w:val="008A6663"/>
    <w:rsid w:val="008A7906"/>
    <w:rsid w:val="008B6B4C"/>
    <w:rsid w:val="008B7346"/>
    <w:rsid w:val="008C60FC"/>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1954"/>
    <w:rsid w:val="00945DAF"/>
    <w:rsid w:val="00946D71"/>
    <w:rsid w:val="009577E1"/>
    <w:rsid w:val="00971CA1"/>
    <w:rsid w:val="0097349C"/>
    <w:rsid w:val="00980F64"/>
    <w:rsid w:val="009814C2"/>
    <w:rsid w:val="00982FFD"/>
    <w:rsid w:val="00985265"/>
    <w:rsid w:val="00985856"/>
    <w:rsid w:val="00986E3B"/>
    <w:rsid w:val="009A4969"/>
    <w:rsid w:val="009A7955"/>
    <w:rsid w:val="009B1466"/>
    <w:rsid w:val="009B6973"/>
    <w:rsid w:val="009C0510"/>
    <w:rsid w:val="009C3663"/>
    <w:rsid w:val="009D098F"/>
    <w:rsid w:val="009D3C1B"/>
    <w:rsid w:val="009D4547"/>
    <w:rsid w:val="009D5A49"/>
    <w:rsid w:val="009D5E38"/>
    <w:rsid w:val="009D602F"/>
    <w:rsid w:val="009D68D0"/>
    <w:rsid w:val="009D732F"/>
    <w:rsid w:val="009E17AF"/>
    <w:rsid w:val="009F0D42"/>
    <w:rsid w:val="009F1B82"/>
    <w:rsid w:val="009F34A4"/>
    <w:rsid w:val="009F3988"/>
    <w:rsid w:val="00A003D0"/>
    <w:rsid w:val="00A073FD"/>
    <w:rsid w:val="00A150C7"/>
    <w:rsid w:val="00A2307A"/>
    <w:rsid w:val="00A33154"/>
    <w:rsid w:val="00A413BA"/>
    <w:rsid w:val="00A462C6"/>
    <w:rsid w:val="00A519A2"/>
    <w:rsid w:val="00A51BDC"/>
    <w:rsid w:val="00A535B7"/>
    <w:rsid w:val="00A5709F"/>
    <w:rsid w:val="00A616C4"/>
    <w:rsid w:val="00A61F20"/>
    <w:rsid w:val="00A64796"/>
    <w:rsid w:val="00A659B3"/>
    <w:rsid w:val="00A66CD4"/>
    <w:rsid w:val="00A70883"/>
    <w:rsid w:val="00A725B6"/>
    <w:rsid w:val="00A77AEB"/>
    <w:rsid w:val="00A81F0A"/>
    <w:rsid w:val="00A833F6"/>
    <w:rsid w:val="00A85C7A"/>
    <w:rsid w:val="00A86042"/>
    <w:rsid w:val="00A95807"/>
    <w:rsid w:val="00AA36F9"/>
    <w:rsid w:val="00AA444A"/>
    <w:rsid w:val="00AB1528"/>
    <w:rsid w:val="00AB4E14"/>
    <w:rsid w:val="00AD3AF4"/>
    <w:rsid w:val="00AD6BD4"/>
    <w:rsid w:val="00AD7C56"/>
    <w:rsid w:val="00AE1B18"/>
    <w:rsid w:val="00AE1D83"/>
    <w:rsid w:val="00AE2DFB"/>
    <w:rsid w:val="00AE3061"/>
    <w:rsid w:val="00AF15BA"/>
    <w:rsid w:val="00AF1C32"/>
    <w:rsid w:val="00AF65C6"/>
    <w:rsid w:val="00B11AE3"/>
    <w:rsid w:val="00B121A6"/>
    <w:rsid w:val="00B24349"/>
    <w:rsid w:val="00B27D2B"/>
    <w:rsid w:val="00B300B8"/>
    <w:rsid w:val="00B32A28"/>
    <w:rsid w:val="00B33904"/>
    <w:rsid w:val="00B3751E"/>
    <w:rsid w:val="00B427FE"/>
    <w:rsid w:val="00B43834"/>
    <w:rsid w:val="00B505FD"/>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B6E00"/>
    <w:rsid w:val="00BC002E"/>
    <w:rsid w:val="00BC393F"/>
    <w:rsid w:val="00BC75FC"/>
    <w:rsid w:val="00BD59BD"/>
    <w:rsid w:val="00BE03F4"/>
    <w:rsid w:val="00BE409D"/>
    <w:rsid w:val="00BE5B3F"/>
    <w:rsid w:val="00BE6AFB"/>
    <w:rsid w:val="00BF351F"/>
    <w:rsid w:val="00BF3F50"/>
    <w:rsid w:val="00BF5910"/>
    <w:rsid w:val="00BF6F37"/>
    <w:rsid w:val="00C02924"/>
    <w:rsid w:val="00C04344"/>
    <w:rsid w:val="00C05FA4"/>
    <w:rsid w:val="00C07280"/>
    <w:rsid w:val="00C116E9"/>
    <w:rsid w:val="00C15B58"/>
    <w:rsid w:val="00C17FE4"/>
    <w:rsid w:val="00C21897"/>
    <w:rsid w:val="00C276EE"/>
    <w:rsid w:val="00C332A9"/>
    <w:rsid w:val="00C43757"/>
    <w:rsid w:val="00C43BCE"/>
    <w:rsid w:val="00C47CF1"/>
    <w:rsid w:val="00C52006"/>
    <w:rsid w:val="00C53AB4"/>
    <w:rsid w:val="00C542F1"/>
    <w:rsid w:val="00C572B3"/>
    <w:rsid w:val="00C57CA1"/>
    <w:rsid w:val="00C6300B"/>
    <w:rsid w:val="00C6426B"/>
    <w:rsid w:val="00C6478B"/>
    <w:rsid w:val="00C70D44"/>
    <w:rsid w:val="00C87194"/>
    <w:rsid w:val="00C90629"/>
    <w:rsid w:val="00C90C51"/>
    <w:rsid w:val="00C952BE"/>
    <w:rsid w:val="00CA3ED6"/>
    <w:rsid w:val="00CA7CF4"/>
    <w:rsid w:val="00CB0F37"/>
    <w:rsid w:val="00CB1135"/>
    <w:rsid w:val="00CB590B"/>
    <w:rsid w:val="00CC02C5"/>
    <w:rsid w:val="00CC2BC6"/>
    <w:rsid w:val="00CC3AAB"/>
    <w:rsid w:val="00CD324E"/>
    <w:rsid w:val="00CD374A"/>
    <w:rsid w:val="00CD4A28"/>
    <w:rsid w:val="00CD54BD"/>
    <w:rsid w:val="00CD6C36"/>
    <w:rsid w:val="00CE2586"/>
    <w:rsid w:val="00CF05D7"/>
    <w:rsid w:val="00CF34A6"/>
    <w:rsid w:val="00CF3F93"/>
    <w:rsid w:val="00D003E4"/>
    <w:rsid w:val="00D020F3"/>
    <w:rsid w:val="00D04515"/>
    <w:rsid w:val="00D065AD"/>
    <w:rsid w:val="00D1481E"/>
    <w:rsid w:val="00D22831"/>
    <w:rsid w:val="00D35F51"/>
    <w:rsid w:val="00D404B7"/>
    <w:rsid w:val="00D44509"/>
    <w:rsid w:val="00D448CB"/>
    <w:rsid w:val="00D47226"/>
    <w:rsid w:val="00D47ED5"/>
    <w:rsid w:val="00D61779"/>
    <w:rsid w:val="00D61B01"/>
    <w:rsid w:val="00D64315"/>
    <w:rsid w:val="00D73DB6"/>
    <w:rsid w:val="00D754EA"/>
    <w:rsid w:val="00D809E5"/>
    <w:rsid w:val="00D81948"/>
    <w:rsid w:val="00D82D81"/>
    <w:rsid w:val="00D90819"/>
    <w:rsid w:val="00D93291"/>
    <w:rsid w:val="00D94199"/>
    <w:rsid w:val="00D9501F"/>
    <w:rsid w:val="00DA2319"/>
    <w:rsid w:val="00DA3E81"/>
    <w:rsid w:val="00DA69AB"/>
    <w:rsid w:val="00DB4188"/>
    <w:rsid w:val="00DB50D5"/>
    <w:rsid w:val="00DC5537"/>
    <w:rsid w:val="00DD11EE"/>
    <w:rsid w:val="00DD4798"/>
    <w:rsid w:val="00DD52A0"/>
    <w:rsid w:val="00DE5590"/>
    <w:rsid w:val="00DE6364"/>
    <w:rsid w:val="00DE77BE"/>
    <w:rsid w:val="00DF1D9E"/>
    <w:rsid w:val="00DF3DA3"/>
    <w:rsid w:val="00DF5DA4"/>
    <w:rsid w:val="00E06492"/>
    <w:rsid w:val="00E065CE"/>
    <w:rsid w:val="00E06A00"/>
    <w:rsid w:val="00E13E03"/>
    <w:rsid w:val="00E15EB2"/>
    <w:rsid w:val="00E22B99"/>
    <w:rsid w:val="00E23073"/>
    <w:rsid w:val="00E24A9D"/>
    <w:rsid w:val="00E258D9"/>
    <w:rsid w:val="00E35B8C"/>
    <w:rsid w:val="00E439CA"/>
    <w:rsid w:val="00E46DDB"/>
    <w:rsid w:val="00E473F3"/>
    <w:rsid w:val="00E5219B"/>
    <w:rsid w:val="00E56905"/>
    <w:rsid w:val="00E64BE4"/>
    <w:rsid w:val="00E73F0D"/>
    <w:rsid w:val="00E776FF"/>
    <w:rsid w:val="00E85565"/>
    <w:rsid w:val="00E87F91"/>
    <w:rsid w:val="00E94BC6"/>
    <w:rsid w:val="00E9625E"/>
    <w:rsid w:val="00EA0563"/>
    <w:rsid w:val="00EA198F"/>
    <w:rsid w:val="00EA2EA1"/>
    <w:rsid w:val="00EA3CB9"/>
    <w:rsid w:val="00EA59EB"/>
    <w:rsid w:val="00EA67F3"/>
    <w:rsid w:val="00EB2D70"/>
    <w:rsid w:val="00EB48F8"/>
    <w:rsid w:val="00EC0362"/>
    <w:rsid w:val="00EC3325"/>
    <w:rsid w:val="00EC3F9D"/>
    <w:rsid w:val="00ED0C60"/>
    <w:rsid w:val="00ED3D26"/>
    <w:rsid w:val="00ED5218"/>
    <w:rsid w:val="00ED6591"/>
    <w:rsid w:val="00EE1D9D"/>
    <w:rsid w:val="00EE49A1"/>
    <w:rsid w:val="00EF0BCB"/>
    <w:rsid w:val="00EF0E74"/>
    <w:rsid w:val="00EF2549"/>
    <w:rsid w:val="00F0052C"/>
    <w:rsid w:val="00F00E8A"/>
    <w:rsid w:val="00F16242"/>
    <w:rsid w:val="00F16A93"/>
    <w:rsid w:val="00F17602"/>
    <w:rsid w:val="00F17FCB"/>
    <w:rsid w:val="00F226CC"/>
    <w:rsid w:val="00F2691E"/>
    <w:rsid w:val="00F26931"/>
    <w:rsid w:val="00F279DD"/>
    <w:rsid w:val="00F3242E"/>
    <w:rsid w:val="00F33650"/>
    <w:rsid w:val="00F348F9"/>
    <w:rsid w:val="00F37E4B"/>
    <w:rsid w:val="00F4144E"/>
    <w:rsid w:val="00F41B00"/>
    <w:rsid w:val="00F473CB"/>
    <w:rsid w:val="00F50245"/>
    <w:rsid w:val="00F50712"/>
    <w:rsid w:val="00F63DDA"/>
    <w:rsid w:val="00F67029"/>
    <w:rsid w:val="00F70858"/>
    <w:rsid w:val="00F71BBC"/>
    <w:rsid w:val="00F7397F"/>
    <w:rsid w:val="00F75949"/>
    <w:rsid w:val="00F75CF4"/>
    <w:rsid w:val="00F76F90"/>
    <w:rsid w:val="00F866CD"/>
    <w:rsid w:val="00F941F0"/>
    <w:rsid w:val="00F97FF5"/>
    <w:rsid w:val="00FA7CE6"/>
    <w:rsid w:val="00FB1313"/>
    <w:rsid w:val="00FB1ECB"/>
    <w:rsid w:val="00FB5B19"/>
    <w:rsid w:val="00FC1783"/>
    <w:rsid w:val="00FC2238"/>
    <w:rsid w:val="00FC2459"/>
    <w:rsid w:val="00FC268E"/>
    <w:rsid w:val="00FC2BFD"/>
    <w:rsid w:val="00FC309D"/>
    <w:rsid w:val="00FC47E0"/>
    <w:rsid w:val="00FD1C42"/>
    <w:rsid w:val="00FD1E96"/>
    <w:rsid w:val="00FD1FE7"/>
    <w:rsid w:val="00FD27E7"/>
    <w:rsid w:val="00FD6442"/>
    <w:rsid w:val="00FE15F6"/>
    <w:rsid w:val="00FE1F8A"/>
    <w:rsid w:val="00FE5B47"/>
    <w:rsid w:val="00FF0978"/>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BAC95"/>
  <w15:docId w15:val="{23A7967F-8C4A-41DD-8D3F-515956EC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67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25B8-D26D-4FF0-A90C-8C96B73E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Joseph, George</cp:lastModifiedBy>
  <cp:revision>2</cp:revision>
  <dcterms:created xsi:type="dcterms:W3CDTF">2022-04-06T09:44:00Z</dcterms:created>
  <dcterms:modified xsi:type="dcterms:W3CDTF">2022-04-06T09:44:00Z</dcterms:modified>
</cp:coreProperties>
</file>