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B9114" w14:textId="55F50E2C" w:rsidR="00BF5E4B" w:rsidRPr="002B2A50" w:rsidRDefault="00BF5E4B" w:rsidP="00AB24DC">
      <w:pPr>
        <w:pageBreakBefore/>
        <w:bidi/>
        <w:jc w:val="center"/>
        <w:rPr>
          <w:rFonts w:asciiTheme="majorBidi" w:hAnsiTheme="majorBidi" w:cstheme="majorBidi"/>
          <w:b/>
          <w:bCs/>
          <w:sz w:val="24"/>
          <w:szCs w:val="28"/>
        </w:rPr>
      </w:pPr>
      <w:r w:rsidRPr="002B2A50">
        <w:rPr>
          <w:rFonts w:asciiTheme="majorBidi" w:hAnsiTheme="majorBidi" w:cstheme="majorBidi"/>
          <w:b/>
          <w:bCs/>
          <w:sz w:val="24"/>
          <w:szCs w:val="28"/>
          <w:rtl/>
        </w:rPr>
        <w:t>اللمحة العامة والأسس المنطقية</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
        <w:gridCol w:w="6582"/>
        <w:gridCol w:w="1533"/>
      </w:tblGrid>
      <w:tr w:rsidR="005473CF" w:rsidRPr="00F9268E" w14:paraId="6CFC7CC5" w14:textId="77777777" w:rsidTr="00BF5E4B">
        <w:trPr>
          <w:cantSplit/>
        </w:trPr>
        <w:tc>
          <w:tcPr>
            <w:tcW w:w="786" w:type="pct"/>
            <w:shd w:val="clear" w:color="auto" w:fill="auto"/>
          </w:tcPr>
          <w:p w14:paraId="19817BA5" w14:textId="0A1F6F9F" w:rsidR="005473CF" w:rsidRPr="00306CD4" w:rsidRDefault="00BF5E4B" w:rsidP="00AB24DC">
            <w:pPr>
              <w:bidi/>
              <w:spacing w:before="120"/>
              <w:jc w:val="both"/>
              <w:rPr>
                <w:rFonts w:asciiTheme="majorBidi" w:hAnsiTheme="majorBidi" w:cstheme="majorBidi"/>
                <w:b/>
                <w:bCs/>
                <w:sz w:val="24"/>
              </w:rPr>
            </w:pPr>
            <w:r w:rsidRPr="00306CD4">
              <w:rPr>
                <w:rFonts w:asciiTheme="majorBidi" w:hAnsiTheme="majorBidi" w:cstheme="majorBidi"/>
                <w:b/>
                <w:bCs/>
                <w:sz w:val="24"/>
                <w:rtl/>
                <w:lang w:bidi="ar-EG"/>
              </w:rPr>
              <w:t>المؤشر</w:t>
            </w:r>
          </w:p>
        </w:tc>
        <w:tc>
          <w:tcPr>
            <w:tcW w:w="4214" w:type="pct"/>
            <w:gridSpan w:val="2"/>
            <w:shd w:val="clear" w:color="auto" w:fill="auto"/>
          </w:tcPr>
          <w:p w14:paraId="1771349F" w14:textId="1C00EDC9" w:rsidR="005473CF" w:rsidRPr="00306CD4" w:rsidRDefault="00564BCD" w:rsidP="00AB24DC">
            <w:pPr>
              <w:pStyle w:val="ListParagraph"/>
              <w:keepLines/>
              <w:numPr>
                <w:ilvl w:val="0"/>
                <w:numId w:val="76"/>
              </w:numPr>
              <w:bidi/>
              <w:spacing w:before="120"/>
              <w:jc w:val="both"/>
              <w:rPr>
                <w:rFonts w:asciiTheme="majorBidi" w:hAnsiTheme="majorBidi"/>
                <w:b/>
                <w:bCs/>
                <w:sz w:val="24"/>
                <w:szCs w:val="24"/>
              </w:rPr>
            </w:pPr>
            <w:r w:rsidRPr="00306CD4">
              <w:rPr>
                <w:rFonts w:asciiTheme="majorBidi" w:hAnsiTheme="majorBidi"/>
                <w:b/>
                <w:bCs/>
                <w:sz w:val="24"/>
                <w:szCs w:val="24"/>
                <w:rtl/>
              </w:rPr>
              <w:t>مدى دعم التعليم ما بعد المرحلة الثانوية لممارسة التراث الثقافي غير المادي ونقله وكذلك دراسة أبعاده الاجتماعية والثقافية وغيرها</w:t>
            </w:r>
          </w:p>
        </w:tc>
      </w:tr>
      <w:tr w:rsidR="005B0FE5" w:rsidRPr="00F9268E" w14:paraId="6DEB4B3D" w14:textId="77777777" w:rsidTr="00BF5E4B">
        <w:trPr>
          <w:cantSplit/>
        </w:trPr>
        <w:tc>
          <w:tcPr>
            <w:tcW w:w="786" w:type="pct"/>
            <w:vMerge w:val="restart"/>
            <w:shd w:val="clear" w:color="auto" w:fill="auto"/>
          </w:tcPr>
          <w:p w14:paraId="2D4B7692" w14:textId="3A4758B1" w:rsidR="005B0FE5" w:rsidRPr="00306CD4" w:rsidRDefault="00BF5E4B" w:rsidP="00AB24DC">
            <w:pPr>
              <w:bidi/>
              <w:spacing w:before="120"/>
              <w:jc w:val="both"/>
              <w:rPr>
                <w:rFonts w:asciiTheme="majorBidi" w:hAnsiTheme="majorBidi" w:cstheme="majorBidi"/>
                <w:b/>
                <w:bCs/>
                <w:sz w:val="24"/>
              </w:rPr>
            </w:pPr>
            <w:r w:rsidRPr="00306CD4">
              <w:rPr>
                <w:rFonts w:asciiTheme="majorBidi" w:hAnsiTheme="majorBidi" w:cstheme="majorBidi"/>
                <w:b/>
                <w:bCs/>
                <w:sz w:val="24"/>
                <w:rtl/>
              </w:rPr>
              <w:t>عوامل التقييم الشامل</w:t>
            </w:r>
          </w:p>
        </w:tc>
        <w:tc>
          <w:tcPr>
            <w:tcW w:w="4214" w:type="pct"/>
            <w:gridSpan w:val="2"/>
            <w:shd w:val="clear" w:color="auto" w:fill="auto"/>
          </w:tcPr>
          <w:p w14:paraId="4310932F" w14:textId="06AA1D9C" w:rsidR="005B0FE5" w:rsidRPr="00306CD4" w:rsidRDefault="00F821B0" w:rsidP="00AB24DC">
            <w:pPr>
              <w:keepLines/>
              <w:bidi/>
              <w:spacing w:before="120"/>
              <w:jc w:val="both"/>
              <w:rPr>
                <w:rFonts w:asciiTheme="majorBidi" w:hAnsiTheme="majorBidi" w:cstheme="majorBidi"/>
                <w:b/>
                <w:sz w:val="24"/>
              </w:rPr>
            </w:pPr>
            <w:r w:rsidRPr="00306CD4">
              <w:rPr>
                <w:rFonts w:asciiTheme="majorBidi" w:hAnsiTheme="majorBidi" w:cstheme="majorBidi"/>
                <w:sz w:val="24"/>
                <w:rtl/>
              </w:rPr>
              <w:t>يتم تقييم هذا المؤشر على أساس عامل</w:t>
            </w:r>
            <w:r w:rsidRPr="00306CD4">
              <w:rPr>
                <w:rFonts w:asciiTheme="majorBidi" w:hAnsiTheme="majorBidi" w:cstheme="majorBidi"/>
                <w:sz w:val="24"/>
                <w:rtl/>
                <w:lang w:bidi="ar-EG"/>
              </w:rPr>
              <w:t>ين</w:t>
            </w:r>
            <w:r w:rsidRPr="00306CD4">
              <w:rPr>
                <w:rFonts w:asciiTheme="majorBidi" w:hAnsiTheme="majorBidi" w:cstheme="majorBidi"/>
                <w:sz w:val="24"/>
                <w:rtl/>
              </w:rPr>
              <w:t xml:space="preserve"> على </w:t>
            </w:r>
            <w:r w:rsidR="00824461" w:rsidRPr="00306CD4">
              <w:rPr>
                <w:rFonts w:asciiTheme="majorBidi" w:hAnsiTheme="majorBidi" w:cstheme="majorBidi" w:hint="cs"/>
                <w:sz w:val="24"/>
                <w:rtl/>
              </w:rPr>
              <w:t>الصعيد</w:t>
            </w:r>
            <w:r w:rsidRPr="00306CD4">
              <w:rPr>
                <w:rFonts w:asciiTheme="majorBidi" w:hAnsiTheme="majorBidi" w:cstheme="majorBidi"/>
                <w:sz w:val="24"/>
                <w:rtl/>
              </w:rPr>
              <w:t xml:space="preserve"> القطري ترصده</w:t>
            </w:r>
            <w:r w:rsidR="00564BCD" w:rsidRPr="00306CD4">
              <w:rPr>
                <w:rFonts w:asciiTheme="majorBidi" w:hAnsiTheme="majorBidi" w:cstheme="majorBidi" w:hint="cs"/>
                <w:sz w:val="24"/>
                <w:rtl/>
              </w:rPr>
              <w:t>م</w:t>
            </w:r>
            <w:r w:rsidRPr="00306CD4">
              <w:rPr>
                <w:rFonts w:asciiTheme="majorBidi" w:hAnsiTheme="majorBidi" w:cstheme="majorBidi"/>
                <w:sz w:val="24"/>
                <w:rtl/>
              </w:rPr>
              <w:t xml:space="preserve">ا كل دولة طرف </w:t>
            </w:r>
            <w:r w:rsidR="003E5082" w:rsidRPr="00306CD4">
              <w:rPr>
                <w:rFonts w:asciiTheme="majorBidi" w:hAnsiTheme="majorBidi" w:cstheme="majorBidi" w:hint="cs"/>
                <w:sz w:val="24"/>
                <w:rtl/>
                <w:lang w:bidi="ar-EG"/>
              </w:rPr>
              <w:t>و</w:t>
            </w:r>
            <w:r w:rsidR="00FC5E68" w:rsidRPr="00306CD4">
              <w:rPr>
                <w:rFonts w:asciiTheme="majorBidi" w:hAnsiTheme="majorBidi" w:cstheme="majorBidi" w:hint="cs"/>
                <w:sz w:val="24"/>
                <w:rtl/>
                <w:lang w:bidi="ar-EG"/>
              </w:rPr>
              <w:t>ت</w:t>
            </w:r>
            <w:r w:rsidR="004912D1">
              <w:rPr>
                <w:rFonts w:asciiTheme="majorBidi" w:hAnsiTheme="majorBidi" w:cstheme="majorBidi" w:hint="cs"/>
                <w:sz w:val="24"/>
                <w:rtl/>
                <w:lang w:bidi="ar-EG"/>
              </w:rPr>
              <w:t>عد التقرير</w:t>
            </w:r>
            <w:r w:rsidR="00FC5E68" w:rsidRPr="00306CD4">
              <w:rPr>
                <w:rFonts w:asciiTheme="majorBidi" w:hAnsiTheme="majorBidi" w:cstheme="majorBidi" w:hint="cs"/>
                <w:sz w:val="24"/>
                <w:rtl/>
                <w:lang w:bidi="ar-EG"/>
              </w:rPr>
              <w:t xml:space="preserve"> عنه</w:t>
            </w:r>
            <w:r w:rsidR="00564BCD" w:rsidRPr="00306CD4">
              <w:rPr>
                <w:rFonts w:asciiTheme="majorBidi" w:hAnsiTheme="majorBidi" w:cstheme="majorBidi" w:hint="cs"/>
                <w:sz w:val="24"/>
                <w:rtl/>
                <w:lang w:bidi="ar-EG"/>
              </w:rPr>
              <w:t>م</w:t>
            </w:r>
            <w:r w:rsidR="00FC5E68" w:rsidRPr="00306CD4">
              <w:rPr>
                <w:rFonts w:asciiTheme="majorBidi" w:hAnsiTheme="majorBidi" w:cstheme="majorBidi" w:hint="cs"/>
                <w:sz w:val="24"/>
                <w:rtl/>
                <w:lang w:bidi="ar-EG"/>
              </w:rPr>
              <w:t>ا</w:t>
            </w:r>
            <w:r w:rsidRPr="00306CD4">
              <w:rPr>
                <w:rFonts w:asciiTheme="majorBidi" w:hAnsiTheme="majorBidi" w:cstheme="majorBidi"/>
                <w:sz w:val="24"/>
                <w:rtl/>
              </w:rPr>
              <w:t>:</w:t>
            </w:r>
          </w:p>
        </w:tc>
      </w:tr>
      <w:tr w:rsidR="00B614BC" w:rsidRPr="00F9268E" w14:paraId="26C2FD7B" w14:textId="77777777" w:rsidTr="00BF5E4B">
        <w:trPr>
          <w:cantSplit/>
        </w:trPr>
        <w:tc>
          <w:tcPr>
            <w:tcW w:w="786" w:type="pct"/>
            <w:vMerge/>
            <w:shd w:val="clear" w:color="auto" w:fill="auto"/>
          </w:tcPr>
          <w:p w14:paraId="76B242D7" w14:textId="77777777" w:rsidR="00B614BC" w:rsidRPr="00306CD4" w:rsidRDefault="00B614BC" w:rsidP="00AB24DC">
            <w:pPr>
              <w:bidi/>
              <w:spacing w:before="120"/>
              <w:jc w:val="both"/>
              <w:rPr>
                <w:rFonts w:asciiTheme="majorBidi" w:hAnsiTheme="majorBidi" w:cstheme="majorBidi"/>
                <w:b/>
                <w:bCs/>
                <w:sz w:val="24"/>
              </w:rPr>
            </w:pPr>
          </w:p>
        </w:tc>
        <w:tc>
          <w:tcPr>
            <w:tcW w:w="3418" w:type="pct"/>
            <w:shd w:val="clear" w:color="auto" w:fill="auto"/>
            <w:vAlign w:val="center"/>
          </w:tcPr>
          <w:p w14:paraId="39A3E178" w14:textId="6DF06E2A" w:rsidR="00B614BC" w:rsidRPr="00306CD4" w:rsidRDefault="00DF6D2F" w:rsidP="00AB24DC">
            <w:pPr>
              <w:keepLines/>
              <w:bidi/>
              <w:spacing w:before="120"/>
              <w:jc w:val="both"/>
              <w:rPr>
                <w:rFonts w:asciiTheme="majorBidi" w:hAnsiTheme="majorBidi" w:cstheme="majorBidi"/>
                <w:sz w:val="24"/>
              </w:rPr>
            </w:pPr>
            <w:r w:rsidRPr="00306CD4">
              <w:rPr>
                <w:rFonts w:asciiTheme="majorBidi" w:hAnsiTheme="majorBidi" w:hint="cs"/>
                <w:sz w:val="24"/>
                <w:rtl/>
              </w:rPr>
              <w:t>6</w:t>
            </w:r>
            <w:r w:rsidR="003A0873" w:rsidRPr="00306CD4">
              <w:rPr>
                <w:rFonts w:asciiTheme="majorBidi" w:hAnsiTheme="majorBidi"/>
                <w:sz w:val="24"/>
                <w:rtl/>
              </w:rPr>
              <w:t>-1 تقديم مؤسسات التعليم ما بعد المرحلة الثانوية لمناهج وشهادات (في مجالات مثل الموسيقى، والفنون، والحرف اليدوية، والتعليم الفني والتدريب المهني، وغيرها) تعزّز ممارسة التراث الثقافي غير المادي ونقله.</w:t>
            </w:r>
          </w:p>
        </w:tc>
        <w:tc>
          <w:tcPr>
            <w:tcW w:w="796" w:type="pct"/>
            <w:shd w:val="clear" w:color="auto" w:fill="auto"/>
            <w:vAlign w:val="center"/>
          </w:tcPr>
          <w:p w14:paraId="5F0D92BB" w14:textId="626B0EEB" w:rsidR="00B614BC" w:rsidRPr="00306CD4" w:rsidRDefault="008B6231" w:rsidP="00AB24DC">
            <w:pPr>
              <w:keepLines/>
              <w:bidi/>
              <w:spacing w:before="120"/>
              <w:jc w:val="both"/>
              <w:rPr>
                <w:rFonts w:asciiTheme="majorBidi" w:hAnsiTheme="majorBidi" w:cstheme="majorBidi"/>
                <w:sz w:val="24"/>
              </w:rPr>
            </w:pPr>
            <w:r w:rsidRPr="00306CD4">
              <w:rPr>
                <w:rFonts w:asciiTheme="majorBidi" w:hAnsiTheme="majorBidi" w:cstheme="majorBidi"/>
                <w:sz w:val="24"/>
                <w:rtl/>
              </w:rPr>
              <w:t>المادة 14</w:t>
            </w:r>
          </w:p>
        </w:tc>
      </w:tr>
      <w:tr w:rsidR="00B614BC" w:rsidRPr="00F9268E" w14:paraId="2C811565" w14:textId="77777777" w:rsidTr="00BF5E4B">
        <w:trPr>
          <w:cantSplit/>
        </w:trPr>
        <w:tc>
          <w:tcPr>
            <w:tcW w:w="786" w:type="pct"/>
            <w:vMerge/>
            <w:shd w:val="clear" w:color="auto" w:fill="auto"/>
          </w:tcPr>
          <w:p w14:paraId="21832097" w14:textId="77777777" w:rsidR="00B614BC" w:rsidRPr="00306CD4" w:rsidRDefault="00B614BC" w:rsidP="00AB24DC">
            <w:pPr>
              <w:bidi/>
              <w:spacing w:before="120"/>
              <w:jc w:val="both"/>
              <w:rPr>
                <w:rFonts w:asciiTheme="majorBidi" w:hAnsiTheme="majorBidi" w:cstheme="majorBidi"/>
                <w:b/>
                <w:bCs/>
                <w:sz w:val="24"/>
              </w:rPr>
            </w:pPr>
          </w:p>
        </w:tc>
        <w:tc>
          <w:tcPr>
            <w:tcW w:w="3418" w:type="pct"/>
            <w:shd w:val="clear" w:color="auto" w:fill="auto"/>
            <w:vAlign w:val="center"/>
          </w:tcPr>
          <w:p w14:paraId="3E861094" w14:textId="42FF0892" w:rsidR="00B614BC" w:rsidRPr="00306CD4" w:rsidRDefault="00DF6D2F" w:rsidP="00AB24DC">
            <w:pPr>
              <w:keepLines/>
              <w:bidi/>
              <w:spacing w:before="120"/>
              <w:jc w:val="both"/>
              <w:rPr>
                <w:rFonts w:asciiTheme="majorBidi" w:hAnsiTheme="majorBidi" w:cstheme="majorBidi"/>
                <w:sz w:val="24"/>
              </w:rPr>
            </w:pPr>
            <w:r w:rsidRPr="00306CD4">
              <w:rPr>
                <w:rFonts w:asciiTheme="majorBidi" w:hAnsiTheme="majorBidi"/>
                <w:sz w:val="24"/>
                <w:rtl/>
              </w:rPr>
              <w:t xml:space="preserve">6-2 تقديم مؤسسات التعليم ما بعد المرحلة الثانوية لمناهج وشهادات لدراسة التراث الثقافي غير المادي، </w:t>
            </w:r>
            <w:r w:rsidR="00F9268E" w:rsidRPr="00306CD4">
              <w:rPr>
                <w:rFonts w:asciiTheme="majorBidi" w:hAnsiTheme="majorBidi" w:hint="cs"/>
                <w:sz w:val="24"/>
                <w:rtl/>
              </w:rPr>
              <w:t xml:space="preserve">وأبعاده الاجتماعية، </w:t>
            </w:r>
            <w:r w:rsidRPr="00306CD4">
              <w:rPr>
                <w:rFonts w:asciiTheme="majorBidi" w:hAnsiTheme="majorBidi"/>
                <w:sz w:val="24"/>
                <w:rtl/>
              </w:rPr>
              <w:t>والثقافية</w:t>
            </w:r>
            <w:r w:rsidR="00F9268E" w:rsidRPr="00306CD4">
              <w:rPr>
                <w:rFonts w:asciiTheme="majorBidi" w:hAnsiTheme="majorBidi" w:hint="cs"/>
                <w:sz w:val="24"/>
                <w:rtl/>
              </w:rPr>
              <w:t>،</w:t>
            </w:r>
            <w:r w:rsidRPr="00306CD4">
              <w:rPr>
                <w:rFonts w:asciiTheme="majorBidi" w:hAnsiTheme="majorBidi"/>
                <w:sz w:val="24"/>
                <w:rtl/>
              </w:rPr>
              <w:t xml:space="preserve"> وغيرها.</w:t>
            </w:r>
          </w:p>
        </w:tc>
        <w:tc>
          <w:tcPr>
            <w:tcW w:w="796" w:type="pct"/>
            <w:shd w:val="clear" w:color="auto" w:fill="auto"/>
            <w:vAlign w:val="center"/>
          </w:tcPr>
          <w:p w14:paraId="3836E1CC" w14:textId="579377C8" w:rsidR="00B614BC" w:rsidRPr="00306CD4" w:rsidRDefault="008B6231" w:rsidP="00AB24DC">
            <w:pPr>
              <w:bidi/>
              <w:spacing w:before="60" w:after="60"/>
              <w:jc w:val="both"/>
              <w:rPr>
                <w:rFonts w:asciiTheme="majorBidi" w:hAnsiTheme="majorBidi" w:cstheme="majorBidi"/>
                <w:sz w:val="24"/>
              </w:rPr>
            </w:pPr>
            <w:r w:rsidRPr="00306CD4">
              <w:rPr>
                <w:rFonts w:asciiTheme="majorBidi" w:hAnsiTheme="majorBidi" w:cstheme="majorBidi"/>
                <w:sz w:val="24"/>
                <w:rtl/>
              </w:rPr>
              <w:t>المادة 14</w:t>
            </w:r>
          </w:p>
        </w:tc>
      </w:tr>
      <w:tr w:rsidR="005473CF" w:rsidRPr="00F9268E" w14:paraId="0B24EEC8" w14:textId="77777777" w:rsidTr="00BF5E4B">
        <w:trPr>
          <w:cantSplit/>
        </w:trPr>
        <w:tc>
          <w:tcPr>
            <w:tcW w:w="786" w:type="pct"/>
            <w:shd w:val="clear" w:color="auto" w:fill="auto"/>
          </w:tcPr>
          <w:p w14:paraId="6F1E85B3" w14:textId="1A67A285" w:rsidR="005473CF" w:rsidRPr="00306CD4" w:rsidRDefault="00BF5E4B" w:rsidP="00AB24DC">
            <w:pPr>
              <w:bidi/>
              <w:spacing w:before="120"/>
              <w:jc w:val="both"/>
              <w:rPr>
                <w:rFonts w:asciiTheme="majorBidi" w:hAnsiTheme="majorBidi" w:cstheme="majorBidi"/>
                <w:b/>
                <w:bCs/>
                <w:sz w:val="24"/>
              </w:rPr>
            </w:pPr>
            <w:r w:rsidRPr="00306CD4">
              <w:rPr>
                <w:rFonts w:asciiTheme="majorBidi" w:hAnsiTheme="majorBidi" w:cstheme="majorBidi"/>
                <w:b/>
                <w:bCs/>
                <w:sz w:val="24"/>
                <w:rtl/>
              </w:rPr>
              <w:t>العلاقة مع أهداف التنمية المستدامة والمؤشرات الأخرى</w:t>
            </w:r>
          </w:p>
        </w:tc>
        <w:tc>
          <w:tcPr>
            <w:tcW w:w="4214" w:type="pct"/>
            <w:gridSpan w:val="2"/>
            <w:shd w:val="clear" w:color="auto" w:fill="auto"/>
          </w:tcPr>
          <w:p w14:paraId="00FC2535" w14:textId="37FA8AC1" w:rsidR="005473CF" w:rsidRPr="00306CD4" w:rsidRDefault="009E314A" w:rsidP="00AB24DC">
            <w:pPr>
              <w:keepLines/>
              <w:bidi/>
              <w:spacing w:before="120"/>
              <w:jc w:val="both"/>
              <w:rPr>
                <w:rFonts w:asciiTheme="majorBidi" w:hAnsiTheme="majorBidi" w:cstheme="majorBidi"/>
                <w:sz w:val="24"/>
              </w:rPr>
            </w:pPr>
            <w:r w:rsidRPr="00306CD4">
              <w:rPr>
                <w:rFonts w:asciiTheme="majorBidi" w:hAnsiTheme="majorBidi" w:cstheme="majorBidi"/>
                <w:b/>
                <w:bCs/>
                <w:sz w:val="24"/>
                <w:rtl/>
              </w:rPr>
              <w:t xml:space="preserve">أهداف التنمية المستدامة: </w:t>
            </w:r>
            <w:r w:rsidRPr="00306CD4">
              <w:rPr>
                <w:rFonts w:asciiTheme="majorBidi" w:hAnsiTheme="majorBidi" w:cstheme="majorBidi"/>
                <w:sz w:val="24"/>
                <w:rtl/>
              </w:rPr>
              <w:t>يساهم هذا المؤشر في الغاية 11-4 من أهداف التنمية المستدامة، "تعزيز الجهود الرامية إلى حماية وصون التراث الثقافي والطبيعي العالمي" من خلال التأكيد على ممارسة التراث الثقافي غير المادي ونقله. كما أنه يكمل الغاية 4-7 من أهداف التنمية المستدامة، لا سيما فيما يتعلق بدراسة الأبعاد الاجتماعية والثقافية وغيرها من أبعاد التراث الثقافي غير المادي التي يمكن أن تعزز "تقدير التنوع الثقافي وتقدير مساهمة الثقافة في التنمية المستدامة". وإن المساهمات في أي أهداف أخرى</w:t>
            </w:r>
            <w:r w:rsidR="00A93C62" w:rsidRPr="00306CD4">
              <w:rPr>
                <w:rFonts w:asciiTheme="majorBidi" w:hAnsiTheme="majorBidi" w:cstheme="majorBidi" w:hint="cs"/>
                <w:sz w:val="24"/>
                <w:rtl/>
              </w:rPr>
              <w:t>،</w:t>
            </w:r>
            <w:r w:rsidRPr="00306CD4">
              <w:rPr>
                <w:rFonts w:asciiTheme="majorBidi" w:hAnsiTheme="majorBidi" w:cstheme="majorBidi"/>
                <w:sz w:val="24"/>
                <w:rtl/>
              </w:rPr>
              <w:t xml:space="preserve"> مثل هدف</w:t>
            </w:r>
            <w:r w:rsidR="00A93C62" w:rsidRPr="00306CD4">
              <w:rPr>
                <w:rFonts w:asciiTheme="majorBidi" w:hAnsiTheme="majorBidi" w:cstheme="majorBidi" w:hint="cs"/>
                <w:sz w:val="24"/>
                <w:rtl/>
              </w:rPr>
              <w:t xml:space="preserve"> </w:t>
            </w:r>
            <w:r w:rsidR="00A93C62" w:rsidRPr="00306CD4">
              <w:rPr>
                <w:rFonts w:asciiTheme="majorBidi" w:hAnsiTheme="majorBidi" w:cstheme="majorBidi"/>
                <w:sz w:val="24"/>
                <w:rtl/>
              </w:rPr>
              <w:t>التنمية المستدامة</w:t>
            </w:r>
            <w:r w:rsidRPr="00306CD4">
              <w:rPr>
                <w:rFonts w:asciiTheme="majorBidi" w:hAnsiTheme="majorBidi" w:cstheme="majorBidi"/>
                <w:sz w:val="24"/>
                <w:rtl/>
              </w:rPr>
              <w:t xml:space="preserve"> 8 بشأن العمالة المنتجة والعمل اللائق للجميع، ولا سيما </w:t>
            </w:r>
            <w:r w:rsidR="00A93C62" w:rsidRPr="00306CD4">
              <w:rPr>
                <w:rFonts w:asciiTheme="majorBidi" w:hAnsiTheme="majorBidi" w:cstheme="majorBidi" w:hint="cs"/>
                <w:sz w:val="24"/>
                <w:rtl/>
              </w:rPr>
              <w:t>الغاية</w:t>
            </w:r>
            <w:r w:rsidRPr="00306CD4">
              <w:rPr>
                <w:rFonts w:asciiTheme="majorBidi" w:hAnsiTheme="majorBidi" w:cstheme="majorBidi"/>
                <w:sz w:val="24"/>
                <w:rtl/>
              </w:rPr>
              <w:t xml:space="preserve"> 8-9 من أهداف التنمية المستدامة، تعد ذات صلة بهذا المؤشر.</w:t>
            </w:r>
            <w:r w:rsidR="00E852E3" w:rsidRPr="00306CD4">
              <w:rPr>
                <w:rFonts w:asciiTheme="majorBidi" w:hAnsiTheme="majorBidi" w:cstheme="majorBidi"/>
                <w:sz w:val="24"/>
              </w:rPr>
              <w:t xml:space="preserve"> </w:t>
            </w:r>
          </w:p>
          <w:p w14:paraId="642C1B6C" w14:textId="3B28EAD1" w:rsidR="005473CF" w:rsidRPr="00306CD4" w:rsidRDefault="004A1B94" w:rsidP="00AB24DC">
            <w:pPr>
              <w:keepLines/>
              <w:bidi/>
              <w:spacing w:before="120"/>
              <w:jc w:val="both"/>
              <w:rPr>
                <w:rFonts w:asciiTheme="majorBidi" w:hAnsiTheme="majorBidi" w:cstheme="majorBidi"/>
                <w:bCs/>
                <w:sz w:val="24"/>
              </w:rPr>
            </w:pPr>
            <w:r w:rsidRPr="00306CD4">
              <w:rPr>
                <w:rFonts w:asciiTheme="majorBidi" w:hAnsiTheme="majorBidi" w:cstheme="majorBidi"/>
                <w:bCs/>
                <w:sz w:val="24"/>
                <w:rtl/>
              </w:rPr>
              <w:t xml:space="preserve">العلاقة بالمؤشرات الأخرى: </w:t>
            </w:r>
            <w:r w:rsidRPr="00306CD4">
              <w:rPr>
                <w:rFonts w:asciiTheme="majorBidi" w:hAnsiTheme="majorBidi" w:cstheme="majorBidi"/>
                <w:b/>
                <w:sz w:val="24"/>
                <w:rtl/>
              </w:rPr>
              <w:t xml:space="preserve">ينصب تركيز هذا المؤشر على التعليم ما بعد </w:t>
            </w:r>
            <w:r w:rsidR="009117A4" w:rsidRPr="00306CD4">
              <w:rPr>
                <w:rFonts w:asciiTheme="majorBidi" w:hAnsiTheme="majorBidi" w:cstheme="majorBidi" w:hint="cs"/>
                <w:b/>
                <w:sz w:val="24"/>
                <w:rtl/>
              </w:rPr>
              <w:t xml:space="preserve">المرحلة </w:t>
            </w:r>
            <w:r w:rsidRPr="00306CD4">
              <w:rPr>
                <w:rFonts w:asciiTheme="majorBidi" w:hAnsiTheme="majorBidi" w:cstheme="majorBidi"/>
                <w:b/>
                <w:sz w:val="24"/>
                <w:rtl/>
              </w:rPr>
              <w:t>الثانوي</w:t>
            </w:r>
            <w:r w:rsidR="009117A4" w:rsidRPr="00306CD4">
              <w:rPr>
                <w:rFonts w:asciiTheme="majorBidi" w:hAnsiTheme="majorBidi" w:cstheme="majorBidi" w:hint="cs"/>
                <w:b/>
                <w:sz w:val="24"/>
                <w:rtl/>
              </w:rPr>
              <w:t>ة</w:t>
            </w:r>
            <w:r w:rsidRPr="00306CD4">
              <w:rPr>
                <w:rFonts w:asciiTheme="majorBidi" w:hAnsiTheme="majorBidi" w:cstheme="majorBidi"/>
                <w:b/>
                <w:sz w:val="24"/>
                <w:rtl/>
              </w:rPr>
              <w:t>، كم</w:t>
            </w:r>
            <w:r w:rsidR="00C75AB1" w:rsidRPr="00306CD4">
              <w:rPr>
                <w:rFonts w:asciiTheme="majorBidi" w:hAnsiTheme="majorBidi" w:cstheme="majorBidi" w:hint="cs"/>
                <w:b/>
                <w:sz w:val="24"/>
                <w:rtl/>
              </w:rPr>
              <w:t>لتقى</w:t>
            </w:r>
            <w:r w:rsidRPr="00306CD4">
              <w:rPr>
                <w:rFonts w:asciiTheme="majorBidi" w:hAnsiTheme="majorBidi" w:cstheme="majorBidi"/>
                <w:b/>
                <w:sz w:val="24"/>
                <w:rtl/>
              </w:rPr>
              <w:t xml:space="preserve"> إما لنقل مهارات التراث الثقافي غير المادي ومعارفه أو </w:t>
            </w:r>
            <w:r w:rsidR="00C75AB1" w:rsidRPr="00306CD4">
              <w:rPr>
                <w:rFonts w:asciiTheme="majorBidi" w:hAnsiTheme="majorBidi" w:cstheme="majorBidi" w:hint="cs"/>
                <w:b/>
                <w:sz w:val="24"/>
                <w:rtl/>
              </w:rPr>
              <w:t>ل</w:t>
            </w:r>
            <w:r w:rsidRPr="00306CD4">
              <w:rPr>
                <w:rFonts w:asciiTheme="majorBidi" w:hAnsiTheme="majorBidi" w:cstheme="majorBidi"/>
                <w:b/>
                <w:sz w:val="24"/>
                <w:rtl/>
              </w:rPr>
              <w:t>تدريس التراث الثقافي غير المادي في المجتمع. مثل المؤشر 4، فإنه يتعلق بالممارسة والنقل، على الرغم من أن التعليم العالي هنا هو السياق المحدد. وبالمثل، فإنه يُكمل تركيز المؤشر 5 على التعليم الابتدائي والثانوي من خلال التركيز على التعليم العالي هنا. وغالبًا ما يتم الجمع بين البرامج الخاصة بدراسة التراث الثقافي غير المادي في المجتمع (عامل التقييم</w:t>
            </w:r>
            <w:r w:rsidR="00795403" w:rsidRPr="00306CD4">
              <w:rPr>
                <w:rFonts w:asciiTheme="majorBidi" w:hAnsiTheme="majorBidi" w:cstheme="majorBidi" w:hint="cs"/>
                <w:b/>
                <w:sz w:val="24"/>
                <w:rtl/>
              </w:rPr>
              <w:t xml:space="preserve"> الشامل</w:t>
            </w:r>
            <w:r w:rsidRPr="00306CD4">
              <w:rPr>
                <w:rFonts w:asciiTheme="majorBidi" w:hAnsiTheme="majorBidi" w:cstheme="majorBidi"/>
                <w:b/>
                <w:sz w:val="24"/>
                <w:rtl/>
              </w:rPr>
              <w:t xml:space="preserve"> 6</w:t>
            </w:r>
            <w:r w:rsidR="00BB3F02" w:rsidRPr="00306CD4">
              <w:rPr>
                <w:rFonts w:asciiTheme="majorBidi" w:hAnsiTheme="majorBidi" w:cstheme="majorBidi" w:hint="cs"/>
                <w:b/>
                <w:sz w:val="24"/>
                <w:rtl/>
              </w:rPr>
              <w:t>-</w:t>
            </w:r>
            <w:r w:rsidRPr="00306CD4">
              <w:rPr>
                <w:rFonts w:asciiTheme="majorBidi" w:hAnsiTheme="majorBidi" w:cstheme="majorBidi"/>
                <w:b/>
                <w:sz w:val="24"/>
                <w:rtl/>
              </w:rPr>
              <w:t>2) مع تلك التي تهدف إلى تعزيز مهارات صون التراث الثقافي غير المادي وإدارته (عامل التقييم</w:t>
            </w:r>
            <w:r w:rsidR="00795403" w:rsidRPr="00306CD4">
              <w:rPr>
                <w:rFonts w:asciiTheme="majorBidi" w:hAnsiTheme="majorBidi" w:cstheme="majorBidi" w:hint="cs"/>
                <w:b/>
                <w:sz w:val="24"/>
                <w:rtl/>
              </w:rPr>
              <w:t xml:space="preserve"> الشامل</w:t>
            </w:r>
            <w:r w:rsidRPr="00306CD4">
              <w:rPr>
                <w:rFonts w:asciiTheme="majorBidi" w:hAnsiTheme="majorBidi" w:cstheme="majorBidi"/>
                <w:b/>
                <w:sz w:val="24"/>
                <w:rtl/>
              </w:rPr>
              <w:t xml:space="preserve"> 2</w:t>
            </w:r>
            <w:r w:rsidR="00BB3F02" w:rsidRPr="00306CD4">
              <w:rPr>
                <w:rFonts w:asciiTheme="majorBidi" w:hAnsiTheme="majorBidi" w:cstheme="majorBidi" w:hint="cs"/>
                <w:b/>
                <w:sz w:val="24"/>
                <w:rtl/>
              </w:rPr>
              <w:t>-</w:t>
            </w:r>
            <w:r w:rsidRPr="00306CD4">
              <w:rPr>
                <w:rFonts w:asciiTheme="majorBidi" w:hAnsiTheme="majorBidi" w:cstheme="majorBidi"/>
                <w:b/>
                <w:sz w:val="24"/>
                <w:rtl/>
              </w:rPr>
              <w:t>1). تندرج السياسات التعليمية والتدابير القانونية والإدارية ضمن المؤشر 12.</w:t>
            </w:r>
          </w:p>
        </w:tc>
      </w:tr>
      <w:tr w:rsidR="00896177" w:rsidRPr="00F9268E" w14:paraId="21C582AF" w14:textId="77777777" w:rsidTr="00BF5E4B">
        <w:trPr>
          <w:cantSplit/>
        </w:trPr>
        <w:tc>
          <w:tcPr>
            <w:tcW w:w="786" w:type="pct"/>
            <w:shd w:val="clear" w:color="auto" w:fill="auto"/>
          </w:tcPr>
          <w:p w14:paraId="22E926DB" w14:textId="58D87726" w:rsidR="00896177" w:rsidRPr="00306CD4" w:rsidRDefault="00BF5E4B" w:rsidP="00AB24DC">
            <w:pPr>
              <w:bidi/>
              <w:spacing w:before="120"/>
              <w:jc w:val="both"/>
              <w:rPr>
                <w:rFonts w:asciiTheme="majorBidi" w:hAnsiTheme="majorBidi" w:cstheme="majorBidi"/>
                <w:b/>
                <w:bCs/>
                <w:sz w:val="24"/>
              </w:rPr>
            </w:pPr>
            <w:r w:rsidRPr="00306CD4">
              <w:rPr>
                <w:rFonts w:asciiTheme="majorBidi" w:hAnsiTheme="majorBidi" w:cstheme="majorBidi"/>
                <w:b/>
                <w:bCs/>
                <w:sz w:val="24"/>
                <w:rtl/>
              </w:rPr>
              <w:t xml:space="preserve">الأسس المنطقية </w:t>
            </w:r>
            <w:r w:rsidR="00315182" w:rsidRPr="00306CD4">
              <w:rPr>
                <w:rFonts w:asciiTheme="majorBidi" w:hAnsiTheme="majorBidi" w:cstheme="majorBidi" w:hint="cs"/>
                <w:b/>
                <w:bCs/>
                <w:sz w:val="24"/>
                <w:rtl/>
              </w:rPr>
              <w:t>للإجراءات</w:t>
            </w:r>
          </w:p>
        </w:tc>
        <w:tc>
          <w:tcPr>
            <w:tcW w:w="4214" w:type="pct"/>
            <w:gridSpan w:val="2"/>
            <w:shd w:val="clear" w:color="auto" w:fill="auto"/>
          </w:tcPr>
          <w:p w14:paraId="65845BE0" w14:textId="08AA1F68" w:rsidR="00704766" w:rsidRPr="00306CD4" w:rsidRDefault="00854048" w:rsidP="00AB24DC">
            <w:pPr>
              <w:keepLines/>
              <w:bidi/>
              <w:spacing w:before="120"/>
              <w:jc w:val="both"/>
              <w:rPr>
                <w:rFonts w:asciiTheme="majorBidi" w:hAnsiTheme="majorBidi" w:cstheme="majorBidi"/>
                <w:sz w:val="24"/>
              </w:rPr>
            </w:pPr>
            <w:r w:rsidRPr="00306CD4">
              <w:rPr>
                <w:rFonts w:asciiTheme="majorBidi" w:hAnsiTheme="majorBidi" w:cstheme="majorBidi"/>
                <w:sz w:val="24"/>
                <w:rtl/>
              </w:rPr>
              <w:t xml:space="preserve">لا تقتصر المادة 14 من الاتفاقية على الشباب في </w:t>
            </w:r>
            <w:r w:rsidR="00C75AB1" w:rsidRPr="00306CD4">
              <w:rPr>
                <w:rFonts w:asciiTheme="majorBidi" w:hAnsiTheme="majorBidi" w:cstheme="majorBidi" w:hint="cs"/>
                <w:sz w:val="24"/>
                <w:rtl/>
              </w:rPr>
              <w:t xml:space="preserve">مراحل </w:t>
            </w:r>
            <w:r w:rsidRPr="00306CD4">
              <w:rPr>
                <w:rFonts w:asciiTheme="majorBidi" w:hAnsiTheme="majorBidi" w:cstheme="majorBidi"/>
                <w:sz w:val="24"/>
                <w:rtl/>
              </w:rPr>
              <w:t>التعليم الابتدائي والثانوي فحسب، بل تشمل التعليم العالي أيضًا. وفي بعض البلدان، تُد</w:t>
            </w:r>
            <w:r w:rsidR="00C75AB1" w:rsidRPr="00306CD4">
              <w:rPr>
                <w:rFonts w:asciiTheme="majorBidi" w:hAnsiTheme="majorBidi" w:cstheme="majorBidi" w:hint="cs"/>
                <w:sz w:val="24"/>
                <w:rtl/>
              </w:rPr>
              <w:t>ر</w:t>
            </w:r>
            <w:r w:rsidRPr="00306CD4">
              <w:rPr>
                <w:rFonts w:asciiTheme="majorBidi" w:hAnsiTheme="majorBidi" w:cstheme="majorBidi"/>
                <w:sz w:val="24"/>
                <w:rtl/>
              </w:rPr>
              <w:t xml:space="preserve">ج المعارف والمهارات المستخدمة في ممارسة التراث الثقافي غير المادي في مناهج أكاديميات الفنون، ومعاهد الموسيقى والرقص، ومؤسسات التعليم ما بعد </w:t>
            </w:r>
            <w:r w:rsidR="00C75AB1" w:rsidRPr="00306CD4">
              <w:rPr>
                <w:rFonts w:asciiTheme="majorBidi" w:hAnsiTheme="majorBidi" w:cstheme="majorBidi" w:hint="cs"/>
                <w:sz w:val="24"/>
                <w:rtl/>
              </w:rPr>
              <w:t xml:space="preserve">المرحلة </w:t>
            </w:r>
            <w:r w:rsidRPr="00306CD4">
              <w:rPr>
                <w:rFonts w:asciiTheme="majorBidi" w:hAnsiTheme="majorBidi" w:cstheme="majorBidi"/>
                <w:sz w:val="24"/>
                <w:rtl/>
              </w:rPr>
              <w:t>الثانوي</w:t>
            </w:r>
            <w:r w:rsidR="00C75AB1" w:rsidRPr="00306CD4">
              <w:rPr>
                <w:rFonts w:asciiTheme="majorBidi" w:hAnsiTheme="majorBidi" w:cstheme="majorBidi" w:hint="cs"/>
                <w:sz w:val="24"/>
                <w:rtl/>
              </w:rPr>
              <w:t>ة</w:t>
            </w:r>
            <w:r w:rsidRPr="00306CD4">
              <w:rPr>
                <w:rFonts w:asciiTheme="majorBidi" w:hAnsiTheme="majorBidi" w:cstheme="majorBidi"/>
                <w:sz w:val="24"/>
                <w:rtl/>
              </w:rPr>
              <w:t xml:space="preserve"> المماثلة. وعلاوة على ذلك، غالبًا ما توفر المدارس أو المراكز </w:t>
            </w:r>
            <w:r w:rsidR="00867D48" w:rsidRPr="00306CD4">
              <w:rPr>
                <w:rFonts w:asciiTheme="majorBidi" w:hAnsiTheme="majorBidi" w:cstheme="majorBidi" w:hint="cs"/>
                <w:sz w:val="24"/>
                <w:rtl/>
              </w:rPr>
              <w:t xml:space="preserve">التقنية </w:t>
            </w:r>
            <w:r w:rsidRPr="00306CD4">
              <w:rPr>
                <w:rFonts w:asciiTheme="majorBidi" w:hAnsiTheme="majorBidi" w:cstheme="majorBidi"/>
                <w:sz w:val="24"/>
                <w:rtl/>
              </w:rPr>
              <w:t xml:space="preserve">والمهنية، سواء في </w:t>
            </w:r>
            <w:r w:rsidR="00867D48" w:rsidRPr="00306CD4">
              <w:rPr>
                <w:rFonts w:asciiTheme="majorBidi" w:hAnsiTheme="majorBidi" w:cstheme="majorBidi" w:hint="cs"/>
                <w:sz w:val="24"/>
                <w:rtl/>
              </w:rPr>
              <w:t>المراحل</w:t>
            </w:r>
            <w:r w:rsidRPr="00306CD4">
              <w:rPr>
                <w:rFonts w:asciiTheme="majorBidi" w:hAnsiTheme="majorBidi" w:cstheme="majorBidi"/>
                <w:sz w:val="24"/>
                <w:rtl/>
              </w:rPr>
              <w:t xml:space="preserve"> الثانوية أو ما بعد </w:t>
            </w:r>
            <w:r w:rsidR="005261A7" w:rsidRPr="00306CD4">
              <w:rPr>
                <w:rFonts w:asciiTheme="majorBidi" w:hAnsiTheme="majorBidi" w:cstheme="majorBidi" w:hint="cs"/>
                <w:sz w:val="24"/>
                <w:rtl/>
              </w:rPr>
              <w:t xml:space="preserve">المرحلة </w:t>
            </w:r>
            <w:r w:rsidRPr="00306CD4">
              <w:rPr>
                <w:rFonts w:asciiTheme="majorBidi" w:hAnsiTheme="majorBidi" w:cstheme="majorBidi"/>
                <w:sz w:val="24"/>
                <w:rtl/>
              </w:rPr>
              <w:t xml:space="preserve">الثانوية، تدريبات مهمة في مجالات ومناحي مختلفة من التراث الثقافي غير المادي (مثل الحرف اليدوية، وفنون الأداء، </w:t>
            </w:r>
            <w:r w:rsidR="00867D48" w:rsidRPr="00306CD4">
              <w:rPr>
                <w:rFonts w:asciiTheme="majorBidi" w:hAnsiTheme="majorBidi" w:cstheme="majorBidi" w:hint="cs"/>
                <w:sz w:val="24"/>
                <w:rtl/>
              </w:rPr>
              <w:t>وغيرها</w:t>
            </w:r>
            <w:r w:rsidRPr="00306CD4">
              <w:rPr>
                <w:rFonts w:asciiTheme="majorBidi" w:hAnsiTheme="majorBidi" w:cstheme="majorBidi"/>
                <w:sz w:val="24"/>
                <w:rtl/>
              </w:rPr>
              <w:t>). وتشمل برامج التعليم ما بعد الثانوي في العديد من البلدان دراسة التراث الثقافي غير المادي ضمن تخصصات</w:t>
            </w:r>
            <w:r w:rsidR="00867D48" w:rsidRPr="00306CD4">
              <w:rPr>
                <w:rFonts w:asciiTheme="majorBidi" w:hAnsiTheme="majorBidi" w:cstheme="majorBidi" w:hint="cs"/>
                <w:sz w:val="24"/>
                <w:rtl/>
              </w:rPr>
              <w:t>،</w:t>
            </w:r>
            <w:r w:rsidRPr="00306CD4">
              <w:rPr>
                <w:rFonts w:asciiTheme="majorBidi" w:hAnsiTheme="majorBidi" w:cstheme="majorBidi"/>
                <w:sz w:val="24"/>
                <w:rtl/>
              </w:rPr>
              <w:t xml:space="preserve"> مثل علم الإنسان، والتاريخ، وعلم الاجتماع، والدراسات الثقافية، ودراسات الفولكلور، والمجالات ذات الصلة. وغالبًا ما ترتبط</w:t>
            </w:r>
            <w:r w:rsidR="00326E8C">
              <w:rPr>
                <w:rFonts w:asciiTheme="majorBidi" w:hAnsiTheme="majorBidi" w:cstheme="majorBidi" w:hint="cs"/>
                <w:sz w:val="24"/>
                <w:rtl/>
              </w:rPr>
              <w:t xml:space="preserve"> هذه</w:t>
            </w:r>
            <w:r w:rsidRPr="00306CD4">
              <w:rPr>
                <w:rFonts w:asciiTheme="majorBidi" w:hAnsiTheme="majorBidi" w:cstheme="majorBidi"/>
                <w:sz w:val="24"/>
                <w:rtl/>
              </w:rPr>
              <w:t xml:space="preserve"> المجالات ذات الصلة بدراسة صون التراث الثقافي غير المادي وإدارته.</w:t>
            </w:r>
          </w:p>
        </w:tc>
      </w:tr>
      <w:tr w:rsidR="00704766" w:rsidRPr="00F9268E" w14:paraId="68BDEB40" w14:textId="77777777" w:rsidTr="00BF5E4B">
        <w:trPr>
          <w:cantSplit/>
        </w:trPr>
        <w:tc>
          <w:tcPr>
            <w:tcW w:w="786" w:type="pct"/>
            <w:shd w:val="clear" w:color="auto" w:fill="auto"/>
          </w:tcPr>
          <w:p w14:paraId="1E18474D" w14:textId="5A318A6E" w:rsidR="00704766" w:rsidRPr="00306CD4" w:rsidRDefault="00BF5E4B" w:rsidP="00AB24DC">
            <w:pPr>
              <w:bidi/>
              <w:spacing w:before="120" w:after="60"/>
              <w:jc w:val="both"/>
              <w:rPr>
                <w:rFonts w:asciiTheme="majorBidi" w:hAnsiTheme="majorBidi" w:cstheme="majorBidi"/>
                <w:b/>
                <w:bCs/>
                <w:sz w:val="24"/>
              </w:rPr>
            </w:pPr>
            <w:r w:rsidRPr="00306CD4">
              <w:rPr>
                <w:rFonts w:asciiTheme="majorBidi" w:hAnsiTheme="majorBidi" w:cstheme="majorBidi"/>
                <w:b/>
                <w:bCs/>
                <w:sz w:val="24"/>
                <w:rtl/>
              </w:rPr>
              <w:t>المصطلحات الرئيسية</w:t>
            </w:r>
          </w:p>
        </w:tc>
        <w:tc>
          <w:tcPr>
            <w:tcW w:w="4214" w:type="pct"/>
            <w:gridSpan w:val="2"/>
            <w:shd w:val="clear" w:color="auto" w:fill="auto"/>
          </w:tcPr>
          <w:p w14:paraId="2474065A" w14:textId="55EB181A" w:rsidR="00704766" w:rsidRPr="00306CD4" w:rsidRDefault="00EE17F1" w:rsidP="00AB24DC">
            <w:pPr>
              <w:pStyle w:val="ListParagraph"/>
              <w:numPr>
                <w:ilvl w:val="0"/>
                <w:numId w:val="71"/>
              </w:numPr>
              <w:bidi/>
              <w:spacing w:before="120" w:after="120"/>
              <w:ind w:left="714" w:hanging="357"/>
              <w:jc w:val="both"/>
              <w:rPr>
                <w:rFonts w:asciiTheme="majorBidi" w:hAnsiTheme="majorBidi" w:cstheme="majorBidi"/>
                <w:sz w:val="24"/>
                <w:szCs w:val="24"/>
                <w:lang w:val="en-GB"/>
              </w:rPr>
            </w:pPr>
            <w:r w:rsidRPr="00306CD4">
              <w:rPr>
                <w:rFonts w:asciiTheme="majorBidi" w:hAnsiTheme="majorBidi" w:cstheme="majorBidi" w:hint="cs"/>
                <w:sz w:val="24"/>
                <w:szCs w:val="24"/>
                <w:rtl/>
                <w:lang w:val="en-GB"/>
              </w:rPr>
              <w:t>ال</w:t>
            </w:r>
            <w:r w:rsidR="00CD343B" w:rsidRPr="00306CD4">
              <w:rPr>
                <w:rFonts w:asciiTheme="majorBidi" w:hAnsiTheme="majorBidi" w:cstheme="majorBidi"/>
                <w:sz w:val="24"/>
                <w:szCs w:val="24"/>
                <w:rtl/>
                <w:lang w:val="en-GB"/>
              </w:rPr>
              <w:t xml:space="preserve">تعليم </w:t>
            </w:r>
            <w:r w:rsidRPr="00306CD4">
              <w:rPr>
                <w:rFonts w:asciiTheme="majorBidi" w:hAnsiTheme="majorBidi" w:cstheme="majorBidi" w:hint="cs"/>
                <w:sz w:val="24"/>
                <w:szCs w:val="24"/>
                <w:rtl/>
                <w:lang w:val="en-GB"/>
              </w:rPr>
              <w:t>ال</w:t>
            </w:r>
            <w:r w:rsidR="00CF0EF2" w:rsidRPr="00306CD4">
              <w:rPr>
                <w:rFonts w:asciiTheme="majorBidi" w:hAnsiTheme="majorBidi" w:cstheme="majorBidi"/>
                <w:sz w:val="24"/>
                <w:szCs w:val="24"/>
                <w:rtl/>
                <w:lang w:val="en-GB"/>
              </w:rPr>
              <w:t>نظامي</w:t>
            </w:r>
          </w:p>
          <w:p w14:paraId="12247913" w14:textId="5ADD9CCD" w:rsidR="00B9129A" w:rsidRPr="00306CD4" w:rsidRDefault="00EE17F1" w:rsidP="00AB24DC">
            <w:pPr>
              <w:pStyle w:val="ListParagraph"/>
              <w:numPr>
                <w:ilvl w:val="0"/>
                <w:numId w:val="71"/>
              </w:numPr>
              <w:bidi/>
              <w:spacing w:before="120" w:after="120"/>
              <w:ind w:left="714" w:hanging="357"/>
              <w:jc w:val="both"/>
              <w:rPr>
                <w:rFonts w:asciiTheme="majorBidi" w:hAnsiTheme="majorBidi" w:cstheme="majorBidi"/>
                <w:sz w:val="24"/>
                <w:szCs w:val="24"/>
                <w:lang w:val="en-GB"/>
              </w:rPr>
            </w:pPr>
            <w:r w:rsidRPr="00306CD4">
              <w:rPr>
                <w:rFonts w:asciiTheme="majorBidi" w:hAnsiTheme="majorBidi" w:cstheme="majorBidi" w:hint="cs"/>
                <w:sz w:val="24"/>
                <w:szCs w:val="24"/>
                <w:rtl/>
                <w:lang w:val="en-GB"/>
              </w:rPr>
              <w:t>ال</w:t>
            </w:r>
            <w:r w:rsidR="00CF0EF2" w:rsidRPr="00306CD4">
              <w:rPr>
                <w:rFonts w:asciiTheme="majorBidi" w:hAnsiTheme="majorBidi" w:cstheme="majorBidi"/>
                <w:sz w:val="24"/>
                <w:szCs w:val="24"/>
                <w:rtl/>
                <w:lang w:val="en-GB"/>
              </w:rPr>
              <w:t>تدريب</w:t>
            </w:r>
          </w:p>
          <w:p w14:paraId="08D0DE1E" w14:textId="4D9888A2" w:rsidR="00CF0EF2" w:rsidRPr="00306CD4" w:rsidRDefault="00EE17F1" w:rsidP="00AB24DC">
            <w:pPr>
              <w:pStyle w:val="ListParagraph"/>
              <w:numPr>
                <w:ilvl w:val="0"/>
                <w:numId w:val="71"/>
              </w:numPr>
              <w:bidi/>
              <w:spacing w:before="120" w:after="120"/>
              <w:ind w:left="714" w:hanging="357"/>
              <w:jc w:val="both"/>
              <w:rPr>
                <w:rFonts w:asciiTheme="majorBidi" w:hAnsiTheme="majorBidi" w:cstheme="majorBidi"/>
                <w:sz w:val="24"/>
                <w:szCs w:val="24"/>
                <w:lang w:val="en-GB"/>
              </w:rPr>
            </w:pPr>
            <w:r w:rsidRPr="00306CD4">
              <w:rPr>
                <w:rFonts w:asciiTheme="majorBidi" w:hAnsiTheme="majorBidi" w:cstheme="majorBidi" w:hint="cs"/>
                <w:sz w:val="24"/>
                <w:szCs w:val="24"/>
                <w:rtl/>
                <w:lang w:val="en-GB"/>
              </w:rPr>
              <w:t>ال</w:t>
            </w:r>
            <w:r w:rsidR="00CF0EF2" w:rsidRPr="00306CD4">
              <w:rPr>
                <w:rFonts w:asciiTheme="majorBidi" w:hAnsiTheme="majorBidi" w:cstheme="majorBidi"/>
                <w:sz w:val="24"/>
                <w:szCs w:val="24"/>
                <w:rtl/>
                <w:lang w:val="en-GB"/>
              </w:rPr>
              <w:t xml:space="preserve">تعليم ما بعد </w:t>
            </w:r>
            <w:r w:rsidR="00867D48" w:rsidRPr="00306CD4">
              <w:rPr>
                <w:rFonts w:asciiTheme="majorBidi" w:hAnsiTheme="majorBidi" w:cstheme="majorBidi" w:hint="cs"/>
                <w:sz w:val="24"/>
                <w:szCs w:val="24"/>
                <w:rtl/>
                <w:lang w:val="en-GB"/>
              </w:rPr>
              <w:t xml:space="preserve">المرحلة </w:t>
            </w:r>
            <w:r w:rsidR="00CF0EF2" w:rsidRPr="00306CD4">
              <w:rPr>
                <w:rFonts w:asciiTheme="majorBidi" w:hAnsiTheme="majorBidi" w:cstheme="majorBidi"/>
                <w:sz w:val="24"/>
                <w:szCs w:val="24"/>
                <w:rtl/>
                <w:lang w:val="en-GB"/>
              </w:rPr>
              <w:t>الثانوي</w:t>
            </w:r>
            <w:r w:rsidR="00867D48" w:rsidRPr="00306CD4">
              <w:rPr>
                <w:rFonts w:asciiTheme="majorBidi" w:hAnsiTheme="majorBidi" w:cstheme="majorBidi" w:hint="cs"/>
                <w:sz w:val="24"/>
                <w:szCs w:val="24"/>
                <w:rtl/>
                <w:lang w:val="en-GB"/>
              </w:rPr>
              <w:t>ة</w:t>
            </w:r>
            <w:r w:rsidR="00CF0EF2" w:rsidRPr="00306CD4">
              <w:rPr>
                <w:rFonts w:asciiTheme="majorBidi" w:hAnsiTheme="majorBidi" w:cstheme="majorBidi"/>
                <w:sz w:val="24"/>
                <w:szCs w:val="24"/>
                <w:rtl/>
                <w:lang w:val="en-GB"/>
              </w:rPr>
              <w:t xml:space="preserve"> </w:t>
            </w:r>
          </w:p>
          <w:p w14:paraId="317B782C" w14:textId="3C71A590" w:rsidR="00277432" w:rsidRPr="00306CD4" w:rsidRDefault="00EE17F1" w:rsidP="00AB24DC">
            <w:pPr>
              <w:pStyle w:val="ListParagraph"/>
              <w:numPr>
                <w:ilvl w:val="0"/>
                <w:numId w:val="71"/>
              </w:numPr>
              <w:bidi/>
              <w:spacing w:before="120" w:after="120"/>
              <w:ind w:left="714" w:hanging="357"/>
              <w:jc w:val="both"/>
              <w:rPr>
                <w:rFonts w:asciiTheme="majorBidi" w:hAnsiTheme="majorBidi" w:cstheme="majorBidi"/>
                <w:sz w:val="24"/>
                <w:szCs w:val="24"/>
                <w:lang w:val="en-GB"/>
              </w:rPr>
            </w:pPr>
            <w:r w:rsidRPr="00306CD4">
              <w:rPr>
                <w:rFonts w:asciiTheme="majorBidi" w:hAnsiTheme="majorBidi" w:cstheme="majorBidi" w:hint="cs"/>
                <w:sz w:val="24"/>
                <w:szCs w:val="24"/>
                <w:rtl/>
                <w:lang w:val="en-GB"/>
              </w:rPr>
              <w:t>ال</w:t>
            </w:r>
            <w:r w:rsidR="00CD343B" w:rsidRPr="00306CD4">
              <w:rPr>
                <w:rFonts w:asciiTheme="majorBidi" w:hAnsiTheme="majorBidi" w:cstheme="majorBidi"/>
                <w:sz w:val="24"/>
                <w:szCs w:val="24"/>
                <w:rtl/>
                <w:lang w:val="en-GB"/>
              </w:rPr>
              <w:t xml:space="preserve">تعليم </w:t>
            </w:r>
            <w:r w:rsidR="00BB4E07" w:rsidRPr="00306CD4">
              <w:rPr>
                <w:rFonts w:asciiTheme="majorBidi" w:hAnsiTheme="majorBidi" w:cstheme="majorBidi" w:hint="cs"/>
                <w:sz w:val="24"/>
                <w:szCs w:val="24"/>
                <w:rtl/>
                <w:lang w:val="en-GB"/>
              </w:rPr>
              <w:t>ال</w:t>
            </w:r>
            <w:r w:rsidR="00867D48" w:rsidRPr="00306CD4">
              <w:rPr>
                <w:rFonts w:asciiTheme="majorBidi" w:hAnsiTheme="majorBidi" w:cstheme="majorBidi" w:hint="cs"/>
                <w:sz w:val="24"/>
                <w:szCs w:val="24"/>
                <w:rtl/>
                <w:lang w:val="en-GB"/>
              </w:rPr>
              <w:t>تقني</w:t>
            </w:r>
            <w:r w:rsidR="00CD343B" w:rsidRPr="00306CD4">
              <w:rPr>
                <w:rFonts w:asciiTheme="majorBidi" w:hAnsiTheme="majorBidi" w:cstheme="majorBidi"/>
                <w:sz w:val="24"/>
                <w:szCs w:val="24"/>
                <w:rtl/>
                <w:lang w:val="en-GB"/>
              </w:rPr>
              <w:t xml:space="preserve"> و</w:t>
            </w:r>
            <w:r w:rsidR="00BB4E07" w:rsidRPr="00306CD4">
              <w:rPr>
                <w:rFonts w:asciiTheme="majorBidi" w:hAnsiTheme="majorBidi" w:cstheme="majorBidi" w:hint="cs"/>
                <w:sz w:val="24"/>
                <w:szCs w:val="24"/>
                <w:rtl/>
                <w:lang w:val="en-GB"/>
              </w:rPr>
              <w:t>ال</w:t>
            </w:r>
            <w:r w:rsidR="00CD343B" w:rsidRPr="00306CD4">
              <w:rPr>
                <w:rFonts w:asciiTheme="majorBidi" w:hAnsiTheme="majorBidi" w:cstheme="majorBidi"/>
                <w:sz w:val="24"/>
                <w:szCs w:val="24"/>
                <w:rtl/>
                <w:lang w:val="en-GB"/>
              </w:rPr>
              <w:t xml:space="preserve">تدريب </w:t>
            </w:r>
            <w:r w:rsidR="00BB4E07" w:rsidRPr="00306CD4">
              <w:rPr>
                <w:rFonts w:asciiTheme="majorBidi" w:hAnsiTheme="majorBidi" w:cstheme="majorBidi" w:hint="cs"/>
                <w:sz w:val="24"/>
                <w:szCs w:val="24"/>
                <w:rtl/>
                <w:lang w:val="en-GB"/>
              </w:rPr>
              <w:t>ال</w:t>
            </w:r>
            <w:r w:rsidR="00CF0EF2" w:rsidRPr="00306CD4">
              <w:rPr>
                <w:rFonts w:asciiTheme="majorBidi" w:hAnsiTheme="majorBidi" w:cstheme="majorBidi"/>
                <w:sz w:val="24"/>
                <w:szCs w:val="24"/>
                <w:rtl/>
                <w:lang w:val="en-GB"/>
              </w:rPr>
              <w:t>مهني</w:t>
            </w:r>
          </w:p>
        </w:tc>
      </w:tr>
    </w:tbl>
    <w:p w14:paraId="58F6EA17" w14:textId="77777777" w:rsidR="0054175C" w:rsidRPr="002B2A50" w:rsidRDefault="0054175C" w:rsidP="00AB24DC">
      <w:pPr>
        <w:bidi/>
        <w:jc w:val="center"/>
        <w:rPr>
          <w:rFonts w:asciiTheme="majorBidi" w:hAnsiTheme="majorBidi" w:cstheme="majorBidi"/>
          <w:b/>
          <w:sz w:val="24"/>
        </w:rPr>
        <w:sectPr w:rsidR="0054175C" w:rsidRPr="002B2A50" w:rsidSect="000F25BA">
          <w:footerReference w:type="default" r:id="rId8"/>
          <w:pgSz w:w="11906" w:h="16838" w:code="9"/>
          <w:pgMar w:top="1418" w:right="1134" w:bottom="1134" w:left="1134" w:header="397" w:footer="284" w:gutter="0"/>
          <w:cols w:space="708"/>
          <w:docGrid w:linePitch="360"/>
        </w:sectPr>
      </w:pPr>
    </w:p>
    <w:p w14:paraId="10085654" w14:textId="4745164E" w:rsidR="00F821B0" w:rsidRPr="00060DD4" w:rsidRDefault="00F821B0" w:rsidP="00AB24DC">
      <w:pPr>
        <w:bidi/>
        <w:jc w:val="center"/>
        <w:rPr>
          <w:rFonts w:asciiTheme="majorBidi" w:hAnsiTheme="majorBidi" w:cstheme="majorBidi"/>
          <w:bCs/>
          <w:sz w:val="28"/>
          <w:szCs w:val="28"/>
        </w:rPr>
      </w:pPr>
      <w:r w:rsidRPr="00060DD4">
        <w:rPr>
          <w:rFonts w:asciiTheme="majorBidi" w:hAnsiTheme="majorBidi" w:cstheme="majorBidi"/>
          <w:bCs/>
          <w:sz w:val="28"/>
          <w:szCs w:val="28"/>
          <w:rtl/>
        </w:rPr>
        <w:t xml:space="preserve">التوجيهات المحددة بشأن الرصد </w:t>
      </w:r>
      <w:r w:rsidR="00867D48" w:rsidRPr="00060DD4">
        <w:rPr>
          <w:rFonts w:asciiTheme="majorBidi" w:hAnsiTheme="majorBidi" w:cstheme="majorBidi" w:hint="cs"/>
          <w:bCs/>
          <w:sz w:val="28"/>
          <w:szCs w:val="28"/>
          <w:rtl/>
        </w:rPr>
        <w:t>وال</w:t>
      </w:r>
      <w:r w:rsidR="007D7677">
        <w:rPr>
          <w:rFonts w:asciiTheme="majorBidi" w:hAnsiTheme="majorBidi" w:cstheme="majorBidi" w:hint="cs"/>
          <w:bCs/>
          <w:sz w:val="28"/>
          <w:szCs w:val="28"/>
          <w:rtl/>
        </w:rPr>
        <w:t>تقرير</w:t>
      </w:r>
      <w:r w:rsidRPr="00060DD4">
        <w:rPr>
          <w:rFonts w:asciiTheme="majorBidi" w:hAnsiTheme="majorBidi" w:cstheme="majorBidi"/>
          <w:bCs/>
          <w:sz w:val="28"/>
          <w:szCs w:val="28"/>
          <w:rtl/>
        </w:rPr>
        <w:t xml:space="preserve"> الدوري</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8222"/>
      </w:tblGrid>
      <w:tr w:rsidR="009C0510" w:rsidRPr="00060DD4" w14:paraId="41F15F84" w14:textId="77777777" w:rsidTr="00BF5E4B">
        <w:tc>
          <w:tcPr>
            <w:tcW w:w="730" w:type="pct"/>
            <w:shd w:val="clear" w:color="auto" w:fill="auto"/>
          </w:tcPr>
          <w:p w14:paraId="14D971FF" w14:textId="16C36557" w:rsidR="002C28BA" w:rsidRPr="00060DD4" w:rsidRDefault="00F821B0" w:rsidP="00AB24DC">
            <w:pPr>
              <w:bidi/>
              <w:spacing w:before="120"/>
              <w:rPr>
                <w:rFonts w:asciiTheme="majorBidi" w:hAnsiTheme="majorBidi" w:cstheme="majorBidi"/>
                <w:b/>
                <w:bCs/>
                <w:sz w:val="24"/>
              </w:rPr>
            </w:pPr>
            <w:r w:rsidRPr="00060DD4">
              <w:rPr>
                <w:rFonts w:asciiTheme="majorBidi" w:hAnsiTheme="majorBidi" w:cstheme="majorBidi"/>
                <w:b/>
                <w:bCs/>
                <w:sz w:val="24"/>
                <w:rtl/>
              </w:rPr>
              <w:t>فوائد الرصد</w:t>
            </w:r>
          </w:p>
        </w:tc>
        <w:tc>
          <w:tcPr>
            <w:tcW w:w="4270" w:type="pct"/>
            <w:shd w:val="clear" w:color="auto" w:fill="auto"/>
          </w:tcPr>
          <w:p w14:paraId="74F6FA68" w14:textId="690C30D4" w:rsidR="002C28BA" w:rsidRPr="00060DD4" w:rsidRDefault="00D1580C" w:rsidP="00AB24DC">
            <w:pPr>
              <w:keepLines/>
              <w:bidi/>
              <w:spacing w:before="120"/>
              <w:jc w:val="both"/>
              <w:rPr>
                <w:rFonts w:asciiTheme="majorBidi" w:hAnsiTheme="majorBidi" w:cstheme="majorBidi"/>
                <w:b/>
                <w:sz w:val="24"/>
              </w:rPr>
            </w:pPr>
            <w:r>
              <w:rPr>
                <w:rFonts w:asciiTheme="majorBidi" w:hAnsiTheme="majorBidi" w:cstheme="majorBidi" w:hint="cs"/>
                <w:b/>
                <w:sz w:val="24"/>
                <w:rtl/>
              </w:rPr>
              <w:t xml:space="preserve">إن </w:t>
            </w:r>
            <w:r w:rsidR="00580026" w:rsidRPr="00060DD4">
              <w:rPr>
                <w:rFonts w:asciiTheme="majorBidi" w:hAnsiTheme="majorBidi" w:cstheme="majorBidi"/>
                <w:b/>
                <w:sz w:val="24"/>
                <w:rtl/>
              </w:rPr>
              <w:t>الرصد على ال</w:t>
            </w:r>
            <w:r w:rsidR="00824461" w:rsidRPr="00060DD4">
              <w:rPr>
                <w:rFonts w:asciiTheme="majorBidi" w:hAnsiTheme="majorBidi" w:cstheme="majorBidi" w:hint="cs"/>
                <w:b/>
                <w:sz w:val="24"/>
                <w:rtl/>
              </w:rPr>
              <w:t>صعيد</w:t>
            </w:r>
            <w:r w:rsidR="00580026" w:rsidRPr="00060DD4">
              <w:rPr>
                <w:rFonts w:asciiTheme="majorBidi" w:hAnsiTheme="majorBidi" w:cstheme="majorBidi"/>
                <w:b/>
                <w:sz w:val="24"/>
                <w:rtl/>
              </w:rPr>
              <w:t xml:space="preserve"> القطري لتوافر واستخدام برامج التعليم ما بعد </w:t>
            </w:r>
            <w:r>
              <w:rPr>
                <w:rFonts w:asciiTheme="majorBidi" w:hAnsiTheme="majorBidi" w:cstheme="majorBidi" w:hint="cs"/>
                <w:b/>
                <w:sz w:val="24"/>
                <w:rtl/>
              </w:rPr>
              <w:t xml:space="preserve">المرحلة </w:t>
            </w:r>
            <w:r w:rsidR="00580026" w:rsidRPr="00060DD4">
              <w:rPr>
                <w:rFonts w:asciiTheme="majorBidi" w:hAnsiTheme="majorBidi" w:cstheme="majorBidi"/>
                <w:b/>
                <w:sz w:val="24"/>
                <w:rtl/>
              </w:rPr>
              <w:t>الثانوي</w:t>
            </w:r>
            <w:r>
              <w:rPr>
                <w:rFonts w:asciiTheme="majorBidi" w:hAnsiTheme="majorBidi" w:cstheme="majorBidi" w:hint="cs"/>
                <w:b/>
                <w:sz w:val="24"/>
                <w:rtl/>
              </w:rPr>
              <w:t>ة</w:t>
            </w:r>
            <w:r w:rsidR="00580026" w:rsidRPr="00060DD4">
              <w:rPr>
                <w:rFonts w:asciiTheme="majorBidi" w:hAnsiTheme="majorBidi" w:cstheme="majorBidi"/>
                <w:b/>
                <w:sz w:val="24"/>
                <w:rtl/>
              </w:rPr>
              <w:t xml:space="preserve"> المتعلقة بالتراث الثقافي غير المادي </w:t>
            </w:r>
            <w:r w:rsidRPr="00060DD4">
              <w:rPr>
                <w:rFonts w:asciiTheme="majorBidi" w:hAnsiTheme="majorBidi" w:cstheme="majorBidi"/>
                <w:b/>
                <w:sz w:val="24"/>
                <w:rtl/>
              </w:rPr>
              <w:t xml:space="preserve">قد يساعد الدولة </w:t>
            </w:r>
            <w:r w:rsidR="00580026" w:rsidRPr="00060DD4">
              <w:rPr>
                <w:rFonts w:asciiTheme="majorBidi" w:hAnsiTheme="majorBidi" w:cstheme="majorBidi"/>
                <w:b/>
                <w:sz w:val="24"/>
                <w:rtl/>
              </w:rPr>
              <w:t>في تقييم</w:t>
            </w:r>
            <w:r w:rsidR="00795403" w:rsidRPr="00060DD4">
              <w:rPr>
                <w:rFonts w:asciiTheme="majorBidi" w:hAnsiTheme="majorBidi" w:cstheme="majorBidi" w:hint="cs"/>
                <w:b/>
                <w:sz w:val="24"/>
                <w:rtl/>
              </w:rPr>
              <w:t>ها الشامل</w:t>
            </w:r>
            <w:r w:rsidR="00580026" w:rsidRPr="00060DD4">
              <w:rPr>
                <w:rFonts w:asciiTheme="majorBidi" w:hAnsiTheme="majorBidi" w:cstheme="majorBidi"/>
                <w:b/>
                <w:sz w:val="24"/>
                <w:rtl/>
              </w:rPr>
              <w:t xml:space="preserve"> </w:t>
            </w:r>
            <w:r w:rsidR="00795403" w:rsidRPr="00060DD4">
              <w:rPr>
                <w:rFonts w:asciiTheme="majorBidi" w:hAnsiTheme="majorBidi" w:cstheme="majorBidi" w:hint="cs"/>
                <w:b/>
                <w:sz w:val="24"/>
                <w:rtl/>
              </w:rPr>
              <w:t>ل</w:t>
            </w:r>
            <w:r w:rsidR="00580026" w:rsidRPr="00060DD4">
              <w:rPr>
                <w:rFonts w:asciiTheme="majorBidi" w:hAnsiTheme="majorBidi" w:cstheme="majorBidi"/>
                <w:b/>
                <w:sz w:val="24"/>
                <w:rtl/>
              </w:rPr>
              <w:t xml:space="preserve">مدى </w:t>
            </w:r>
            <w:r w:rsidR="00867D48" w:rsidRPr="00060DD4">
              <w:rPr>
                <w:rFonts w:asciiTheme="majorBidi" w:hAnsiTheme="majorBidi" w:cstheme="majorBidi" w:hint="cs"/>
                <w:b/>
                <w:sz w:val="24"/>
                <w:rtl/>
              </w:rPr>
              <w:t>استفاد</w:t>
            </w:r>
            <w:r>
              <w:rPr>
                <w:rFonts w:asciiTheme="majorBidi" w:hAnsiTheme="majorBidi" w:cstheme="majorBidi" w:hint="cs"/>
                <w:b/>
                <w:sz w:val="24"/>
                <w:rtl/>
              </w:rPr>
              <w:t>تها</w:t>
            </w:r>
            <w:r w:rsidR="00580026" w:rsidRPr="00060DD4">
              <w:rPr>
                <w:rFonts w:asciiTheme="majorBidi" w:hAnsiTheme="majorBidi" w:cstheme="majorBidi"/>
                <w:b/>
                <w:sz w:val="24"/>
                <w:rtl/>
              </w:rPr>
              <w:t xml:space="preserve"> من التعليم العالي كمورد لتعزيز ممارسة التراث الثقافي </w:t>
            </w:r>
            <w:r w:rsidR="00795403" w:rsidRPr="00060DD4">
              <w:rPr>
                <w:rFonts w:asciiTheme="majorBidi" w:hAnsiTheme="majorBidi" w:cstheme="majorBidi"/>
                <w:b/>
                <w:sz w:val="24"/>
                <w:rtl/>
              </w:rPr>
              <w:t>غير المادي ونقله. كما قد يساعد</w:t>
            </w:r>
            <w:r w:rsidR="00580026" w:rsidRPr="00060DD4">
              <w:rPr>
                <w:rFonts w:asciiTheme="majorBidi" w:hAnsiTheme="majorBidi" w:cstheme="majorBidi"/>
                <w:b/>
                <w:sz w:val="24"/>
                <w:rtl/>
              </w:rPr>
              <w:t xml:space="preserve"> </w:t>
            </w:r>
            <w:r w:rsidR="00795403" w:rsidRPr="00060DD4">
              <w:rPr>
                <w:rFonts w:asciiTheme="majorBidi" w:hAnsiTheme="majorBidi"/>
                <w:b/>
                <w:sz w:val="24"/>
                <w:rtl/>
              </w:rPr>
              <w:t xml:space="preserve">في تقييمها الشامل لمدى </w:t>
            </w:r>
            <w:r w:rsidR="00580026" w:rsidRPr="00060DD4">
              <w:rPr>
                <w:rFonts w:asciiTheme="majorBidi" w:hAnsiTheme="majorBidi" w:cstheme="majorBidi"/>
                <w:b/>
                <w:sz w:val="24"/>
                <w:rtl/>
              </w:rPr>
              <w:t xml:space="preserve">تعميق التعليم العالي للمعرفة بالتراث الثقافي غير </w:t>
            </w:r>
            <w:r w:rsidR="00867D48" w:rsidRPr="00060DD4">
              <w:rPr>
                <w:rFonts w:asciiTheme="majorBidi" w:hAnsiTheme="majorBidi" w:cstheme="majorBidi" w:hint="cs"/>
                <w:b/>
                <w:sz w:val="24"/>
                <w:rtl/>
              </w:rPr>
              <w:t>المادي</w:t>
            </w:r>
            <w:r w:rsidR="00867D48" w:rsidRPr="00060DD4">
              <w:rPr>
                <w:rFonts w:asciiTheme="majorBidi" w:hAnsiTheme="majorBidi" w:cstheme="majorBidi" w:hint="eastAsia"/>
                <w:b/>
                <w:sz w:val="24"/>
                <w:rtl/>
              </w:rPr>
              <w:t>،</w:t>
            </w:r>
            <w:r w:rsidR="00580026" w:rsidRPr="00060DD4">
              <w:rPr>
                <w:rFonts w:asciiTheme="majorBidi" w:hAnsiTheme="majorBidi" w:cstheme="majorBidi"/>
                <w:b/>
                <w:sz w:val="24"/>
                <w:rtl/>
              </w:rPr>
              <w:t xml:space="preserve"> </w:t>
            </w:r>
            <w:r w:rsidR="00867D48" w:rsidRPr="00060DD4">
              <w:rPr>
                <w:rFonts w:asciiTheme="majorBidi" w:hAnsiTheme="majorBidi" w:cstheme="majorBidi" w:hint="cs"/>
                <w:b/>
                <w:sz w:val="24"/>
                <w:rtl/>
              </w:rPr>
              <w:t>وأبعاده الاجتماعية</w:t>
            </w:r>
            <w:r w:rsidR="00867D48" w:rsidRPr="00060DD4">
              <w:rPr>
                <w:rFonts w:asciiTheme="majorBidi" w:hAnsiTheme="majorBidi" w:cstheme="majorBidi" w:hint="cs"/>
                <w:b/>
                <w:sz w:val="24"/>
                <w:rtl/>
                <w:lang w:bidi="ar-EG"/>
              </w:rPr>
              <w:t xml:space="preserve">، </w:t>
            </w:r>
            <w:r w:rsidR="00580026" w:rsidRPr="00060DD4">
              <w:rPr>
                <w:rFonts w:asciiTheme="majorBidi" w:hAnsiTheme="majorBidi" w:cstheme="majorBidi"/>
                <w:b/>
                <w:sz w:val="24"/>
                <w:rtl/>
              </w:rPr>
              <w:t>والثقافية</w:t>
            </w:r>
            <w:r w:rsidR="00867D48" w:rsidRPr="00060DD4">
              <w:rPr>
                <w:rFonts w:asciiTheme="majorBidi" w:hAnsiTheme="majorBidi" w:cstheme="majorBidi" w:hint="cs"/>
                <w:b/>
                <w:sz w:val="24"/>
                <w:rtl/>
              </w:rPr>
              <w:t>،</w:t>
            </w:r>
            <w:r w:rsidR="00580026" w:rsidRPr="00060DD4">
              <w:rPr>
                <w:rFonts w:asciiTheme="majorBidi" w:hAnsiTheme="majorBidi" w:cstheme="majorBidi"/>
                <w:b/>
                <w:sz w:val="24"/>
                <w:rtl/>
              </w:rPr>
              <w:t xml:space="preserve"> وغيرها. وقد يحدد الرصد فرص تعزيز هذا التعليم من خلال إشراك نطاق واسع من المؤسسات التعليمية</w:t>
            </w:r>
            <w:r>
              <w:rPr>
                <w:rFonts w:asciiTheme="majorBidi" w:hAnsiTheme="majorBidi" w:cstheme="majorBidi" w:hint="cs"/>
                <w:b/>
                <w:sz w:val="24"/>
                <w:rtl/>
              </w:rPr>
              <w:t>،</w:t>
            </w:r>
            <w:r w:rsidR="00580026" w:rsidRPr="00060DD4">
              <w:rPr>
                <w:rFonts w:asciiTheme="majorBidi" w:hAnsiTheme="majorBidi" w:cstheme="majorBidi"/>
                <w:b/>
                <w:sz w:val="24"/>
                <w:rtl/>
              </w:rPr>
              <w:t xml:space="preserve"> وإدماج التراث الثقافي غير المادي بشكل كامل في التدريب الفني </w:t>
            </w:r>
            <w:r w:rsidR="00580026" w:rsidRPr="00060DD4">
              <w:rPr>
                <w:rFonts w:asciiTheme="majorBidi" w:hAnsiTheme="majorBidi" w:cstheme="majorBidi"/>
                <w:b/>
                <w:sz w:val="24"/>
                <w:rtl/>
              </w:rPr>
              <w:lastRenderedPageBreak/>
              <w:t>والتقني والمهني. وقد يحدد الرصد على ال</w:t>
            </w:r>
            <w:r w:rsidR="00824461" w:rsidRPr="00060DD4">
              <w:rPr>
                <w:rFonts w:asciiTheme="majorBidi" w:hAnsiTheme="majorBidi" w:cstheme="majorBidi" w:hint="cs"/>
                <w:b/>
                <w:sz w:val="24"/>
                <w:rtl/>
              </w:rPr>
              <w:t>صعيد</w:t>
            </w:r>
            <w:r w:rsidR="00580026" w:rsidRPr="00060DD4">
              <w:rPr>
                <w:rFonts w:asciiTheme="majorBidi" w:hAnsiTheme="majorBidi" w:cstheme="majorBidi"/>
                <w:b/>
                <w:sz w:val="24"/>
                <w:rtl/>
              </w:rPr>
              <w:t xml:space="preserve"> العالمي الممارسات الجيدة المستخدمة بالفعل في بعض البلدان، مع الإشارة إلى كيفية تعزيز التعاون الدولي في البحث</w:t>
            </w:r>
            <w:r>
              <w:rPr>
                <w:rFonts w:asciiTheme="majorBidi" w:hAnsiTheme="majorBidi" w:cstheme="majorBidi" w:hint="cs"/>
                <w:b/>
                <w:sz w:val="24"/>
                <w:rtl/>
              </w:rPr>
              <w:t>،</w:t>
            </w:r>
            <w:r w:rsidR="00580026" w:rsidRPr="00060DD4">
              <w:rPr>
                <w:rFonts w:asciiTheme="majorBidi" w:hAnsiTheme="majorBidi" w:cstheme="majorBidi"/>
                <w:b/>
                <w:sz w:val="24"/>
                <w:rtl/>
              </w:rPr>
              <w:t xml:space="preserve"> وتطوير المناهج</w:t>
            </w:r>
            <w:r>
              <w:rPr>
                <w:rFonts w:asciiTheme="majorBidi" w:hAnsiTheme="majorBidi" w:cstheme="majorBidi" w:hint="cs"/>
                <w:b/>
                <w:sz w:val="24"/>
                <w:rtl/>
              </w:rPr>
              <w:t>،</w:t>
            </w:r>
            <w:r w:rsidR="00580026" w:rsidRPr="00060DD4">
              <w:rPr>
                <w:rFonts w:asciiTheme="majorBidi" w:hAnsiTheme="majorBidi" w:cstheme="majorBidi"/>
                <w:b/>
                <w:sz w:val="24"/>
                <w:rtl/>
              </w:rPr>
              <w:t xml:space="preserve"> والأساليب التربوية للقدرات داخل كل دولة.</w:t>
            </w:r>
          </w:p>
        </w:tc>
      </w:tr>
      <w:tr w:rsidR="0054175C" w:rsidRPr="00060DD4" w14:paraId="16597458" w14:textId="77777777" w:rsidTr="00BF5E4B">
        <w:tc>
          <w:tcPr>
            <w:tcW w:w="730" w:type="pct"/>
            <w:shd w:val="clear" w:color="auto" w:fill="auto"/>
          </w:tcPr>
          <w:p w14:paraId="63EA2EFB" w14:textId="68AD8335" w:rsidR="0054175C" w:rsidRPr="00060DD4" w:rsidRDefault="00F821B0" w:rsidP="00AB24DC">
            <w:pPr>
              <w:bidi/>
              <w:spacing w:before="120"/>
              <w:rPr>
                <w:rFonts w:asciiTheme="majorBidi" w:hAnsiTheme="majorBidi" w:cstheme="majorBidi"/>
                <w:b/>
                <w:bCs/>
                <w:sz w:val="24"/>
              </w:rPr>
            </w:pPr>
            <w:r w:rsidRPr="00060DD4">
              <w:rPr>
                <w:rFonts w:asciiTheme="majorBidi" w:hAnsiTheme="majorBidi" w:cstheme="majorBidi"/>
                <w:b/>
                <w:bCs/>
                <w:sz w:val="24"/>
                <w:rtl/>
              </w:rPr>
              <w:lastRenderedPageBreak/>
              <w:t>مصادر البيانات وجمعها</w:t>
            </w:r>
          </w:p>
        </w:tc>
        <w:tc>
          <w:tcPr>
            <w:tcW w:w="4270" w:type="pct"/>
            <w:shd w:val="clear" w:color="auto" w:fill="auto"/>
          </w:tcPr>
          <w:p w14:paraId="1496E59A" w14:textId="40758E05" w:rsidR="008375C7" w:rsidRPr="00060DD4" w:rsidRDefault="008375C7" w:rsidP="00AB24DC">
            <w:pPr>
              <w:keepNext/>
              <w:bidi/>
              <w:spacing w:before="120" w:after="60"/>
              <w:jc w:val="both"/>
              <w:rPr>
                <w:rFonts w:asciiTheme="majorBidi" w:hAnsiTheme="majorBidi" w:cstheme="majorBidi"/>
                <w:sz w:val="24"/>
                <w:rtl/>
              </w:rPr>
            </w:pPr>
            <w:r w:rsidRPr="00060DD4">
              <w:rPr>
                <w:rFonts w:asciiTheme="majorBidi" w:hAnsiTheme="majorBidi" w:cstheme="majorBidi"/>
                <w:sz w:val="24"/>
                <w:rtl/>
              </w:rPr>
              <w:t xml:space="preserve">عادةً ما تحتفظ وزارات التربية والتعليم أو التعليم العالي بإحصائيات ومعلومات أخرى عن مؤسسات التعليم ما بعد </w:t>
            </w:r>
            <w:r w:rsidR="005E43B4">
              <w:rPr>
                <w:rFonts w:asciiTheme="majorBidi" w:hAnsiTheme="majorBidi" w:cstheme="majorBidi" w:hint="cs"/>
                <w:sz w:val="24"/>
                <w:rtl/>
              </w:rPr>
              <w:t xml:space="preserve">المرحلة </w:t>
            </w:r>
            <w:r w:rsidRPr="00060DD4">
              <w:rPr>
                <w:rFonts w:asciiTheme="majorBidi" w:hAnsiTheme="majorBidi" w:cstheme="majorBidi"/>
                <w:sz w:val="24"/>
                <w:rtl/>
              </w:rPr>
              <w:t>الثانوي</w:t>
            </w:r>
            <w:r w:rsidR="005E43B4">
              <w:rPr>
                <w:rFonts w:asciiTheme="majorBidi" w:hAnsiTheme="majorBidi" w:cstheme="majorBidi" w:hint="cs"/>
                <w:sz w:val="24"/>
                <w:rtl/>
              </w:rPr>
              <w:t>ة</w:t>
            </w:r>
            <w:r w:rsidRPr="00060DD4">
              <w:rPr>
                <w:rFonts w:asciiTheme="majorBidi" w:hAnsiTheme="majorBidi" w:cstheme="majorBidi"/>
                <w:sz w:val="24"/>
                <w:rtl/>
              </w:rPr>
              <w:t xml:space="preserve">. وفي بعض الحالات، من الضروري اعتماد برامج </w:t>
            </w:r>
            <w:r w:rsidR="0041758F">
              <w:rPr>
                <w:rFonts w:asciiTheme="majorBidi" w:hAnsiTheme="majorBidi" w:cstheme="majorBidi" w:hint="cs"/>
                <w:sz w:val="24"/>
                <w:rtl/>
              </w:rPr>
              <w:t>الشهادات من هذه الوزارة</w:t>
            </w:r>
            <w:r w:rsidRPr="00060DD4">
              <w:rPr>
                <w:rFonts w:asciiTheme="majorBidi" w:hAnsiTheme="majorBidi" w:cstheme="majorBidi"/>
                <w:sz w:val="24"/>
                <w:rtl/>
              </w:rPr>
              <w:t>، التي من المحتمل أن</w:t>
            </w:r>
            <w:r w:rsidR="0041758F">
              <w:rPr>
                <w:rFonts w:asciiTheme="majorBidi" w:hAnsiTheme="majorBidi" w:cstheme="majorBidi" w:hint="cs"/>
                <w:sz w:val="24"/>
                <w:rtl/>
              </w:rPr>
              <w:t>ها</w:t>
            </w:r>
            <w:r w:rsidRPr="00060DD4">
              <w:rPr>
                <w:rFonts w:asciiTheme="majorBidi" w:hAnsiTheme="majorBidi" w:cstheme="majorBidi"/>
                <w:sz w:val="24"/>
                <w:rtl/>
              </w:rPr>
              <w:t xml:space="preserve"> </w:t>
            </w:r>
            <w:r w:rsidR="0041758F">
              <w:rPr>
                <w:rFonts w:asciiTheme="majorBidi" w:hAnsiTheme="majorBidi" w:cstheme="majorBidi" w:hint="cs"/>
                <w:sz w:val="24"/>
                <w:rtl/>
              </w:rPr>
              <w:t>تمتلك</w:t>
            </w:r>
            <w:r w:rsidRPr="00060DD4">
              <w:rPr>
                <w:rFonts w:asciiTheme="majorBidi" w:hAnsiTheme="majorBidi" w:cstheme="majorBidi"/>
                <w:sz w:val="24"/>
                <w:rtl/>
              </w:rPr>
              <w:t xml:space="preserve"> معلومات جاهزة </w:t>
            </w:r>
            <w:r w:rsidR="0041758F">
              <w:rPr>
                <w:rFonts w:asciiTheme="majorBidi" w:hAnsiTheme="majorBidi" w:cstheme="majorBidi" w:hint="cs"/>
                <w:sz w:val="24"/>
                <w:rtl/>
              </w:rPr>
              <w:t xml:space="preserve">بالفعل </w:t>
            </w:r>
            <w:r w:rsidRPr="00060DD4">
              <w:rPr>
                <w:rFonts w:asciiTheme="majorBidi" w:hAnsiTheme="majorBidi" w:cstheme="majorBidi"/>
                <w:sz w:val="24"/>
                <w:rtl/>
              </w:rPr>
              <w:t xml:space="preserve">عن أي </w:t>
            </w:r>
            <w:r w:rsidR="0041758F">
              <w:rPr>
                <w:rFonts w:asciiTheme="majorBidi" w:hAnsiTheme="majorBidi" w:cstheme="majorBidi" w:hint="cs"/>
                <w:sz w:val="24"/>
                <w:rtl/>
              </w:rPr>
              <w:t>شهادات متوفرة</w:t>
            </w:r>
            <w:r w:rsidRPr="00060DD4">
              <w:rPr>
                <w:rFonts w:asciiTheme="majorBidi" w:hAnsiTheme="majorBidi" w:cstheme="majorBidi"/>
                <w:sz w:val="24"/>
                <w:rtl/>
              </w:rPr>
              <w:t xml:space="preserve"> في أي تخصصات ومن خلال أي مؤسسات. وفي حالة عدم وجود مثل هذا النظام، قد يحتاج المسؤولون عن الرصد و</w:t>
            </w:r>
            <w:r w:rsidR="0041758F">
              <w:rPr>
                <w:rFonts w:asciiTheme="majorBidi" w:hAnsiTheme="majorBidi" w:cstheme="majorBidi" w:hint="cs"/>
                <w:sz w:val="24"/>
                <w:rtl/>
              </w:rPr>
              <w:t>ا</w:t>
            </w:r>
            <w:r w:rsidR="007D7677">
              <w:rPr>
                <w:rFonts w:asciiTheme="majorBidi" w:hAnsiTheme="majorBidi" w:cstheme="majorBidi" w:hint="cs"/>
                <w:sz w:val="24"/>
                <w:rtl/>
              </w:rPr>
              <w:t>عداد التقرير</w:t>
            </w:r>
            <w:r w:rsidRPr="00060DD4">
              <w:rPr>
                <w:rFonts w:asciiTheme="majorBidi" w:hAnsiTheme="majorBidi" w:cstheme="majorBidi"/>
                <w:sz w:val="24"/>
                <w:rtl/>
              </w:rPr>
              <w:t xml:space="preserve"> إلى إجراء مسح للمؤسسات التعليمية ومراكز التدريب أو البحث في مواقعهم الإلكترونية عن معلومات حول ما إذا كانوا يقدمون </w:t>
            </w:r>
            <w:r w:rsidR="0041758F">
              <w:rPr>
                <w:rFonts w:asciiTheme="majorBidi" w:hAnsiTheme="majorBidi" w:cstheme="majorBidi" w:hint="cs"/>
                <w:sz w:val="24"/>
                <w:rtl/>
              </w:rPr>
              <w:t>شهادات</w:t>
            </w:r>
            <w:r w:rsidRPr="00060DD4">
              <w:rPr>
                <w:rFonts w:asciiTheme="majorBidi" w:hAnsiTheme="majorBidi" w:cstheme="majorBidi"/>
                <w:sz w:val="24"/>
                <w:rtl/>
              </w:rPr>
              <w:t xml:space="preserve"> وبرامج دراسية ذات صلة.</w:t>
            </w:r>
          </w:p>
          <w:p w14:paraId="2B032619" w14:textId="7BF30049" w:rsidR="00F821B0" w:rsidRPr="00060DD4" w:rsidRDefault="00F821B0" w:rsidP="00AB24DC">
            <w:pPr>
              <w:keepNext/>
              <w:bidi/>
              <w:spacing w:before="120" w:after="60"/>
              <w:jc w:val="both"/>
              <w:rPr>
                <w:rFonts w:asciiTheme="majorBidi" w:hAnsiTheme="majorBidi" w:cstheme="majorBidi"/>
                <w:bCs/>
                <w:sz w:val="24"/>
              </w:rPr>
            </w:pPr>
            <w:r w:rsidRPr="00060DD4">
              <w:rPr>
                <w:rFonts w:asciiTheme="majorBidi" w:hAnsiTheme="majorBidi" w:cstheme="majorBidi"/>
                <w:bCs/>
                <w:sz w:val="24"/>
                <w:rtl/>
              </w:rPr>
              <w:t>مصادر البيانات المحتملة</w:t>
            </w:r>
          </w:p>
          <w:p w14:paraId="3B5FF37C" w14:textId="36D18684" w:rsidR="00E80A41" w:rsidRPr="00060DD4" w:rsidRDefault="00E80A41" w:rsidP="00AB24DC">
            <w:pPr>
              <w:pStyle w:val="ListParagraph"/>
              <w:numPr>
                <w:ilvl w:val="0"/>
                <w:numId w:val="73"/>
              </w:numPr>
              <w:bidi/>
              <w:spacing w:before="120"/>
              <w:jc w:val="both"/>
              <w:rPr>
                <w:rFonts w:asciiTheme="majorBidi" w:hAnsiTheme="majorBidi" w:cstheme="majorBidi"/>
                <w:sz w:val="24"/>
                <w:szCs w:val="24"/>
                <w:lang w:val="en-GB"/>
              </w:rPr>
            </w:pPr>
            <w:r w:rsidRPr="00060DD4">
              <w:rPr>
                <w:rFonts w:asciiTheme="majorBidi" w:hAnsiTheme="majorBidi" w:cstheme="majorBidi"/>
                <w:sz w:val="24"/>
                <w:szCs w:val="24"/>
                <w:rtl/>
                <w:lang w:val="en-GB"/>
              </w:rPr>
              <w:t xml:space="preserve">تقارير </w:t>
            </w:r>
            <w:r w:rsidR="00795403" w:rsidRPr="00060DD4">
              <w:rPr>
                <w:rFonts w:asciiTheme="majorBidi" w:hAnsiTheme="majorBidi" w:cstheme="majorBidi"/>
                <w:sz w:val="24"/>
                <w:szCs w:val="24"/>
                <w:rtl/>
                <w:lang w:val="en-GB"/>
              </w:rPr>
              <w:t xml:space="preserve">وبيانات من وزارة تربية وتعليم أو وزارة تعليم عالي بشأن </w:t>
            </w:r>
            <w:r w:rsidR="0041758F">
              <w:rPr>
                <w:rFonts w:asciiTheme="majorBidi" w:hAnsiTheme="majorBidi" w:cstheme="majorBidi" w:hint="cs"/>
                <w:sz w:val="24"/>
                <w:szCs w:val="24"/>
                <w:rtl/>
                <w:lang w:val="en-GB"/>
              </w:rPr>
              <w:t>شهادات</w:t>
            </w:r>
            <w:r w:rsidR="00795403" w:rsidRPr="00060DD4">
              <w:rPr>
                <w:rFonts w:asciiTheme="majorBidi" w:hAnsiTheme="majorBidi" w:cstheme="majorBidi"/>
                <w:sz w:val="24"/>
                <w:szCs w:val="24"/>
                <w:rtl/>
                <w:lang w:val="en-GB"/>
              </w:rPr>
              <w:t xml:space="preserve"> </w:t>
            </w:r>
            <w:r w:rsidRPr="00060DD4">
              <w:rPr>
                <w:rFonts w:asciiTheme="majorBidi" w:hAnsiTheme="majorBidi" w:cstheme="majorBidi"/>
                <w:sz w:val="24"/>
                <w:szCs w:val="24"/>
                <w:rtl/>
                <w:lang w:val="en-GB"/>
              </w:rPr>
              <w:t xml:space="preserve">معتمدة في مختلف مؤسسات التعليم ما بعد </w:t>
            </w:r>
            <w:r w:rsidR="0041758F">
              <w:rPr>
                <w:rFonts w:asciiTheme="majorBidi" w:hAnsiTheme="majorBidi" w:cstheme="majorBidi" w:hint="cs"/>
                <w:sz w:val="24"/>
                <w:szCs w:val="24"/>
                <w:rtl/>
                <w:lang w:val="en-GB"/>
              </w:rPr>
              <w:t xml:space="preserve">المرحلة </w:t>
            </w:r>
            <w:r w:rsidRPr="00060DD4">
              <w:rPr>
                <w:rFonts w:asciiTheme="majorBidi" w:hAnsiTheme="majorBidi" w:cstheme="majorBidi"/>
                <w:sz w:val="24"/>
                <w:szCs w:val="24"/>
                <w:rtl/>
                <w:lang w:val="en-GB"/>
              </w:rPr>
              <w:t>الثانوي</w:t>
            </w:r>
            <w:r w:rsidR="0041758F">
              <w:rPr>
                <w:rFonts w:asciiTheme="majorBidi" w:hAnsiTheme="majorBidi" w:cstheme="majorBidi" w:hint="cs"/>
                <w:sz w:val="24"/>
                <w:szCs w:val="24"/>
                <w:rtl/>
                <w:lang w:val="en-GB"/>
              </w:rPr>
              <w:t>ة</w:t>
            </w:r>
          </w:p>
          <w:p w14:paraId="6B0CBFED" w14:textId="47E945F6" w:rsidR="00E80A41" w:rsidRPr="00060DD4" w:rsidRDefault="00E80A41" w:rsidP="00AB24DC">
            <w:pPr>
              <w:pStyle w:val="ListParagraph"/>
              <w:numPr>
                <w:ilvl w:val="0"/>
                <w:numId w:val="73"/>
              </w:numPr>
              <w:bidi/>
              <w:spacing w:before="120"/>
              <w:jc w:val="both"/>
              <w:rPr>
                <w:rFonts w:asciiTheme="majorBidi" w:hAnsiTheme="majorBidi" w:cstheme="majorBidi"/>
                <w:sz w:val="24"/>
                <w:szCs w:val="24"/>
                <w:lang w:val="en-GB"/>
              </w:rPr>
            </w:pPr>
            <w:r w:rsidRPr="00060DD4">
              <w:rPr>
                <w:rFonts w:asciiTheme="majorBidi" w:hAnsiTheme="majorBidi" w:cstheme="majorBidi"/>
                <w:sz w:val="24"/>
                <w:szCs w:val="24"/>
                <w:rtl/>
                <w:lang w:val="en-GB"/>
              </w:rPr>
              <w:t>مواقع إلكترونية لمؤسسا</w:t>
            </w:r>
            <w:r w:rsidR="00EC2DF4" w:rsidRPr="00060DD4">
              <w:rPr>
                <w:rFonts w:asciiTheme="majorBidi" w:hAnsiTheme="majorBidi" w:cstheme="majorBidi"/>
                <w:sz w:val="24"/>
                <w:szCs w:val="24"/>
                <w:rtl/>
                <w:lang w:val="en-GB"/>
              </w:rPr>
              <w:t xml:space="preserve">ت التعليم ما بعد </w:t>
            </w:r>
            <w:r w:rsidR="00662EE2">
              <w:rPr>
                <w:rFonts w:asciiTheme="majorBidi" w:hAnsiTheme="majorBidi" w:cstheme="majorBidi" w:hint="cs"/>
                <w:sz w:val="24"/>
                <w:szCs w:val="24"/>
                <w:rtl/>
                <w:lang w:val="en-GB"/>
              </w:rPr>
              <w:t xml:space="preserve">المرحلة </w:t>
            </w:r>
            <w:r w:rsidR="00EC2DF4" w:rsidRPr="00060DD4">
              <w:rPr>
                <w:rFonts w:asciiTheme="majorBidi" w:hAnsiTheme="majorBidi" w:cstheme="majorBidi"/>
                <w:sz w:val="24"/>
                <w:szCs w:val="24"/>
                <w:rtl/>
                <w:lang w:val="en-GB"/>
              </w:rPr>
              <w:t>الثانوي</w:t>
            </w:r>
            <w:r w:rsidR="00662EE2">
              <w:rPr>
                <w:rFonts w:asciiTheme="majorBidi" w:hAnsiTheme="majorBidi" w:cstheme="majorBidi" w:hint="cs"/>
                <w:sz w:val="24"/>
                <w:szCs w:val="24"/>
                <w:rtl/>
                <w:lang w:val="en-GB"/>
              </w:rPr>
              <w:t>ة</w:t>
            </w:r>
            <w:r w:rsidR="00EC2DF4" w:rsidRPr="00060DD4">
              <w:rPr>
                <w:rFonts w:asciiTheme="majorBidi" w:hAnsiTheme="majorBidi" w:cstheme="majorBidi"/>
                <w:sz w:val="24"/>
                <w:szCs w:val="24"/>
                <w:rtl/>
                <w:lang w:val="en-GB"/>
              </w:rPr>
              <w:t xml:space="preserve"> </w:t>
            </w:r>
            <w:r w:rsidR="000D6CD4">
              <w:rPr>
                <w:rFonts w:asciiTheme="majorBidi" w:hAnsiTheme="majorBidi" w:cstheme="majorBidi" w:hint="cs"/>
                <w:sz w:val="24"/>
                <w:szCs w:val="24"/>
                <w:rtl/>
                <w:lang w:val="en-GB"/>
              </w:rPr>
              <w:t>تعدد</w:t>
            </w:r>
            <w:r w:rsidR="00EC2DF4" w:rsidRPr="00060DD4">
              <w:rPr>
                <w:rFonts w:asciiTheme="majorBidi" w:hAnsiTheme="majorBidi" w:cstheme="majorBidi"/>
                <w:sz w:val="24"/>
                <w:szCs w:val="24"/>
                <w:rtl/>
                <w:lang w:val="en-GB"/>
              </w:rPr>
              <w:t xml:space="preserve"> برامج </w:t>
            </w:r>
            <w:r w:rsidR="00662EE2" w:rsidRPr="00060DD4">
              <w:rPr>
                <w:rFonts w:asciiTheme="majorBidi" w:hAnsiTheme="majorBidi" w:cstheme="majorBidi" w:hint="cs"/>
                <w:sz w:val="24"/>
                <w:szCs w:val="24"/>
                <w:rtl/>
                <w:lang w:val="en-GB"/>
              </w:rPr>
              <w:t>و</w:t>
            </w:r>
            <w:r w:rsidR="00662EE2">
              <w:rPr>
                <w:rFonts w:asciiTheme="majorBidi" w:hAnsiTheme="majorBidi" w:cstheme="majorBidi" w:hint="cs"/>
                <w:sz w:val="24"/>
                <w:szCs w:val="24"/>
                <w:rtl/>
                <w:lang w:val="en-GB"/>
              </w:rPr>
              <w:t>شهادات</w:t>
            </w:r>
            <w:r w:rsidR="00662EE2" w:rsidRPr="00060DD4">
              <w:rPr>
                <w:rFonts w:asciiTheme="majorBidi" w:hAnsiTheme="majorBidi" w:cstheme="majorBidi"/>
                <w:sz w:val="24"/>
                <w:szCs w:val="24"/>
                <w:rtl/>
                <w:lang w:val="en-GB"/>
              </w:rPr>
              <w:t xml:space="preserve"> </w:t>
            </w:r>
            <w:r w:rsidRPr="00060DD4">
              <w:rPr>
                <w:rFonts w:asciiTheme="majorBidi" w:hAnsiTheme="majorBidi" w:cstheme="majorBidi"/>
                <w:sz w:val="24"/>
                <w:szCs w:val="24"/>
                <w:rtl/>
                <w:lang w:val="en-GB"/>
              </w:rPr>
              <w:t>أكاديمية</w:t>
            </w:r>
          </w:p>
          <w:p w14:paraId="632BC5CE" w14:textId="7AD5C891" w:rsidR="00E80A41" w:rsidRPr="00060DD4" w:rsidRDefault="00A01519" w:rsidP="00AB24DC">
            <w:pPr>
              <w:pStyle w:val="ListParagraph"/>
              <w:numPr>
                <w:ilvl w:val="0"/>
                <w:numId w:val="73"/>
              </w:numPr>
              <w:bidi/>
              <w:spacing w:before="120"/>
              <w:jc w:val="both"/>
              <w:rPr>
                <w:rFonts w:asciiTheme="majorBidi" w:hAnsiTheme="majorBidi" w:cstheme="majorBidi"/>
                <w:sz w:val="24"/>
                <w:szCs w:val="24"/>
                <w:lang w:val="en-GB"/>
              </w:rPr>
            </w:pPr>
            <w:r w:rsidRPr="00060DD4">
              <w:rPr>
                <w:rFonts w:asciiTheme="majorBidi" w:hAnsiTheme="majorBidi" w:cstheme="majorBidi"/>
                <w:sz w:val="24"/>
                <w:szCs w:val="24"/>
                <w:rtl/>
                <w:lang w:val="en-GB"/>
              </w:rPr>
              <w:t>جمعيات و</w:t>
            </w:r>
            <w:r w:rsidR="00D5200E">
              <w:rPr>
                <w:rFonts w:asciiTheme="majorBidi" w:hAnsiTheme="majorBidi" w:cstheme="majorBidi" w:hint="cs"/>
                <w:sz w:val="24"/>
                <w:szCs w:val="24"/>
                <w:rtl/>
                <w:lang w:val="en-GB" w:bidi="ar-EG"/>
              </w:rPr>
              <w:t>دلائل</w:t>
            </w:r>
            <w:r w:rsidRPr="00060DD4">
              <w:rPr>
                <w:rFonts w:asciiTheme="majorBidi" w:hAnsiTheme="majorBidi" w:cstheme="majorBidi"/>
                <w:sz w:val="24"/>
                <w:szCs w:val="24"/>
                <w:rtl/>
                <w:lang w:val="en-GB"/>
              </w:rPr>
              <w:t xml:space="preserve"> مهنية في </w:t>
            </w:r>
            <w:r w:rsidR="00E80A41" w:rsidRPr="00060DD4">
              <w:rPr>
                <w:rFonts w:asciiTheme="majorBidi" w:hAnsiTheme="majorBidi" w:cstheme="majorBidi"/>
                <w:sz w:val="24"/>
                <w:szCs w:val="24"/>
                <w:rtl/>
                <w:lang w:val="en-GB"/>
              </w:rPr>
              <w:t>تخصصات ذات صلة</w:t>
            </w:r>
          </w:p>
          <w:p w14:paraId="7012A539" w14:textId="692A5B86" w:rsidR="00E14776" w:rsidRPr="00060DD4" w:rsidRDefault="00A01519" w:rsidP="00AB24DC">
            <w:pPr>
              <w:pStyle w:val="ListParagraph"/>
              <w:numPr>
                <w:ilvl w:val="0"/>
                <w:numId w:val="73"/>
              </w:numPr>
              <w:bidi/>
              <w:spacing w:before="120"/>
              <w:jc w:val="both"/>
              <w:rPr>
                <w:rFonts w:asciiTheme="majorBidi" w:hAnsiTheme="majorBidi" w:cstheme="majorBidi"/>
                <w:sz w:val="24"/>
                <w:szCs w:val="24"/>
                <w:lang w:val="en-GB"/>
              </w:rPr>
            </w:pPr>
            <w:r w:rsidRPr="00060DD4">
              <w:rPr>
                <w:rFonts w:asciiTheme="majorBidi" w:hAnsiTheme="majorBidi" w:cstheme="majorBidi"/>
                <w:sz w:val="24"/>
                <w:szCs w:val="24"/>
                <w:rtl/>
                <w:lang w:val="en-GB"/>
              </w:rPr>
              <w:t xml:space="preserve">شبكات مهنية في مجالات فنية وعلمية ذات </w:t>
            </w:r>
            <w:r w:rsidR="00E80A41" w:rsidRPr="00060DD4">
              <w:rPr>
                <w:rFonts w:asciiTheme="majorBidi" w:hAnsiTheme="majorBidi" w:cstheme="majorBidi"/>
                <w:sz w:val="24"/>
                <w:szCs w:val="24"/>
                <w:rtl/>
                <w:lang w:val="en-GB"/>
              </w:rPr>
              <w:t>صلة</w:t>
            </w:r>
          </w:p>
        </w:tc>
      </w:tr>
    </w:tbl>
    <w:p w14:paraId="1300EAAD" w14:textId="77777777" w:rsidR="00320242" w:rsidRPr="002B2A50" w:rsidRDefault="00320242" w:rsidP="00AB24DC">
      <w:pPr>
        <w:bidi/>
        <w:rPr>
          <w:rFonts w:asciiTheme="majorBidi" w:hAnsiTheme="majorBidi" w:cstheme="majorBidi"/>
        </w:rPr>
      </w:pPr>
    </w:p>
    <w:sectPr w:rsidR="00320242" w:rsidRPr="002B2A50"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2D2EB" w14:textId="77777777" w:rsidR="0079044F" w:rsidRDefault="0079044F" w:rsidP="002938F2">
      <w:r>
        <w:separator/>
      </w:r>
    </w:p>
    <w:p w14:paraId="3A02312D" w14:textId="77777777" w:rsidR="0079044F" w:rsidRDefault="0079044F"/>
  </w:endnote>
  <w:endnote w:type="continuationSeparator" w:id="0">
    <w:p w14:paraId="1200FB9D" w14:textId="77777777" w:rsidR="0079044F" w:rsidRDefault="0079044F" w:rsidP="002938F2">
      <w:r>
        <w:continuationSeparator/>
      </w:r>
    </w:p>
    <w:p w14:paraId="4AC171E7" w14:textId="77777777" w:rsidR="0079044F" w:rsidRDefault="0079044F"/>
  </w:endnote>
  <w:endnote w:type="continuationNotice" w:id="1">
    <w:p w14:paraId="5ADAAB98" w14:textId="77777777" w:rsidR="0079044F" w:rsidRDefault="007904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C2FA" w14:textId="1981C379" w:rsidR="00C04344" w:rsidRPr="000A0709" w:rsidRDefault="00CB79DE" w:rsidP="00546B8E">
    <w:pPr>
      <w:pStyle w:val="Footer"/>
      <w:bidi/>
      <w:jc w:val="center"/>
      <w:rPr>
        <w:rFonts w:ascii="Arial" w:hAnsi="Arial"/>
      </w:rPr>
    </w:pPr>
    <w:r w:rsidRPr="000F25BA">
      <w:rPr>
        <w:rFonts w:ascii="Arial" w:hAnsi="Arial" w:cs="Arial"/>
      </w:rPr>
      <w:fldChar w:fldCharType="begin"/>
    </w:r>
    <w:r w:rsidR="000F25BA" w:rsidRPr="000F25BA">
      <w:rPr>
        <w:rFonts w:ascii="Arial" w:hAnsi="Arial" w:cs="Arial"/>
      </w:rPr>
      <w:instrText xml:space="preserve"> PAGE   \* MERGEFORMAT </w:instrText>
    </w:r>
    <w:r w:rsidRPr="000F25BA">
      <w:rPr>
        <w:rFonts w:ascii="Arial" w:hAnsi="Arial" w:cs="Arial"/>
      </w:rPr>
      <w:fldChar w:fldCharType="separate"/>
    </w:r>
    <w:r w:rsidR="00612A4B">
      <w:rPr>
        <w:rFonts w:ascii="Arial" w:hAnsi="Arial" w:cs="Arial"/>
        <w:noProof/>
        <w:rtl/>
      </w:rPr>
      <w:t>1</w:t>
    </w:r>
    <w:r w:rsidRPr="000F25B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65D2E" w14:textId="77777777" w:rsidR="0079044F" w:rsidRDefault="0079044F" w:rsidP="002938F2">
      <w:r>
        <w:separator/>
      </w:r>
    </w:p>
  </w:footnote>
  <w:footnote w:type="continuationSeparator" w:id="0">
    <w:p w14:paraId="4813C3AD" w14:textId="77777777" w:rsidR="0079044F" w:rsidRDefault="0079044F" w:rsidP="002938F2">
      <w:r>
        <w:continuationSeparator/>
      </w:r>
    </w:p>
    <w:p w14:paraId="39469718" w14:textId="77777777" w:rsidR="0079044F" w:rsidRDefault="0079044F"/>
  </w:footnote>
  <w:footnote w:type="continuationNotice" w:id="1">
    <w:p w14:paraId="1ECCE5AF" w14:textId="77777777" w:rsidR="0079044F" w:rsidRDefault="0079044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7"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1B0FC4"/>
    <w:multiLevelType w:val="hybridMultilevel"/>
    <w:tmpl w:val="DC4CE02A"/>
    <w:lvl w:ilvl="0" w:tplc="F3C0B4AC">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5"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7"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25F4729"/>
    <w:multiLevelType w:val="multilevel"/>
    <w:tmpl w:val="75C2FA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40"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4"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4"/>
  </w:num>
  <w:num w:numId="2">
    <w:abstractNumId w:val="25"/>
  </w:num>
  <w:num w:numId="3">
    <w:abstractNumId w:val="11"/>
  </w:num>
  <w:num w:numId="4">
    <w:abstractNumId w:val="56"/>
  </w:num>
  <w:num w:numId="5">
    <w:abstractNumId w:val="47"/>
  </w:num>
  <w:num w:numId="6">
    <w:abstractNumId w:val="4"/>
  </w:num>
  <w:num w:numId="7">
    <w:abstractNumId w:val="15"/>
  </w:num>
  <w:num w:numId="8">
    <w:abstractNumId w:val="24"/>
  </w:num>
  <w:num w:numId="9">
    <w:abstractNumId w:val="50"/>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40"/>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4"/>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8"/>
  </w:num>
  <w:num w:numId="35">
    <w:abstractNumId w:val="20"/>
  </w:num>
  <w:num w:numId="36">
    <w:abstractNumId w:val="42"/>
  </w:num>
  <w:num w:numId="37">
    <w:abstractNumId w:val="17"/>
  </w:num>
  <w:num w:numId="38">
    <w:abstractNumId w:val="9"/>
  </w:num>
  <w:num w:numId="39">
    <w:abstractNumId w:val="6"/>
  </w:num>
  <w:num w:numId="40">
    <w:abstractNumId w:val="19"/>
  </w:num>
  <w:num w:numId="41">
    <w:abstractNumId w:val="55"/>
  </w:num>
  <w:num w:numId="42">
    <w:abstractNumId w:val="52"/>
  </w:num>
  <w:num w:numId="43">
    <w:abstractNumId w:val="28"/>
  </w:num>
  <w:num w:numId="44">
    <w:abstractNumId w:val="12"/>
  </w:num>
  <w:num w:numId="45">
    <w:abstractNumId w:val="53"/>
  </w:num>
  <w:num w:numId="46">
    <w:abstractNumId w:val="5"/>
  </w:num>
  <w:num w:numId="47">
    <w:abstractNumId w:val="36"/>
  </w:num>
  <w:num w:numId="48">
    <w:abstractNumId w:val="57"/>
  </w:num>
  <w:num w:numId="49">
    <w:abstractNumId w:val="31"/>
  </w:num>
  <w:num w:numId="50">
    <w:abstractNumId w:val="29"/>
  </w:num>
  <w:num w:numId="51">
    <w:abstractNumId w:val="26"/>
  </w:num>
  <w:num w:numId="52">
    <w:abstractNumId w:val="39"/>
  </w:num>
  <w:num w:numId="53">
    <w:abstractNumId w:val="14"/>
  </w:num>
  <w:num w:numId="54">
    <w:abstractNumId w:val="1"/>
  </w:num>
  <w:num w:numId="55">
    <w:abstractNumId w:val="34"/>
  </w:num>
  <w:num w:numId="56">
    <w:abstractNumId w:val="41"/>
  </w:num>
  <w:num w:numId="57">
    <w:abstractNumId w:val="0"/>
  </w:num>
  <w:num w:numId="58">
    <w:abstractNumId w:val="3"/>
  </w:num>
  <w:num w:numId="59">
    <w:abstractNumId w:val="45"/>
  </w:num>
  <w:num w:numId="60">
    <w:abstractNumId w:val="2"/>
  </w:num>
  <w:num w:numId="61">
    <w:abstractNumId w:val="30"/>
  </w:num>
  <w:num w:numId="62">
    <w:abstractNumId w:val="21"/>
  </w:num>
  <w:num w:numId="63">
    <w:abstractNumId w:val="49"/>
  </w:num>
  <w:num w:numId="64">
    <w:abstractNumId w:val="18"/>
  </w:num>
  <w:num w:numId="65">
    <w:abstractNumId w:val="23"/>
  </w:num>
  <w:num w:numId="66">
    <w:abstractNumId w:val="46"/>
  </w:num>
  <w:num w:numId="67">
    <w:abstractNumId w:val="37"/>
  </w:num>
  <w:num w:numId="68">
    <w:abstractNumId w:val="13"/>
  </w:num>
  <w:num w:numId="69">
    <w:abstractNumId w:val="43"/>
  </w:num>
  <w:num w:numId="70">
    <w:abstractNumId w:val="32"/>
  </w:num>
  <w:num w:numId="71">
    <w:abstractNumId w:val="27"/>
  </w:num>
  <w:num w:numId="72">
    <w:abstractNumId w:val="51"/>
  </w:num>
  <w:num w:numId="73">
    <w:abstractNumId w:val="7"/>
  </w:num>
  <w:num w:numId="74">
    <w:abstractNumId w:val="35"/>
  </w:num>
  <w:num w:numId="75">
    <w:abstractNumId w:val="38"/>
  </w:num>
  <w:num w:numId="76">
    <w:abstractNumId w:val="3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ar-SA" w:vendorID="64" w:dllVersion="0" w:nlCheck="1" w:checkStyle="0"/>
  <w:activeWritingStyle w:appName="MSWord" w:lang="ar-EG"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9D2"/>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31A37"/>
    <w:rsid w:val="00036843"/>
    <w:rsid w:val="00047E58"/>
    <w:rsid w:val="00054FDC"/>
    <w:rsid w:val="00057DA7"/>
    <w:rsid w:val="00060DD4"/>
    <w:rsid w:val="000632E2"/>
    <w:rsid w:val="00070A1B"/>
    <w:rsid w:val="0007203D"/>
    <w:rsid w:val="000729D2"/>
    <w:rsid w:val="00073D20"/>
    <w:rsid w:val="000742D3"/>
    <w:rsid w:val="00074E7D"/>
    <w:rsid w:val="000755E1"/>
    <w:rsid w:val="0007681B"/>
    <w:rsid w:val="000769F1"/>
    <w:rsid w:val="00083694"/>
    <w:rsid w:val="00085541"/>
    <w:rsid w:val="00092AE6"/>
    <w:rsid w:val="00093063"/>
    <w:rsid w:val="000A0709"/>
    <w:rsid w:val="000A0F0D"/>
    <w:rsid w:val="000A112A"/>
    <w:rsid w:val="000A21DA"/>
    <w:rsid w:val="000A34CE"/>
    <w:rsid w:val="000C03BF"/>
    <w:rsid w:val="000C15BD"/>
    <w:rsid w:val="000C18AE"/>
    <w:rsid w:val="000C65E4"/>
    <w:rsid w:val="000C7994"/>
    <w:rsid w:val="000C7EE0"/>
    <w:rsid w:val="000D1EBC"/>
    <w:rsid w:val="000D260B"/>
    <w:rsid w:val="000D345F"/>
    <w:rsid w:val="000D6CD4"/>
    <w:rsid w:val="000D7375"/>
    <w:rsid w:val="000E0C7D"/>
    <w:rsid w:val="000E2EE7"/>
    <w:rsid w:val="000F25BA"/>
    <w:rsid w:val="000F2B3F"/>
    <w:rsid w:val="000F7E6F"/>
    <w:rsid w:val="001061BA"/>
    <w:rsid w:val="00106B72"/>
    <w:rsid w:val="00106D19"/>
    <w:rsid w:val="0011334A"/>
    <w:rsid w:val="00115830"/>
    <w:rsid w:val="00116489"/>
    <w:rsid w:val="0011750D"/>
    <w:rsid w:val="00121B41"/>
    <w:rsid w:val="001301DF"/>
    <w:rsid w:val="0013565B"/>
    <w:rsid w:val="001412DE"/>
    <w:rsid w:val="00142D78"/>
    <w:rsid w:val="00144A4D"/>
    <w:rsid w:val="001450D2"/>
    <w:rsid w:val="00151351"/>
    <w:rsid w:val="001559E7"/>
    <w:rsid w:val="00156788"/>
    <w:rsid w:val="001609A1"/>
    <w:rsid w:val="00162554"/>
    <w:rsid w:val="00163F68"/>
    <w:rsid w:val="00173B50"/>
    <w:rsid w:val="00173E0E"/>
    <w:rsid w:val="00174B39"/>
    <w:rsid w:val="00183F6C"/>
    <w:rsid w:val="00194802"/>
    <w:rsid w:val="00194AEB"/>
    <w:rsid w:val="001A431C"/>
    <w:rsid w:val="001A5519"/>
    <w:rsid w:val="001A7C3A"/>
    <w:rsid w:val="001B5C26"/>
    <w:rsid w:val="001C08BC"/>
    <w:rsid w:val="001C56BA"/>
    <w:rsid w:val="001C6D7D"/>
    <w:rsid w:val="001D00B5"/>
    <w:rsid w:val="001D3B29"/>
    <w:rsid w:val="001D59C8"/>
    <w:rsid w:val="001E4EEB"/>
    <w:rsid w:val="001E6026"/>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198B"/>
    <w:rsid w:val="00273658"/>
    <w:rsid w:val="00277432"/>
    <w:rsid w:val="00282A9D"/>
    <w:rsid w:val="00286C0C"/>
    <w:rsid w:val="00287687"/>
    <w:rsid w:val="00290D5F"/>
    <w:rsid w:val="002938F2"/>
    <w:rsid w:val="00293CCC"/>
    <w:rsid w:val="00295F51"/>
    <w:rsid w:val="002A195D"/>
    <w:rsid w:val="002B139C"/>
    <w:rsid w:val="002B2A50"/>
    <w:rsid w:val="002B43D6"/>
    <w:rsid w:val="002B6B98"/>
    <w:rsid w:val="002C28BA"/>
    <w:rsid w:val="002C3B8F"/>
    <w:rsid w:val="002C444C"/>
    <w:rsid w:val="002C5021"/>
    <w:rsid w:val="002C5280"/>
    <w:rsid w:val="002C5C29"/>
    <w:rsid w:val="002C6E60"/>
    <w:rsid w:val="002C77C8"/>
    <w:rsid w:val="002D396D"/>
    <w:rsid w:val="002D71D4"/>
    <w:rsid w:val="002E113D"/>
    <w:rsid w:val="002F002A"/>
    <w:rsid w:val="002F17E1"/>
    <w:rsid w:val="002F1D9B"/>
    <w:rsid w:val="003043A9"/>
    <w:rsid w:val="0030454E"/>
    <w:rsid w:val="00306CD4"/>
    <w:rsid w:val="00315182"/>
    <w:rsid w:val="00320242"/>
    <w:rsid w:val="0032030D"/>
    <w:rsid w:val="00322A3A"/>
    <w:rsid w:val="00324A32"/>
    <w:rsid w:val="00325D6E"/>
    <w:rsid w:val="00326E8C"/>
    <w:rsid w:val="00334977"/>
    <w:rsid w:val="003367DB"/>
    <w:rsid w:val="00337194"/>
    <w:rsid w:val="00342EE8"/>
    <w:rsid w:val="00344D78"/>
    <w:rsid w:val="00346517"/>
    <w:rsid w:val="00351CCB"/>
    <w:rsid w:val="0035648A"/>
    <w:rsid w:val="00362B41"/>
    <w:rsid w:val="00363995"/>
    <w:rsid w:val="00364E5E"/>
    <w:rsid w:val="00370E9B"/>
    <w:rsid w:val="00377E4B"/>
    <w:rsid w:val="00383BA9"/>
    <w:rsid w:val="003845B0"/>
    <w:rsid w:val="00385B34"/>
    <w:rsid w:val="00386C08"/>
    <w:rsid w:val="00387D88"/>
    <w:rsid w:val="00390C70"/>
    <w:rsid w:val="0039446E"/>
    <w:rsid w:val="003A0873"/>
    <w:rsid w:val="003A260A"/>
    <w:rsid w:val="003A2BC4"/>
    <w:rsid w:val="003B31BE"/>
    <w:rsid w:val="003B504D"/>
    <w:rsid w:val="003C2E12"/>
    <w:rsid w:val="003C7065"/>
    <w:rsid w:val="003D2E0D"/>
    <w:rsid w:val="003D5113"/>
    <w:rsid w:val="003D5BFC"/>
    <w:rsid w:val="003D6E10"/>
    <w:rsid w:val="003E0C0F"/>
    <w:rsid w:val="003E0E28"/>
    <w:rsid w:val="003E19D5"/>
    <w:rsid w:val="003E5082"/>
    <w:rsid w:val="003E76A8"/>
    <w:rsid w:val="003F5B90"/>
    <w:rsid w:val="00403632"/>
    <w:rsid w:val="00404856"/>
    <w:rsid w:val="00406ED7"/>
    <w:rsid w:val="004108B6"/>
    <w:rsid w:val="0041110F"/>
    <w:rsid w:val="0041300C"/>
    <w:rsid w:val="00414B68"/>
    <w:rsid w:val="0041758F"/>
    <w:rsid w:val="00430ED2"/>
    <w:rsid w:val="00434773"/>
    <w:rsid w:val="004367F5"/>
    <w:rsid w:val="004458C9"/>
    <w:rsid w:val="00447C66"/>
    <w:rsid w:val="00460E6A"/>
    <w:rsid w:val="00462F38"/>
    <w:rsid w:val="00471B34"/>
    <w:rsid w:val="00474AFE"/>
    <w:rsid w:val="00477E66"/>
    <w:rsid w:val="00480809"/>
    <w:rsid w:val="00486A5E"/>
    <w:rsid w:val="004912D1"/>
    <w:rsid w:val="00493F92"/>
    <w:rsid w:val="004A0C2B"/>
    <w:rsid w:val="004A1B94"/>
    <w:rsid w:val="004A544E"/>
    <w:rsid w:val="004A610E"/>
    <w:rsid w:val="004A66C9"/>
    <w:rsid w:val="004C20E2"/>
    <w:rsid w:val="004C7FE6"/>
    <w:rsid w:val="004D3E6B"/>
    <w:rsid w:val="004D6C4C"/>
    <w:rsid w:val="004E056C"/>
    <w:rsid w:val="004E2817"/>
    <w:rsid w:val="004E2AE8"/>
    <w:rsid w:val="004E418A"/>
    <w:rsid w:val="005016FB"/>
    <w:rsid w:val="00504256"/>
    <w:rsid w:val="00511CF0"/>
    <w:rsid w:val="00511D17"/>
    <w:rsid w:val="005157E2"/>
    <w:rsid w:val="0051699F"/>
    <w:rsid w:val="00516DE3"/>
    <w:rsid w:val="005261A7"/>
    <w:rsid w:val="005300BF"/>
    <w:rsid w:val="00531D63"/>
    <w:rsid w:val="00532631"/>
    <w:rsid w:val="005414A1"/>
    <w:rsid w:val="0054175C"/>
    <w:rsid w:val="00546B8E"/>
    <w:rsid w:val="005473CF"/>
    <w:rsid w:val="00564BCD"/>
    <w:rsid w:val="00570355"/>
    <w:rsid w:val="00574530"/>
    <w:rsid w:val="00580026"/>
    <w:rsid w:val="00581423"/>
    <w:rsid w:val="00581DA1"/>
    <w:rsid w:val="00582F4C"/>
    <w:rsid w:val="0058407A"/>
    <w:rsid w:val="0059273E"/>
    <w:rsid w:val="00594539"/>
    <w:rsid w:val="005A1BCE"/>
    <w:rsid w:val="005A4388"/>
    <w:rsid w:val="005A65BD"/>
    <w:rsid w:val="005A7D00"/>
    <w:rsid w:val="005B0FE5"/>
    <w:rsid w:val="005B357C"/>
    <w:rsid w:val="005B4A0B"/>
    <w:rsid w:val="005B53C6"/>
    <w:rsid w:val="005C0015"/>
    <w:rsid w:val="005C0052"/>
    <w:rsid w:val="005C05F4"/>
    <w:rsid w:val="005C0660"/>
    <w:rsid w:val="005C44A6"/>
    <w:rsid w:val="005C7D6A"/>
    <w:rsid w:val="005D2DDA"/>
    <w:rsid w:val="005E3229"/>
    <w:rsid w:val="005E3A3E"/>
    <w:rsid w:val="005E43B4"/>
    <w:rsid w:val="005E6A2B"/>
    <w:rsid w:val="005E7C7C"/>
    <w:rsid w:val="005F0380"/>
    <w:rsid w:val="00601DD6"/>
    <w:rsid w:val="006032AE"/>
    <w:rsid w:val="00603F71"/>
    <w:rsid w:val="00605202"/>
    <w:rsid w:val="00606812"/>
    <w:rsid w:val="00612A4B"/>
    <w:rsid w:val="00621092"/>
    <w:rsid w:val="00621208"/>
    <w:rsid w:val="00632B30"/>
    <w:rsid w:val="006340A1"/>
    <w:rsid w:val="00636760"/>
    <w:rsid w:val="00644B92"/>
    <w:rsid w:val="00645B77"/>
    <w:rsid w:val="0065099D"/>
    <w:rsid w:val="006515C9"/>
    <w:rsid w:val="00651944"/>
    <w:rsid w:val="00652318"/>
    <w:rsid w:val="00652484"/>
    <w:rsid w:val="00653314"/>
    <w:rsid w:val="00662EE2"/>
    <w:rsid w:val="0067005F"/>
    <w:rsid w:val="0067015A"/>
    <w:rsid w:val="006736EC"/>
    <w:rsid w:val="00673D90"/>
    <w:rsid w:val="00676C1E"/>
    <w:rsid w:val="00686D60"/>
    <w:rsid w:val="00691869"/>
    <w:rsid w:val="006A0D86"/>
    <w:rsid w:val="006A49AE"/>
    <w:rsid w:val="006A56C0"/>
    <w:rsid w:val="006C0911"/>
    <w:rsid w:val="006C737A"/>
    <w:rsid w:val="006D46FB"/>
    <w:rsid w:val="006E29C0"/>
    <w:rsid w:val="006E752A"/>
    <w:rsid w:val="006E7CF0"/>
    <w:rsid w:val="006F3322"/>
    <w:rsid w:val="006F3E83"/>
    <w:rsid w:val="006F4B83"/>
    <w:rsid w:val="006F7F47"/>
    <w:rsid w:val="00701458"/>
    <w:rsid w:val="00701D7E"/>
    <w:rsid w:val="00704766"/>
    <w:rsid w:val="00704E37"/>
    <w:rsid w:val="007119B8"/>
    <w:rsid w:val="0071586D"/>
    <w:rsid w:val="0072415E"/>
    <w:rsid w:val="007247D7"/>
    <w:rsid w:val="007250E3"/>
    <w:rsid w:val="007277C8"/>
    <w:rsid w:val="00732057"/>
    <w:rsid w:val="0073489D"/>
    <w:rsid w:val="007368A2"/>
    <w:rsid w:val="007418AE"/>
    <w:rsid w:val="00742981"/>
    <w:rsid w:val="00742DD1"/>
    <w:rsid w:val="0074360F"/>
    <w:rsid w:val="00746204"/>
    <w:rsid w:val="00747715"/>
    <w:rsid w:val="00747F86"/>
    <w:rsid w:val="00750138"/>
    <w:rsid w:val="0075042C"/>
    <w:rsid w:val="00753DA3"/>
    <w:rsid w:val="007610D3"/>
    <w:rsid w:val="007629DB"/>
    <w:rsid w:val="00764F50"/>
    <w:rsid w:val="00767871"/>
    <w:rsid w:val="00770A92"/>
    <w:rsid w:val="00774D9C"/>
    <w:rsid w:val="00776A63"/>
    <w:rsid w:val="0079044F"/>
    <w:rsid w:val="00790C65"/>
    <w:rsid w:val="00792752"/>
    <w:rsid w:val="0079316B"/>
    <w:rsid w:val="00795403"/>
    <w:rsid w:val="007A0565"/>
    <w:rsid w:val="007A0EAA"/>
    <w:rsid w:val="007A1247"/>
    <w:rsid w:val="007A1E0A"/>
    <w:rsid w:val="007A6F91"/>
    <w:rsid w:val="007A7D45"/>
    <w:rsid w:val="007B4ADA"/>
    <w:rsid w:val="007C105C"/>
    <w:rsid w:val="007C1B00"/>
    <w:rsid w:val="007D0F1D"/>
    <w:rsid w:val="007D2881"/>
    <w:rsid w:val="007D31CE"/>
    <w:rsid w:val="007D3AD8"/>
    <w:rsid w:val="007D5BB7"/>
    <w:rsid w:val="007D6A69"/>
    <w:rsid w:val="007D7677"/>
    <w:rsid w:val="007E0621"/>
    <w:rsid w:val="007E4E37"/>
    <w:rsid w:val="007F4B07"/>
    <w:rsid w:val="008029A6"/>
    <w:rsid w:val="008073EA"/>
    <w:rsid w:val="008147BA"/>
    <w:rsid w:val="00824461"/>
    <w:rsid w:val="008269B0"/>
    <w:rsid w:val="0083067E"/>
    <w:rsid w:val="00832357"/>
    <w:rsid w:val="0083488D"/>
    <w:rsid w:val="008375C7"/>
    <w:rsid w:val="008466C3"/>
    <w:rsid w:val="00846809"/>
    <w:rsid w:val="00851458"/>
    <w:rsid w:val="00854048"/>
    <w:rsid w:val="00861A47"/>
    <w:rsid w:val="00867D48"/>
    <w:rsid w:val="008707FF"/>
    <w:rsid w:val="00871099"/>
    <w:rsid w:val="008724E5"/>
    <w:rsid w:val="00877AC5"/>
    <w:rsid w:val="00877F27"/>
    <w:rsid w:val="0088173A"/>
    <w:rsid w:val="00881EB9"/>
    <w:rsid w:val="008848E9"/>
    <w:rsid w:val="00884C09"/>
    <w:rsid w:val="00885596"/>
    <w:rsid w:val="00885B33"/>
    <w:rsid w:val="00886B71"/>
    <w:rsid w:val="0088751D"/>
    <w:rsid w:val="0089499E"/>
    <w:rsid w:val="00896177"/>
    <w:rsid w:val="008A0BE3"/>
    <w:rsid w:val="008A2566"/>
    <w:rsid w:val="008A6663"/>
    <w:rsid w:val="008B6231"/>
    <w:rsid w:val="008B6B4C"/>
    <w:rsid w:val="008B7346"/>
    <w:rsid w:val="008C3895"/>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17A4"/>
    <w:rsid w:val="009121CE"/>
    <w:rsid w:val="009127D8"/>
    <w:rsid w:val="00916F7B"/>
    <w:rsid w:val="00917A4D"/>
    <w:rsid w:val="00921F65"/>
    <w:rsid w:val="0092574C"/>
    <w:rsid w:val="00925FAA"/>
    <w:rsid w:val="009342E8"/>
    <w:rsid w:val="009357B4"/>
    <w:rsid w:val="009429EA"/>
    <w:rsid w:val="00946D71"/>
    <w:rsid w:val="009548E8"/>
    <w:rsid w:val="009577E1"/>
    <w:rsid w:val="00971CA1"/>
    <w:rsid w:val="0097349C"/>
    <w:rsid w:val="009814C2"/>
    <w:rsid w:val="00982FFD"/>
    <w:rsid w:val="00985265"/>
    <w:rsid w:val="00985856"/>
    <w:rsid w:val="009A4969"/>
    <w:rsid w:val="009B1466"/>
    <w:rsid w:val="009B14DC"/>
    <w:rsid w:val="009B6973"/>
    <w:rsid w:val="009C0510"/>
    <w:rsid w:val="009C3663"/>
    <w:rsid w:val="009D098F"/>
    <w:rsid w:val="009D4547"/>
    <w:rsid w:val="009D5A49"/>
    <w:rsid w:val="009D5E38"/>
    <w:rsid w:val="009D602F"/>
    <w:rsid w:val="009D68D0"/>
    <w:rsid w:val="009E17AF"/>
    <w:rsid w:val="009E314A"/>
    <w:rsid w:val="009F0D42"/>
    <w:rsid w:val="009F1B82"/>
    <w:rsid w:val="009F34A4"/>
    <w:rsid w:val="009F3988"/>
    <w:rsid w:val="00A003D0"/>
    <w:rsid w:val="00A01519"/>
    <w:rsid w:val="00A06AAA"/>
    <w:rsid w:val="00A073FD"/>
    <w:rsid w:val="00A150C7"/>
    <w:rsid w:val="00A2307A"/>
    <w:rsid w:val="00A2509E"/>
    <w:rsid w:val="00A43A86"/>
    <w:rsid w:val="00A462C6"/>
    <w:rsid w:val="00A477D9"/>
    <w:rsid w:val="00A519A2"/>
    <w:rsid w:val="00A51BDC"/>
    <w:rsid w:val="00A535B7"/>
    <w:rsid w:val="00A5709F"/>
    <w:rsid w:val="00A616C4"/>
    <w:rsid w:val="00A61F20"/>
    <w:rsid w:val="00A64796"/>
    <w:rsid w:val="00A66CD4"/>
    <w:rsid w:val="00A70883"/>
    <w:rsid w:val="00A77AEB"/>
    <w:rsid w:val="00A81F0A"/>
    <w:rsid w:val="00A85C7A"/>
    <w:rsid w:val="00A86042"/>
    <w:rsid w:val="00A87FB7"/>
    <w:rsid w:val="00A93C62"/>
    <w:rsid w:val="00AA36F9"/>
    <w:rsid w:val="00AA444A"/>
    <w:rsid w:val="00AB1528"/>
    <w:rsid w:val="00AB24DC"/>
    <w:rsid w:val="00AB5E29"/>
    <w:rsid w:val="00AD6BD4"/>
    <w:rsid w:val="00AE1B18"/>
    <w:rsid w:val="00AE1D83"/>
    <w:rsid w:val="00AE2DFB"/>
    <w:rsid w:val="00AE3061"/>
    <w:rsid w:val="00AE571A"/>
    <w:rsid w:val="00AF15BA"/>
    <w:rsid w:val="00AF1C32"/>
    <w:rsid w:val="00AF65C6"/>
    <w:rsid w:val="00AF6BA3"/>
    <w:rsid w:val="00B06496"/>
    <w:rsid w:val="00B06D95"/>
    <w:rsid w:val="00B11771"/>
    <w:rsid w:val="00B11AE3"/>
    <w:rsid w:val="00B121A6"/>
    <w:rsid w:val="00B239D2"/>
    <w:rsid w:val="00B300B8"/>
    <w:rsid w:val="00B32A28"/>
    <w:rsid w:val="00B33904"/>
    <w:rsid w:val="00B3751E"/>
    <w:rsid w:val="00B427FE"/>
    <w:rsid w:val="00B51737"/>
    <w:rsid w:val="00B6102A"/>
    <w:rsid w:val="00B614BC"/>
    <w:rsid w:val="00B6167A"/>
    <w:rsid w:val="00B62ED0"/>
    <w:rsid w:val="00B64196"/>
    <w:rsid w:val="00B66A7A"/>
    <w:rsid w:val="00B70266"/>
    <w:rsid w:val="00B74304"/>
    <w:rsid w:val="00B82F05"/>
    <w:rsid w:val="00B87142"/>
    <w:rsid w:val="00B8750E"/>
    <w:rsid w:val="00B9129A"/>
    <w:rsid w:val="00B92374"/>
    <w:rsid w:val="00B924C8"/>
    <w:rsid w:val="00B95E33"/>
    <w:rsid w:val="00B973B5"/>
    <w:rsid w:val="00B97FD1"/>
    <w:rsid w:val="00BA6367"/>
    <w:rsid w:val="00BB1062"/>
    <w:rsid w:val="00BB28EF"/>
    <w:rsid w:val="00BB3F02"/>
    <w:rsid w:val="00BB4E07"/>
    <w:rsid w:val="00BB5DEE"/>
    <w:rsid w:val="00BC002E"/>
    <w:rsid w:val="00BC393F"/>
    <w:rsid w:val="00BC75FC"/>
    <w:rsid w:val="00BD59BD"/>
    <w:rsid w:val="00BE5B3F"/>
    <w:rsid w:val="00BF351F"/>
    <w:rsid w:val="00BF3F50"/>
    <w:rsid w:val="00BF5E4B"/>
    <w:rsid w:val="00BF6F37"/>
    <w:rsid w:val="00C02924"/>
    <w:rsid w:val="00C04344"/>
    <w:rsid w:val="00C17FE4"/>
    <w:rsid w:val="00C21897"/>
    <w:rsid w:val="00C276EE"/>
    <w:rsid w:val="00C42A2B"/>
    <w:rsid w:val="00C43146"/>
    <w:rsid w:val="00C43757"/>
    <w:rsid w:val="00C43BCE"/>
    <w:rsid w:val="00C47CF1"/>
    <w:rsid w:val="00C52006"/>
    <w:rsid w:val="00C53AB4"/>
    <w:rsid w:val="00C542F1"/>
    <w:rsid w:val="00C572B3"/>
    <w:rsid w:val="00C57CA1"/>
    <w:rsid w:val="00C6300B"/>
    <w:rsid w:val="00C6426B"/>
    <w:rsid w:val="00C6478B"/>
    <w:rsid w:val="00C75AB1"/>
    <w:rsid w:val="00C87194"/>
    <w:rsid w:val="00C90629"/>
    <w:rsid w:val="00C90C51"/>
    <w:rsid w:val="00CA3ED6"/>
    <w:rsid w:val="00CA7CF4"/>
    <w:rsid w:val="00CB0F37"/>
    <w:rsid w:val="00CB1135"/>
    <w:rsid w:val="00CB590B"/>
    <w:rsid w:val="00CB79DE"/>
    <w:rsid w:val="00CC02C5"/>
    <w:rsid w:val="00CC2BC6"/>
    <w:rsid w:val="00CC3AAB"/>
    <w:rsid w:val="00CD324E"/>
    <w:rsid w:val="00CD343B"/>
    <w:rsid w:val="00CD4A28"/>
    <w:rsid w:val="00CD54BD"/>
    <w:rsid w:val="00CD68F2"/>
    <w:rsid w:val="00CD6C36"/>
    <w:rsid w:val="00CE2586"/>
    <w:rsid w:val="00CF05D7"/>
    <w:rsid w:val="00CF0EF2"/>
    <w:rsid w:val="00CF34A6"/>
    <w:rsid w:val="00CF3F93"/>
    <w:rsid w:val="00D0177E"/>
    <w:rsid w:val="00D020F3"/>
    <w:rsid w:val="00D04515"/>
    <w:rsid w:val="00D065AD"/>
    <w:rsid w:val="00D1580C"/>
    <w:rsid w:val="00D22831"/>
    <w:rsid w:val="00D404B7"/>
    <w:rsid w:val="00D44509"/>
    <w:rsid w:val="00D448CB"/>
    <w:rsid w:val="00D47226"/>
    <w:rsid w:val="00D47C9E"/>
    <w:rsid w:val="00D47ED5"/>
    <w:rsid w:val="00D5200E"/>
    <w:rsid w:val="00D61779"/>
    <w:rsid w:val="00D71E9F"/>
    <w:rsid w:val="00D73DB6"/>
    <w:rsid w:val="00D809E5"/>
    <w:rsid w:val="00D81948"/>
    <w:rsid w:val="00D90819"/>
    <w:rsid w:val="00D93291"/>
    <w:rsid w:val="00D9501F"/>
    <w:rsid w:val="00DA25C7"/>
    <w:rsid w:val="00DB1768"/>
    <w:rsid w:val="00DB50D5"/>
    <w:rsid w:val="00DC5537"/>
    <w:rsid w:val="00DD11EE"/>
    <w:rsid w:val="00DD52A0"/>
    <w:rsid w:val="00DE5590"/>
    <w:rsid w:val="00DE6364"/>
    <w:rsid w:val="00DF1D9E"/>
    <w:rsid w:val="00DF3DA3"/>
    <w:rsid w:val="00DF5DA4"/>
    <w:rsid w:val="00DF6D2F"/>
    <w:rsid w:val="00E06492"/>
    <w:rsid w:val="00E065CE"/>
    <w:rsid w:val="00E06A00"/>
    <w:rsid w:val="00E13E03"/>
    <w:rsid w:val="00E14776"/>
    <w:rsid w:val="00E204B6"/>
    <w:rsid w:val="00E21F6D"/>
    <w:rsid w:val="00E22B99"/>
    <w:rsid w:val="00E24A9D"/>
    <w:rsid w:val="00E258D9"/>
    <w:rsid w:val="00E27278"/>
    <w:rsid w:val="00E35B8C"/>
    <w:rsid w:val="00E439CA"/>
    <w:rsid w:val="00E46DDB"/>
    <w:rsid w:val="00E473F3"/>
    <w:rsid w:val="00E5219B"/>
    <w:rsid w:val="00E56905"/>
    <w:rsid w:val="00E64BE4"/>
    <w:rsid w:val="00E70425"/>
    <w:rsid w:val="00E80A41"/>
    <w:rsid w:val="00E852E3"/>
    <w:rsid w:val="00E85565"/>
    <w:rsid w:val="00E87F91"/>
    <w:rsid w:val="00E94BC6"/>
    <w:rsid w:val="00EA0563"/>
    <w:rsid w:val="00EA198F"/>
    <w:rsid w:val="00EA2EA1"/>
    <w:rsid w:val="00EA3CB9"/>
    <w:rsid w:val="00EA59EB"/>
    <w:rsid w:val="00EA67F3"/>
    <w:rsid w:val="00EB48F8"/>
    <w:rsid w:val="00EC2DF4"/>
    <w:rsid w:val="00EC524E"/>
    <w:rsid w:val="00ED0C60"/>
    <w:rsid w:val="00ED3D26"/>
    <w:rsid w:val="00ED5218"/>
    <w:rsid w:val="00EE17F1"/>
    <w:rsid w:val="00EE1D9D"/>
    <w:rsid w:val="00EF0BCB"/>
    <w:rsid w:val="00EF0E74"/>
    <w:rsid w:val="00EF2549"/>
    <w:rsid w:val="00F00E8A"/>
    <w:rsid w:val="00F16242"/>
    <w:rsid w:val="00F17FCB"/>
    <w:rsid w:val="00F226CC"/>
    <w:rsid w:val="00F2691E"/>
    <w:rsid w:val="00F279DD"/>
    <w:rsid w:val="00F3242E"/>
    <w:rsid w:val="00F33650"/>
    <w:rsid w:val="00F348F9"/>
    <w:rsid w:val="00F37E4B"/>
    <w:rsid w:val="00F4144E"/>
    <w:rsid w:val="00F41B00"/>
    <w:rsid w:val="00F473CB"/>
    <w:rsid w:val="00F50245"/>
    <w:rsid w:val="00F54ECF"/>
    <w:rsid w:val="00F63DDA"/>
    <w:rsid w:val="00F67029"/>
    <w:rsid w:val="00F70858"/>
    <w:rsid w:val="00F71BBC"/>
    <w:rsid w:val="00F7397F"/>
    <w:rsid w:val="00F75949"/>
    <w:rsid w:val="00F75CF4"/>
    <w:rsid w:val="00F821B0"/>
    <w:rsid w:val="00F866CD"/>
    <w:rsid w:val="00F86B78"/>
    <w:rsid w:val="00F9268E"/>
    <w:rsid w:val="00F941F0"/>
    <w:rsid w:val="00F97FF5"/>
    <w:rsid w:val="00FA76A7"/>
    <w:rsid w:val="00FA7CE6"/>
    <w:rsid w:val="00FB1313"/>
    <w:rsid w:val="00FC2238"/>
    <w:rsid w:val="00FC2459"/>
    <w:rsid w:val="00FC268E"/>
    <w:rsid w:val="00FC2BFD"/>
    <w:rsid w:val="00FC309D"/>
    <w:rsid w:val="00FC47E0"/>
    <w:rsid w:val="00FC5E68"/>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1724AD"/>
  <w15:docId w15:val="{6E16C422-1228-406B-84A6-4CD0BEBC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styleId="Emphasis">
    <w:name w:val="Emphasis"/>
    <w:basedOn w:val="DefaultParagraphFont"/>
    <w:uiPriority w:val="20"/>
    <w:qFormat/>
    <w:rsid w:val="00B614BC"/>
    <w:rPr>
      <w:i/>
      <w:iCs/>
    </w:rPr>
  </w:style>
  <w:style w:type="character" w:customStyle="1" w:styleId="UnresolvedMention20">
    <w:name w:val="Unresolved Mention2"/>
    <w:basedOn w:val="DefaultParagraphFont"/>
    <w:uiPriority w:val="99"/>
    <w:semiHidden/>
    <w:unhideWhenUsed/>
    <w:rsid w:val="00DB1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52156">
      <w:bodyDiv w:val="1"/>
      <w:marLeft w:val="0"/>
      <w:marRight w:val="0"/>
      <w:marTop w:val="0"/>
      <w:marBottom w:val="0"/>
      <w:divBdr>
        <w:top w:val="none" w:sz="0" w:space="0" w:color="auto"/>
        <w:left w:val="none" w:sz="0" w:space="0" w:color="auto"/>
        <w:bottom w:val="none" w:sz="0" w:space="0" w:color="auto"/>
        <w:right w:val="none" w:sz="0" w:space="0" w:color="auto"/>
      </w:divBdr>
    </w:div>
    <w:div w:id="259609073">
      <w:bodyDiv w:val="1"/>
      <w:marLeft w:val="0"/>
      <w:marRight w:val="0"/>
      <w:marTop w:val="0"/>
      <w:marBottom w:val="0"/>
      <w:divBdr>
        <w:top w:val="none" w:sz="0" w:space="0" w:color="auto"/>
        <w:left w:val="none" w:sz="0" w:space="0" w:color="auto"/>
        <w:bottom w:val="none" w:sz="0" w:space="0" w:color="auto"/>
        <w:right w:val="none" w:sz="0" w:space="0" w:color="auto"/>
      </w:divBdr>
    </w:div>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 w:id="210406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4E269-A6C4-47D3-8E54-36CF6CB2D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template_20190423.dotx</Template>
  <TotalTime>1</TotalTime>
  <Pages>2</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Proschan</dc:creator>
  <cp:lastModifiedBy>Joseph, George</cp:lastModifiedBy>
  <cp:revision>2</cp:revision>
  <dcterms:created xsi:type="dcterms:W3CDTF">2022-04-06T09:45:00Z</dcterms:created>
  <dcterms:modified xsi:type="dcterms:W3CDTF">2022-04-06T09:45:00Z</dcterms:modified>
</cp:coreProperties>
</file>