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6578"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3B40BC" w14:paraId="6CFC7CC5" w14:textId="77777777" w:rsidTr="00DB1768">
        <w:trPr>
          <w:cantSplit/>
        </w:trPr>
        <w:tc>
          <w:tcPr>
            <w:tcW w:w="786" w:type="pct"/>
            <w:shd w:val="clear" w:color="auto" w:fill="auto"/>
          </w:tcPr>
          <w:p w14:paraId="19817BA5"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1771349F" w14:textId="77777777" w:rsidR="005473CF" w:rsidRPr="003B40BC" w:rsidRDefault="00B614BC" w:rsidP="004A66C9">
            <w:pPr>
              <w:keepLines/>
              <w:spacing w:before="120"/>
              <w:ind w:left="567" w:hanging="567"/>
              <w:rPr>
                <w:rFonts w:ascii="Arial" w:hAnsi="Arial" w:cs="Arial"/>
                <w:b/>
                <w:szCs w:val="22"/>
                <w:lang w:val="fr-FR"/>
              </w:rPr>
            </w:pPr>
            <w:r>
              <w:rPr>
                <w:rFonts w:ascii="Arial" w:hAnsi="Arial" w:cs="Arial"/>
                <w:b/>
                <w:bCs/>
                <w:szCs w:val="22"/>
                <w:lang w:val="es"/>
              </w:rPr>
              <w:t>6.</w:t>
            </w:r>
            <w:r>
              <w:rPr>
                <w:rFonts w:ascii="Arial" w:hAnsi="Arial" w:cs="Arial"/>
                <w:b/>
                <w:bCs/>
                <w:szCs w:val="22"/>
                <w:lang w:val="es"/>
              </w:rPr>
              <w:tab/>
              <w:t>Grado en el que la educación superior apoya la práctica y la transmisión del PCI y el estudio de sus dimensiones sociales, culturales y de otra índole</w:t>
            </w:r>
          </w:p>
        </w:tc>
      </w:tr>
      <w:tr w:rsidR="005B0FE5" w:rsidRPr="003B40BC" w14:paraId="6DEB4B3D" w14:textId="77777777" w:rsidTr="00DB1768">
        <w:trPr>
          <w:cantSplit/>
        </w:trPr>
        <w:tc>
          <w:tcPr>
            <w:tcW w:w="786" w:type="pct"/>
            <w:vMerge w:val="restart"/>
            <w:shd w:val="clear" w:color="auto" w:fill="auto"/>
          </w:tcPr>
          <w:p w14:paraId="2D4B7692"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4310932F" w14:textId="77777777" w:rsidR="005B0FE5" w:rsidRPr="003B40BC"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dos factores de ámbito nacional que cada Estado Parte supervisa y notifica:</w:t>
            </w:r>
          </w:p>
        </w:tc>
      </w:tr>
      <w:tr w:rsidR="00B614BC" w:rsidRPr="00F866CD" w14:paraId="26C2FD7B" w14:textId="77777777" w:rsidTr="00DB1768">
        <w:trPr>
          <w:cantSplit/>
        </w:trPr>
        <w:tc>
          <w:tcPr>
            <w:tcW w:w="786" w:type="pct"/>
            <w:vMerge/>
            <w:shd w:val="clear" w:color="auto" w:fill="auto"/>
          </w:tcPr>
          <w:p w14:paraId="76B242D7" w14:textId="77777777" w:rsidR="00B614BC" w:rsidRPr="003B40BC" w:rsidRDefault="00B614BC" w:rsidP="00B614BC">
            <w:pPr>
              <w:spacing w:before="120"/>
              <w:rPr>
                <w:rFonts w:ascii="Arial" w:hAnsi="Arial" w:cs="Arial"/>
                <w:b/>
                <w:szCs w:val="22"/>
                <w:lang w:val="fr-FR"/>
              </w:rPr>
            </w:pPr>
          </w:p>
        </w:tc>
        <w:tc>
          <w:tcPr>
            <w:tcW w:w="3418" w:type="pct"/>
            <w:shd w:val="clear" w:color="auto" w:fill="auto"/>
            <w:vAlign w:val="center"/>
          </w:tcPr>
          <w:p w14:paraId="39A3E178" w14:textId="29D7AEF7" w:rsidR="00B614BC" w:rsidRPr="003B40BC" w:rsidRDefault="00B614BC" w:rsidP="0059273E">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 xml:space="preserve">Las instituciones de educación superior ofrecen programas académicos y licenciaturas —en ámbitos como la música, el arte, la artesanía, así como </w:t>
            </w:r>
            <w:r>
              <w:rPr>
                <w:rStyle w:val="Emphasis"/>
                <w:rFonts w:ascii="Arial" w:hAnsi="Arial" w:cs="Arial"/>
                <w:i w:val="0"/>
                <w:iCs w:val="0"/>
                <w:sz w:val="20"/>
                <w:szCs w:val="20"/>
                <w:shd w:val="clear" w:color="auto" w:fill="FFFFFF"/>
                <w:lang w:val="es"/>
              </w:rPr>
              <w:t>formación y educación técnica y profesional</w:t>
            </w:r>
            <w:r>
              <w:rPr>
                <w:rFonts w:ascii="Arial" w:hAnsi="Arial" w:cs="Arial"/>
                <w:sz w:val="20"/>
                <w:szCs w:val="20"/>
                <w:lang w:val="es"/>
              </w:rPr>
              <w:t>, etc.— que refuerzan la práctica y transmisión del PCI.</w:t>
            </w:r>
          </w:p>
        </w:tc>
        <w:tc>
          <w:tcPr>
            <w:tcW w:w="796" w:type="pct"/>
            <w:shd w:val="clear" w:color="auto" w:fill="auto"/>
            <w:vAlign w:val="center"/>
          </w:tcPr>
          <w:p w14:paraId="5F0D92BB" w14:textId="77777777" w:rsidR="00B614BC" w:rsidRPr="0059273E" w:rsidRDefault="000742D3" w:rsidP="00B614BC">
            <w:pPr>
              <w:keepLines/>
              <w:spacing w:before="120"/>
              <w:rPr>
                <w:rFonts w:ascii="Arial" w:hAnsi="Arial" w:cs="Arial"/>
                <w:sz w:val="20"/>
                <w:szCs w:val="20"/>
              </w:rPr>
            </w:pPr>
            <w:r>
              <w:rPr>
                <w:rFonts w:ascii="Arial" w:hAnsi="Arial" w:cs="Arial"/>
                <w:sz w:val="20"/>
                <w:szCs w:val="20"/>
                <w:lang w:val="es"/>
              </w:rPr>
              <w:t>Artículo 14</w:t>
            </w:r>
          </w:p>
        </w:tc>
      </w:tr>
      <w:tr w:rsidR="00B614BC" w:rsidRPr="00F866CD" w14:paraId="2C811565" w14:textId="77777777" w:rsidTr="00DB1768">
        <w:trPr>
          <w:cantSplit/>
        </w:trPr>
        <w:tc>
          <w:tcPr>
            <w:tcW w:w="786" w:type="pct"/>
            <w:vMerge/>
            <w:shd w:val="clear" w:color="auto" w:fill="auto"/>
          </w:tcPr>
          <w:p w14:paraId="21832097" w14:textId="77777777" w:rsidR="00B614BC" w:rsidRPr="00F866CD" w:rsidRDefault="00B614BC" w:rsidP="00B614BC">
            <w:pPr>
              <w:spacing w:before="120"/>
              <w:rPr>
                <w:rFonts w:ascii="Arial" w:hAnsi="Arial" w:cs="Arial"/>
                <w:b/>
                <w:szCs w:val="22"/>
              </w:rPr>
            </w:pPr>
          </w:p>
        </w:tc>
        <w:tc>
          <w:tcPr>
            <w:tcW w:w="3418" w:type="pct"/>
            <w:shd w:val="clear" w:color="auto" w:fill="auto"/>
            <w:vAlign w:val="center"/>
          </w:tcPr>
          <w:p w14:paraId="3E861094" w14:textId="77777777" w:rsidR="00B614BC" w:rsidRPr="003B40BC" w:rsidRDefault="00B614BC" w:rsidP="0059273E">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Las instituciones de educación superior ofrecen programas académicos y licenciaturas para estudiar el PCI, así como sus dimensiones sociales, culturales y de otra índole.</w:t>
            </w:r>
          </w:p>
        </w:tc>
        <w:tc>
          <w:tcPr>
            <w:tcW w:w="796" w:type="pct"/>
            <w:shd w:val="clear" w:color="auto" w:fill="auto"/>
            <w:vAlign w:val="center"/>
          </w:tcPr>
          <w:p w14:paraId="3836E1CC" w14:textId="77777777" w:rsidR="00B614BC" w:rsidRPr="0059273E" w:rsidRDefault="000742D3" w:rsidP="00B614BC">
            <w:pPr>
              <w:spacing w:before="60" w:after="60"/>
              <w:rPr>
                <w:rFonts w:ascii="Arial" w:hAnsi="Arial" w:cs="Arial"/>
                <w:sz w:val="20"/>
                <w:szCs w:val="20"/>
              </w:rPr>
            </w:pPr>
            <w:r>
              <w:rPr>
                <w:rFonts w:ascii="Arial" w:hAnsi="Arial" w:cs="Arial"/>
                <w:sz w:val="20"/>
                <w:szCs w:val="20"/>
                <w:lang w:val="es"/>
              </w:rPr>
              <w:t>Artículo 14</w:t>
            </w:r>
          </w:p>
        </w:tc>
      </w:tr>
      <w:tr w:rsidR="005473CF" w:rsidRPr="00F866CD" w14:paraId="0B24EEC8" w14:textId="77777777" w:rsidTr="00DB1768">
        <w:trPr>
          <w:cantSplit/>
        </w:trPr>
        <w:tc>
          <w:tcPr>
            <w:tcW w:w="786" w:type="pct"/>
            <w:shd w:val="clear" w:color="auto" w:fill="auto"/>
          </w:tcPr>
          <w:p w14:paraId="6F1E85B3" w14:textId="77777777" w:rsidR="005473CF" w:rsidRPr="003B40BC"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00FC2535" w14:textId="2452E0F4" w:rsidR="005473CF" w:rsidRPr="003B40BC" w:rsidRDefault="005473CF" w:rsidP="00AF6BA3">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 xml:space="preserve">Este indicador contribuye a la meta 11.4 de los ODS, destinada a «redoblar los esfuerzos para proteger y salvaguardar el patrimonio cultural y natural del mundo», haciendo hincapié en la práctica y la transmisión del PCI. Además, complementa la meta 4.7 de los ODS, en particular, en lo que se refiere al estudio de las dimensiones sociales, culturales y de otro tipo del PCI que pueden promover «la valoración de la diversidad cultural y la contribución de la cultura al desarrollo sostenible». Las contribuciones a otros objetivos, como el ODS 8 sobre el empleo productivo y el trabajo decente para todos, en particular la meta 8.9 de los ODS, también son pertinentes para este indicador. </w:t>
            </w:r>
          </w:p>
          <w:p w14:paraId="642C1B6C" w14:textId="77777777" w:rsidR="005473CF" w:rsidRPr="005E3229" w:rsidRDefault="005473CF" w:rsidP="00946D71">
            <w:pPr>
              <w:keepLines/>
              <w:spacing w:before="120"/>
              <w:jc w:val="both"/>
              <w:rPr>
                <w:rFonts w:ascii="Arial" w:hAnsi="Arial" w:cs="Arial"/>
                <w:bCs/>
                <w:szCs w:val="22"/>
              </w:rPr>
            </w:pPr>
            <w:r>
              <w:rPr>
                <w:rFonts w:ascii="Arial" w:hAnsi="Arial" w:cs="Arial"/>
                <w:b/>
                <w:bCs/>
                <w:szCs w:val="22"/>
                <w:lang w:val="es"/>
              </w:rPr>
              <w:t>Relación con otros indicadores:</w:t>
            </w:r>
            <w:r>
              <w:rPr>
                <w:rFonts w:ascii="Arial" w:hAnsi="Arial" w:cs="Arial"/>
                <w:szCs w:val="22"/>
                <w:lang w:val="es"/>
              </w:rPr>
              <w:t xml:space="preserve"> Este indicador se centra en la educación superior como espacio de transmisión de las competencias y los conocimientos sobre el PCI y su enseñanza en la sociedad. Al igual que el indicador 4, se refiere a la práctica y la transmisión, aunque en este caso la educación superior es el contexto específico. De manera similar, complementa el enfoque del indicador 5 sobre educación primaria y secundaria, al centrarse este en la educación superior. Los programas sobre el estudio del PCI en la sociedad (factor de evaluación 6.2) se combinan a menudo con aquellos destinados a fortalecer las competencias en materia de salvaguardia y gestión del PCI (factor de evaluación 2.1). Las políticas educativas y las medidas jurídicas y administrativas están incluidas en el indicador 12. </w:t>
            </w:r>
          </w:p>
        </w:tc>
      </w:tr>
      <w:tr w:rsidR="00896177" w:rsidRPr="003B40BC" w14:paraId="21C582AF" w14:textId="77777777" w:rsidTr="00DB1768">
        <w:trPr>
          <w:cantSplit/>
        </w:trPr>
        <w:tc>
          <w:tcPr>
            <w:tcW w:w="786" w:type="pct"/>
            <w:shd w:val="clear" w:color="auto" w:fill="auto"/>
          </w:tcPr>
          <w:p w14:paraId="22E926DB"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65845BE0" w14:textId="4A67A90D" w:rsidR="00704766" w:rsidRPr="003B40BC" w:rsidRDefault="00A2509E" w:rsidP="00E852E3">
            <w:pPr>
              <w:keepLines/>
              <w:spacing w:before="120"/>
              <w:jc w:val="both"/>
              <w:rPr>
                <w:rFonts w:asciiTheme="minorBidi" w:hAnsiTheme="minorBidi" w:cstheme="minorBidi"/>
                <w:szCs w:val="22"/>
                <w:lang w:val="fr-FR"/>
              </w:rPr>
            </w:pPr>
            <w:r>
              <w:rPr>
                <w:rFonts w:asciiTheme="minorBidi" w:hAnsiTheme="minorBidi" w:cstheme="minorBidi"/>
                <w:szCs w:val="22"/>
                <w:lang w:val="es"/>
              </w:rPr>
              <w:t>El Artículo 14 de la Convención no se limita a los jóvenes que participan en la educación primaria y secundaria, sino que también incluye la educación superior. En algunos países, los conocimientos y competencias utilizados en la práctica del PCI se integran en los programas académicos de las escuelas de arte, los conservatorios de música y danza, y de instituciones superiores similares. Además, las escuelas y centros de educación técnica y profesional, ya sean de nivel secundario o superior, suelen impartir una valiosa formación en diversos ámbitos y campos del PCI (como la artesanía, las artes escénicas, etc.). En muchos países, los programas de educación superior incluyen el estudio del PCI en disciplinas como la antropología, la historia, la sociología, los estudios culturales y folklóricos, y en otros campos relacionados. Estos últimos suelen relacionarse con el estudio de la salvaguardia y la gestión del PCI.</w:t>
            </w:r>
          </w:p>
        </w:tc>
      </w:tr>
      <w:tr w:rsidR="00704766" w:rsidRPr="00F866CD" w14:paraId="68BDEB40" w14:textId="77777777" w:rsidTr="00DB1768">
        <w:trPr>
          <w:cantSplit/>
        </w:trPr>
        <w:tc>
          <w:tcPr>
            <w:tcW w:w="786" w:type="pct"/>
            <w:shd w:val="clear" w:color="auto" w:fill="auto"/>
          </w:tcPr>
          <w:p w14:paraId="1E18474D"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Términos clave</w:t>
            </w:r>
          </w:p>
        </w:tc>
        <w:tc>
          <w:tcPr>
            <w:tcW w:w="4214" w:type="pct"/>
            <w:gridSpan w:val="2"/>
            <w:shd w:val="clear" w:color="auto" w:fill="auto"/>
          </w:tcPr>
          <w:p w14:paraId="2474065A" w14:textId="77777777" w:rsidR="00704766" w:rsidRDefault="0088751D"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formal</w:t>
            </w:r>
          </w:p>
          <w:p w14:paraId="12247913" w14:textId="77777777" w:rsidR="00B9129A" w:rsidRDefault="00B9129A"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Formación</w:t>
            </w:r>
          </w:p>
          <w:p w14:paraId="1C45813B" w14:textId="77777777" w:rsidR="00277432" w:rsidRDefault="00277432"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superior</w:t>
            </w:r>
          </w:p>
          <w:p w14:paraId="317B782C" w14:textId="77777777" w:rsidR="00277432" w:rsidRPr="00F866CD" w:rsidRDefault="00277432"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y formación técnica y profesional</w:t>
            </w:r>
          </w:p>
        </w:tc>
      </w:tr>
    </w:tbl>
    <w:p w14:paraId="58F6EA17"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137F4727" w14:textId="77777777" w:rsidR="0054175C" w:rsidRPr="003B40BC" w:rsidRDefault="0054175C" w:rsidP="00AE571A">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3B40BC" w14:paraId="41F15F84" w14:textId="77777777" w:rsidTr="003B40BC">
        <w:trPr>
          <w:cantSplit/>
        </w:trPr>
        <w:tc>
          <w:tcPr>
            <w:tcW w:w="767" w:type="pct"/>
            <w:shd w:val="clear" w:color="auto" w:fill="auto"/>
          </w:tcPr>
          <w:p w14:paraId="14D971FF"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74F6FA68" w14:textId="3A8A5261" w:rsidR="002C28BA" w:rsidRPr="003B40BC" w:rsidRDefault="00A43A86" w:rsidP="000C18AE">
            <w:pPr>
              <w:keepLines/>
              <w:spacing w:before="120"/>
              <w:jc w:val="both"/>
              <w:rPr>
                <w:rFonts w:ascii="Arial" w:hAnsi="Arial" w:cs="Arial"/>
                <w:bCs/>
                <w:szCs w:val="22"/>
                <w:lang w:val="fr-FR"/>
              </w:rPr>
            </w:pPr>
            <w:r>
              <w:rPr>
                <w:rFonts w:ascii="Arial" w:hAnsi="Arial" w:cs="Arial"/>
                <w:szCs w:val="22"/>
                <w:lang w:val="es"/>
              </w:rPr>
              <w:t>El seguimiento a nivel nacional de la disponibilidad y utilización de los programas de educación superior relativos al PCI puede ayudar a un Estado a evaluar en qué medida está aprovechando la educación superior como recurso para fortalecer la práctica y la transmisión del PCI. Además, puede ayudar a evaluar el grado en que la educación superior profundiza en el conocimiento del propio PCI y de sus dimensiones sociales, culturales y de otra índole. El seguimiento puede identificar las oportunidades para fortalecer dicha educación, al implicar a una amplia variedad de instituciones educativas e integrar por completo el PCI en la formación artística, técnica y profesional. El seguimiento a nivel mundial puede identificar las buenas prácticas que ya se utilizan en algunos países, al mismo tiempo que señalar el modo en que la cooperación internacional en la investigación, el desarrollo de programas y los métodos pedagógicos pueden fortalecer las capacidades en cada Estado.</w:t>
            </w:r>
          </w:p>
        </w:tc>
      </w:tr>
      <w:tr w:rsidR="0054175C" w:rsidRPr="003B40BC" w14:paraId="16597458" w14:textId="77777777" w:rsidTr="003B40BC">
        <w:tc>
          <w:tcPr>
            <w:tcW w:w="767" w:type="pct"/>
            <w:shd w:val="clear" w:color="auto" w:fill="auto"/>
          </w:tcPr>
          <w:p w14:paraId="63EA2EFB" w14:textId="77777777" w:rsidR="0054175C" w:rsidRPr="003B40BC"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2A193FD5" w14:textId="26C03A1B" w:rsidR="0054175C" w:rsidRPr="003B40BC" w:rsidRDefault="004A544E" w:rsidP="00AF6BA3">
            <w:pPr>
              <w:spacing w:before="120"/>
              <w:jc w:val="both"/>
              <w:rPr>
                <w:rFonts w:ascii="Arial" w:hAnsi="Arial" w:cs="Arial"/>
                <w:szCs w:val="22"/>
                <w:lang w:val="fr-FR"/>
              </w:rPr>
            </w:pPr>
            <w:r>
              <w:rPr>
                <w:rFonts w:ascii="Arial" w:hAnsi="Arial" w:cs="Arial"/>
                <w:szCs w:val="22"/>
                <w:lang w:val="es"/>
              </w:rPr>
              <w:t>Los Ministerios de Educación y de Educación Superior suelen mantener estadísticas y otros datos sobre las instituciones de educación superior. En algunos casos, dicho ministerio debe autorizar los programas de licenciatura, y este probablemente tendrá información disponible sobre las licenciaturas que se ofrecen en las distintas disciplinas e instituciones. Cuando no existe un sistema de este tipo, es posible que los responsables del seguimiento y de la presentación de informes tengan que encuestar a las instituciones educativas y los centros de formación, o bien buscar información en sus sitios web para averiguar si ofrecen programas de estudio y licenciaturas pertinentes.</w:t>
            </w:r>
          </w:p>
          <w:p w14:paraId="25B29065"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4E5A2724" w14:textId="77777777" w:rsidR="0054175C" w:rsidRDefault="00E14776" w:rsidP="00BE5B3F">
            <w:pPr>
              <w:pStyle w:val="ListParagraph"/>
              <w:numPr>
                <w:ilvl w:val="0"/>
                <w:numId w:val="73"/>
              </w:numPr>
              <w:spacing w:before="120"/>
              <w:jc w:val="both"/>
              <w:rPr>
                <w:rFonts w:ascii="Arial" w:hAnsi="Arial" w:cs="Arial"/>
              </w:rPr>
            </w:pPr>
            <w:r>
              <w:rPr>
                <w:rFonts w:ascii="Arial" w:hAnsi="Arial" w:cs="Arial"/>
                <w:lang w:val="es"/>
              </w:rPr>
              <w:t>Informes y datos del Ministerio de Educación o de Educación Superior sobre las licenciaturas autorizadas en diversas instituciones de educación superior</w:t>
            </w:r>
          </w:p>
          <w:p w14:paraId="739C6F9C" w14:textId="77777777" w:rsidR="00E14776" w:rsidRPr="003B40BC" w:rsidRDefault="00E14776" w:rsidP="00BE5B3F">
            <w:pPr>
              <w:pStyle w:val="ListParagraph"/>
              <w:numPr>
                <w:ilvl w:val="0"/>
                <w:numId w:val="73"/>
              </w:numPr>
              <w:spacing w:before="120"/>
              <w:jc w:val="both"/>
              <w:rPr>
                <w:rFonts w:ascii="Arial" w:hAnsi="Arial" w:cs="Arial"/>
                <w:lang w:val="fr-FR"/>
              </w:rPr>
            </w:pPr>
            <w:r>
              <w:rPr>
                <w:rFonts w:ascii="Arial" w:hAnsi="Arial" w:cs="Arial"/>
                <w:lang w:val="es"/>
              </w:rPr>
              <w:t>Sitios web de instituciones de educación superior en los que se enumeran las licenciaturas y programas académicos</w:t>
            </w:r>
          </w:p>
          <w:p w14:paraId="5372A437" w14:textId="77777777" w:rsidR="00E14776" w:rsidRPr="003B40BC" w:rsidRDefault="00E14776" w:rsidP="00BE5B3F">
            <w:pPr>
              <w:pStyle w:val="ListParagraph"/>
              <w:numPr>
                <w:ilvl w:val="0"/>
                <w:numId w:val="73"/>
              </w:numPr>
              <w:spacing w:before="120"/>
              <w:jc w:val="both"/>
              <w:rPr>
                <w:rFonts w:ascii="Arial" w:hAnsi="Arial" w:cs="Arial"/>
                <w:lang w:val="fr-FR"/>
              </w:rPr>
            </w:pPr>
            <w:r>
              <w:rPr>
                <w:rFonts w:ascii="Arial" w:hAnsi="Arial" w:cs="Arial"/>
                <w:lang w:val="es"/>
              </w:rPr>
              <w:t>Asociaciones profesionales y directorios en las disciplinas pertinentes</w:t>
            </w:r>
          </w:p>
          <w:p w14:paraId="7012A539" w14:textId="77777777" w:rsidR="00E14776" w:rsidRPr="003B40BC" w:rsidRDefault="00D0177E" w:rsidP="00BE5B3F">
            <w:pPr>
              <w:pStyle w:val="ListParagraph"/>
              <w:numPr>
                <w:ilvl w:val="0"/>
                <w:numId w:val="73"/>
              </w:numPr>
              <w:spacing w:before="120"/>
              <w:jc w:val="both"/>
              <w:rPr>
                <w:rFonts w:ascii="Arial" w:hAnsi="Arial" w:cs="Arial"/>
                <w:lang w:val="fr-FR"/>
              </w:rPr>
            </w:pPr>
            <w:r>
              <w:rPr>
                <w:rFonts w:ascii="Arial" w:hAnsi="Arial" w:cs="Arial"/>
                <w:lang w:val="es"/>
              </w:rPr>
              <w:t>Redes profesionales en los campos artísticos y científicos pertinentes</w:t>
            </w:r>
          </w:p>
        </w:tc>
      </w:tr>
    </w:tbl>
    <w:p w14:paraId="1300EAAD"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7E4C" w14:textId="77777777" w:rsidR="0075042C" w:rsidRDefault="0075042C" w:rsidP="002938F2">
      <w:r>
        <w:separator/>
      </w:r>
    </w:p>
    <w:p w14:paraId="1F36D0CD" w14:textId="77777777" w:rsidR="0075042C" w:rsidRDefault="0075042C"/>
  </w:endnote>
  <w:endnote w:type="continuationSeparator" w:id="0">
    <w:p w14:paraId="156F8B15" w14:textId="77777777" w:rsidR="0075042C" w:rsidRDefault="0075042C" w:rsidP="002938F2">
      <w:r>
        <w:continuationSeparator/>
      </w:r>
    </w:p>
    <w:p w14:paraId="73375BC6" w14:textId="77777777" w:rsidR="0075042C" w:rsidRDefault="0075042C"/>
  </w:endnote>
  <w:endnote w:type="continuationNotice" w:id="1">
    <w:p w14:paraId="06F3EDCB" w14:textId="77777777" w:rsidR="0075042C" w:rsidRDefault="00750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C2FA" w14:textId="58561351" w:rsidR="00C04344" w:rsidRPr="000A0709" w:rsidRDefault="00CB79DE"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D55A" w14:textId="77777777" w:rsidR="0075042C" w:rsidRDefault="0075042C" w:rsidP="002938F2">
      <w:r>
        <w:separator/>
      </w:r>
    </w:p>
  </w:footnote>
  <w:footnote w:type="continuationSeparator" w:id="0">
    <w:p w14:paraId="1E46F9BF" w14:textId="77777777" w:rsidR="0075042C" w:rsidRDefault="0075042C" w:rsidP="002938F2">
      <w:r>
        <w:continuationSeparator/>
      </w:r>
    </w:p>
    <w:p w14:paraId="23E7D6ED" w14:textId="77777777" w:rsidR="0075042C" w:rsidRDefault="0075042C"/>
  </w:footnote>
  <w:footnote w:type="continuationNotice" w:id="1">
    <w:p w14:paraId="298AC66B" w14:textId="77777777" w:rsidR="0075042C" w:rsidRDefault="007504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E526" w14:textId="77777777" w:rsidR="00DB1768" w:rsidRDefault="00DB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5F4729"/>
    <w:multiLevelType w:val="multilevel"/>
    <w:tmpl w:val="5A4C7B3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239D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0A1B"/>
    <w:rsid w:val="0007203D"/>
    <w:rsid w:val="000729D2"/>
    <w:rsid w:val="00073D20"/>
    <w:rsid w:val="000742D3"/>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18AE"/>
    <w:rsid w:val="000C65E4"/>
    <w:rsid w:val="000C7EE0"/>
    <w:rsid w:val="000D1EBC"/>
    <w:rsid w:val="000D260B"/>
    <w:rsid w:val="000D345F"/>
    <w:rsid w:val="000D7375"/>
    <w:rsid w:val="000E2EE7"/>
    <w:rsid w:val="000F25BA"/>
    <w:rsid w:val="000F2B3F"/>
    <w:rsid w:val="000F7E6F"/>
    <w:rsid w:val="001061BA"/>
    <w:rsid w:val="00106B72"/>
    <w:rsid w:val="00106D19"/>
    <w:rsid w:val="0011334A"/>
    <w:rsid w:val="00115830"/>
    <w:rsid w:val="00116489"/>
    <w:rsid w:val="0011750D"/>
    <w:rsid w:val="00121B41"/>
    <w:rsid w:val="001301DF"/>
    <w:rsid w:val="0013565B"/>
    <w:rsid w:val="001412DE"/>
    <w:rsid w:val="00142D78"/>
    <w:rsid w:val="00144A4D"/>
    <w:rsid w:val="001450D2"/>
    <w:rsid w:val="00151351"/>
    <w:rsid w:val="001559E7"/>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7432"/>
    <w:rsid w:val="00282A9D"/>
    <w:rsid w:val="00286C0C"/>
    <w:rsid w:val="00287687"/>
    <w:rsid w:val="00290D5F"/>
    <w:rsid w:val="002938F2"/>
    <w:rsid w:val="00293CCC"/>
    <w:rsid w:val="002A195D"/>
    <w:rsid w:val="002B139C"/>
    <w:rsid w:val="002B43D6"/>
    <w:rsid w:val="002B6B98"/>
    <w:rsid w:val="002C28BA"/>
    <w:rsid w:val="002C3B8F"/>
    <w:rsid w:val="002C444C"/>
    <w:rsid w:val="002C5021"/>
    <w:rsid w:val="002C5280"/>
    <w:rsid w:val="002C5C29"/>
    <w:rsid w:val="002C77C8"/>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40BC"/>
    <w:rsid w:val="003B504D"/>
    <w:rsid w:val="003C7065"/>
    <w:rsid w:val="003D2E0D"/>
    <w:rsid w:val="003D5113"/>
    <w:rsid w:val="003D5BFC"/>
    <w:rsid w:val="003D6E10"/>
    <w:rsid w:val="003E0C0F"/>
    <w:rsid w:val="003E0E28"/>
    <w:rsid w:val="003E19D5"/>
    <w:rsid w:val="003E76A8"/>
    <w:rsid w:val="003F5B90"/>
    <w:rsid w:val="00403632"/>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544E"/>
    <w:rsid w:val="004A610E"/>
    <w:rsid w:val="004A66C9"/>
    <w:rsid w:val="004C20E2"/>
    <w:rsid w:val="004C7FE6"/>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1DA1"/>
    <w:rsid w:val="00582F4C"/>
    <w:rsid w:val="0058407A"/>
    <w:rsid w:val="0059273E"/>
    <w:rsid w:val="00594539"/>
    <w:rsid w:val="005A1BCE"/>
    <w:rsid w:val="005A4388"/>
    <w:rsid w:val="005A65BD"/>
    <w:rsid w:val="005A7D00"/>
    <w:rsid w:val="005B0FE5"/>
    <w:rsid w:val="005B357C"/>
    <w:rsid w:val="005B4A0B"/>
    <w:rsid w:val="005B53C6"/>
    <w:rsid w:val="005C0015"/>
    <w:rsid w:val="005C0052"/>
    <w:rsid w:val="005C05F4"/>
    <w:rsid w:val="005C0660"/>
    <w:rsid w:val="005C44A6"/>
    <w:rsid w:val="005C7D6A"/>
    <w:rsid w:val="005D2DDA"/>
    <w:rsid w:val="005E3229"/>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322"/>
    <w:rsid w:val="006F3E83"/>
    <w:rsid w:val="006F4B83"/>
    <w:rsid w:val="006F7F47"/>
    <w:rsid w:val="00701458"/>
    <w:rsid w:val="00701D7E"/>
    <w:rsid w:val="00704766"/>
    <w:rsid w:val="007119B8"/>
    <w:rsid w:val="0071586D"/>
    <w:rsid w:val="0072415E"/>
    <w:rsid w:val="007247D7"/>
    <w:rsid w:val="007250E3"/>
    <w:rsid w:val="007277C8"/>
    <w:rsid w:val="00732057"/>
    <w:rsid w:val="0073489D"/>
    <w:rsid w:val="007368A2"/>
    <w:rsid w:val="007418AE"/>
    <w:rsid w:val="00742981"/>
    <w:rsid w:val="00742DD1"/>
    <w:rsid w:val="0074360F"/>
    <w:rsid w:val="00746204"/>
    <w:rsid w:val="00747715"/>
    <w:rsid w:val="00747F86"/>
    <w:rsid w:val="00750138"/>
    <w:rsid w:val="0075042C"/>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073EA"/>
    <w:rsid w:val="008147BA"/>
    <w:rsid w:val="008269B0"/>
    <w:rsid w:val="0083067E"/>
    <w:rsid w:val="00832357"/>
    <w:rsid w:val="0083488D"/>
    <w:rsid w:val="008466C3"/>
    <w:rsid w:val="00846809"/>
    <w:rsid w:val="00851458"/>
    <w:rsid w:val="00861A47"/>
    <w:rsid w:val="008707FF"/>
    <w:rsid w:val="00871099"/>
    <w:rsid w:val="008724E5"/>
    <w:rsid w:val="00877AC5"/>
    <w:rsid w:val="00877F27"/>
    <w:rsid w:val="0088173A"/>
    <w:rsid w:val="00881EB9"/>
    <w:rsid w:val="008848E9"/>
    <w:rsid w:val="00884C09"/>
    <w:rsid w:val="00885596"/>
    <w:rsid w:val="00885B33"/>
    <w:rsid w:val="00886B71"/>
    <w:rsid w:val="0088751D"/>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14DC"/>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2509E"/>
    <w:rsid w:val="00A43A86"/>
    <w:rsid w:val="00A462C6"/>
    <w:rsid w:val="00A477D9"/>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B5E29"/>
    <w:rsid w:val="00AD6BD4"/>
    <w:rsid w:val="00AE1B18"/>
    <w:rsid w:val="00AE1D83"/>
    <w:rsid w:val="00AE2DFB"/>
    <w:rsid w:val="00AE3061"/>
    <w:rsid w:val="00AE571A"/>
    <w:rsid w:val="00AF15BA"/>
    <w:rsid w:val="00AF1C32"/>
    <w:rsid w:val="00AF65C6"/>
    <w:rsid w:val="00AF6BA3"/>
    <w:rsid w:val="00B06D95"/>
    <w:rsid w:val="00B11AE3"/>
    <w:rsid w:val="00B121A6"/>
    <w:rsid w:val="00B239D2"/>
    <w:rsid w:val="00B300B8"/>
    <w:rsid w:val="00B32A28"/>
    <w:rsid w:val="00B33904"/>
    <w:rsid w:val="00B3751E"/>
    <w:rsid w:val="00B427FE"/>
    <w:rsid w:val="00B51737"/>
    <w:rsid w:val="00B6102A"/>
    <w:rsid w:val="00B614BC"/>
    <w:rsid w:val="00B6167A"/>
    <w:rsid w:val="00B62ED0"/>
    <w:rsid w:val="00B64196"/>
    <w:rsid w:val="00B66A7A"/>
    <w:rsid w:val="00B70266"/>
    <w:rsid w:val="00B74304"/>
    <w:rsid w:val="00B82F05"/>
    <w:rsid w:val="00B87142"/>
    <w:rsid w:val="00B8750E"/>
    <w:rsid w:val="00B9129A"/>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B79DE"/>
    <w:rsid w:val="00CC02C5"/>
    <w:rsid w:val="00CC2BC6"/>
    <w:rsid w:val="00CC3AAB"/>
    <w:rsid w:val="00CD324E"/>
    <w:rsid w:val="00CD4A28"/>
    <w:rsid w:val="00CD54BD"/>
    <w:rsid w:val="00CD68F2"/>
    <w:rsid w:val="00CD6C36"/>
    <w:rsid w:val="00CE2586"/>
    <w:rsid w:val="00CF05D7"/>
    <w:rsid w:val="00CF34A6"/>
    <w:rsid w:val="00CF3F93"/>
    <w:rsid w:val="00D0177E"/>
    <w:rsid w:val="00D020F3"/>
    <w:rsid w:val="00D04515"/>
    <w:rsid w:val="00D065AD"/>
    <w:rsid w:val="00D22831"/>
    <w:rsid w:val="00D404B7"/>
    <w:rsid w:val="00D44509"/>
    <w:rsid w:val="00D448CB"/>
    <w:rsid w:val="00D47226"/>
    <w:rsid w:val="00D47ED5"/>
    <w:rsid w:val="00D61779"/>
    <w:rsid w:val="00D71E9F"/>
    <w:rsid w:val="00D73DB6"/>
    <w:rsid w:val="00D809E5"/>
    <w:rsid w:val="00D81948"/>
    <w:rsid w:val="00D90819"/>
    <w:rsid w:val="00D93291"/>
    <w:rsid w:val="00D9501F"/>
    <w:rsid w:val="00DB1768"/>
    <w:rsid w:val="00DB50D5"/>
    <w:rsid w:val="00DC5537"/>
    <w:rsid w:val="00DD11EE"/>
    <w:rsid w:val="00DD52A0"/>
    <w:rsid w:val="00DE5590"/>
    <w:rsid w:val="00DE6364"/>
    <w:rsid w:val="00DF1D9E"/>
    <w:rsid w:val="00DF3DA3"/>
    <w:rsid w:val="00DF5DA4"/>
    <w:rsid w:val="00E06492"/>
    <w:rsid w:val="00E065CE"/>
    <w:rsid w:val="00E06A00"/>
    <w:rsid w:val="00E13E03"/>
    <w:rsid w:val="00E14776"/>
    <w:rsid w:val="00E21F6D"/>
    <w:rsid w:val="00E22B99"/>
    <w:rsid w:val="00E24A9D"/>
    <w:rsid w:val="00E258D9"/>
    <w:rsid w:val="00E35B8C"/>
    <w:rsid w:val="00E439CA"/>
    <w:rsid w:val="00E46DDB"/>
    <w:rsid w:val="00E473F3"/>
    <w:rsid w:val="00E5219B"/>
    <w:rsid w:val="00E56905"/>
    <w:rsid w:val="00E64BE4"/>
    <w:rsid w:val="00E70425"/>
    <w:rsid w:val="00E852E3"/>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86B78"/>
    <w:rsid w:val="00F941F0"/>
    <w:rsid w:val="00F97FF5"/>
    <w:rsid w:val="00FA76A7"/>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724AD"/>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styleId="Emphasis">
    <w:name w:val="Emphasis"/>
    <w:basedOn w:val="DefaultParagraphFont"/>
    <w:uiPriority w:val="20"/>
    <w:qFormat/>
    <w:rsid w:val="00B614BC"/>
    <w:rPr>
      <w:i/>
      <w:iCs/>
    </w:rPr>
  </w:style>
  <w:style w:type="character" w:customStyle="1" w:styleId="UnresolvedMention20">
    <w:name w:val="Unresolved Mention2"/>
    <w:basedOn w:val="DefaultParagraphFont"/>
    <w:uiPriority w:val="99"/>
    <w:semiHidden/>
    <w:unhideWhenUsed/>
    <w:rsid w:val="00DB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132D-0F36-40C7-AE7A-09EA02B2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6</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2019-07-19T20:59:00Z</dcterms:created>
  <dcterms:modified xsi:type="dcterms:W3CDTF">2019-12-06T17:15:00Z</dcterms:modified>
</cp:coreProperties>
</file>