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0EC5"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fr"/>
        </w:rPr>
        <w:t>Aperçu et justification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6483"/>
        <w:gridCol w:w="1434"/>
      </w:tblGrid>
      <w:tr w:rsidR="005473CF" w:rsidRPr="009744BA" w14:paraId="0D7AE682" w14:textId="77777777" w:rsidTr="00BE5B3F">
        <w:trPr>
          <w:cantSplit/>
        </w:trPr>
        <w:tc>
          <w:tcPr>
            <w:tcW w:w="786" w:type="pct"/>
            <w:shd w:val="clear" w:color="auto" w:fill="auto"/>
          </w:tcPr>
          <w:p w14:paraId="03A8618E" w14:textId="77777777" w:rsidR="005473CF" w:rsidRPr="00F866CD" w:rsidRDefault="005B0FE5" w:rsidP="00DA2ECC">
            <w:pPr>
              <w:spacing w:before="120"/>
              <w:rPr>
                <w:rFonts w:ascii="Arial" w:hAnsi="Arial" w:cs="Arial"/>
                <w:b/>
                <w:szCs w:val="22"/>
              </w:rPr>
            </w:pPr>
            <w:r>
              <w:rPr>
                <w:rFonts w:ascii="Arial" w:hAnsi="Arial" w:cs="Arial"/>
                <w:b/>
                <w:bCs/>
                <w:szCs w:val="22"/>
                <w:lang w:val="fr"/>
              </w:rPr>
              <w:t>Indicateur</w:t>
            </w:r>
          </w:p>
        </w:tc>
        <w:tc>
          <w:tcPr>
            <w:tcW w:w="4214" w:type="pct"/>
            <w:gridSpan w:val="2"/>
            <w:shd w:val="clear" w:color="auto" w:fill="auto"/>
          </w:tcPr>
          <w:p w14:paraId="6DB32AB9" w14:textId="77777777" w:rsidR="005473CF" w:rsidRPr="00E75FE4" w:rsidRDefault="007233CB" w:rsidP="00253ED0">
            <w:pPr>
              <w:keepLines/>
              <w:spacing w:before="120"/>
              <w:ind w:left="567" w:hanging="567"/>
              <w:rPr>
                <w:rFonts w:ascii="Arial" w:hAnsi="Arial" w:cs="Arial"/>
                <w:b/>
                <w:szCs w:val="22"/>
                <w:lang w:val="fr-FR"/>
              </w:rPr>
            </w:pPr>
            <w:r>
              <w:rPr>
                <w:rFonts w:ascii="Arial" w:hAnsi="Arial" w:cs="Arial"/>
                <w:b/>
                <w:bCs/>
                <w:szCs w:val="22"/>
                <w:lang w:val="fr"/>
              </w:rPr>
              <w:t>7.</w:t>
            </w:r>
            <w:r>
              <w:rPr>
                <w:rFonts w:ascii="Arial" w:hAnsi="Arial" w:cs="Arial"/>
                <w:b/>
                <w:bCs/>
                <w:szCs w:val="22"/>
                <w:lang w:val="fr"/>
              </w:rPr>
              <w:tab/>
              <w:t>Mesure dans laquelle les inventaires reflètent la diversité du PCI et contribuent à sa sauvegarde</w:t>
            </w:r>
          </w:p>
        </w:tc>
      </w:tr>
      <w:tr w:rsidR="005B0FE5" w:rsidRPr="009744BA" w14:paraId="395DC414" w14:textId="77777777" w:rsidTr="00BE5B3F">
        <w:trPr>
          <w:cantSplit/>
        </w:trPr>
        <w:tc>
          <w:tcPr>
            <w:tcW w:w="786" w:type="pct"/>
            <w:vMerge w:val="restart"/>
            <w:shd w:val="clear" w:color="auto" w:fill="auto"/>
          </w:tcPr>
          <w:p w14:paraId="3EE9C0E6" w14:textId="43584C3D" w:rsidR="005B0FE5" w:rsidRPr="00F866CD" w:rsidRDefault="005B0FE5" w:rsidP="00DA2ECC">
            <w:pPr>
              <w:spacing w:before="120"/>
              <w:rPr>
                <w:rFonts w:ascii="Arial" w:hAnsi="Arial" w:cs="Arial"/>
                <w:b/>
                <w:szCs w:val="22"/>
              </w:rPr>
            </w:pPr>
            <w:r>
              <w:rPr>
                <w:rFonts w:ascii="Arial" w:hAnsi="Arial" w:cs="Arial"/>
                <w:b/>
                <w:bCs/>
                <w:szCs w:val="22"/>
                <w:lang w:val="fr"/>
              </w:rPr>
              <w:t>Facteurs d'</w:t>
            </w:r>
            <w:r w:rsidR="001D22B7" w:rsidRPr="001D22B7">
              <w:rPr>
                <w:rFonts w:ascii="Arial" w:hAnsi="Arial" w:cs="Arial"/>
                <w:b/>
                <w:bCs/>
                <w:szCs w:val="22"/>
                <w:lang w:val="fr"/>
              </w:rPr>
              <w:t>appréciation</w:t>
            </w:r>
          </w:p>
        </w:tc>
        <w:tc>
          <w:tcPr>
            <w:tcW w:w="4214" w:type="pct"/>
            <w:gridSpan w:val="2"/>
            <w:shd w:val="clear" w:color="auto" w:fill="auto"/>
          </w:tcPr>
          <w:p w14:paraId="289A0FD2" w14:textId="77777777" w:rsidR="005B0FE5" w:rsidRPr="00E75FE4" w:rsidRDefault="005B0FE5" w:rsidP="00946D71">
            <w:pPr>
              <w:keepLines/>
              <w:spacing w:before="120"/>
              <w:jc w:val="both"/>
              <w:rPr>
                <w:rFonts w:ascii="Arial" w:hAnsi="Arial" w:cs="Arial"/>
                <w:b/>
                <w:szCs w:val="22"/>
                <w:lang w:val="fr-FR"/>
              </w:rPr>
            </w:pPr>
            <w:r>
              <w:rPr>
                <w:rFonts w:ascii="Arial" w:hAnsi="Arial" w:cs="Arial"/>
                <w:szCs w:val="22"/>
                <w:lang w:val="fr"/>
              </w:rPr>
              <w:t>Cet indicateur est évalué sur la base de quatre facteurs nationaux suivis et rapportés par chaque État partie :</w:t>
            </w:r>
          </w:p>
        </w:tc>
      </w:tr>
      <w:tr w:rsidR="00993AE4" w:rsidRPr="00F866CD" w14:paraId="64F3ACA6" w14:textId="77777777" w:rsidTr="00BE5B3F">
        <w:trPr>
          <w:cantSplit/>
        </w:trPr>
        <w:tc>
          <w:tcPr>
            <w:tcW w:w="786" w:type="pct"/>
            <w:vMerge/>
            <w:shd w:val="clear" w:color="auto" w:fill="auto"/>
          </w:tcPr>
          <w:p w14:paraId="5D381678" w14:textId="77777777" w:rsidR="00993AE4" w:rsidRPr="00E75FE4" w:rsidRDefault="00993AE4" w:rsidP="00993AE4">
            <w:pPr>
              <w:spacing w:before="120"/>
              <w:rPr>
                <w:rFonts w:ascii="Arial" w:hAnsi="Arial" w:cs="Arial"/>
                <w:b/>
                <w:szCs w:val="22"/>
                <w:lang w:val="fr-FR"/>
              </w:rPr>
            </w:pPr>
          </w:p>
        </w:tc>
        <w:tc>
          <w:tcPr>
            <w:tcW w:w="3418" w:type="pct"/>
            <w:shd w:val="clear" w:color="auto" w:fill="auto"/>
            <w:vAlign w:val="center"/>
          </w:tcPr>
          <w:p w14:paraId="121EBEE1" w14:textId="75149C79" w:rsidR="00993AE4" w:rsidRPr="00E75FE4" w:rsidRDefault="00993AE4" w:rsidP="001F15C0">
            <w:pPr>
              <w:pStyle w:val="Paragraphedeliste"/>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fr"/>
              </w:rPr>
              <w:t>Un ou plusieurs systèmes d’inventaire orientés vers la sauvegarde et reflétant la diversité du PCI ont été établis ou révisés depuis la ratification.</w:t>
            </w:r>
          </w:p>
        </w:tc>
        <w:tc>
          <w:tcPr>
            <w:tcW w:w="796" w:type="pct"/>
            <w:shd w:val="clear" w:color="auto" w:fill="auto"/>
            <w:vAlign w:val="center"/>
          </w:tcPr>
          <w:p w14:paraId="408D6E11" w14:textId="77777777" w:rsidR="00993AE4" w:rsidRPr="00A8072E" w:rsidRDefault="00993AE4" w:rsidP="00993AE4">
            <w:pPr>
              <w:spacing w:before="60" w:after="60"/>
              <w:rPr>
                <w:rFonts w:ascii="Arial" w:hAnsi="Arial" w:cs="Arial"/>
                <w:sz w:val="20"/>
                <w:szCs w:val="20"/>
              </w:rPr>
            </w:pPr>
            <w:r>
              <w:rPr>
                <w:rFonts w:ascii="Arial" w:hAnsi="Arial" w:cs="Arial"/>
                <w:sz w:val="20"/>
                <w:szCs w:val="20"/>
                <w:lang w:val="fr"/>
              </w:rPr>
              <w:t>Articles 11 et 12</w:t>
            </w:r>
          </w:p>
          <w:p w14:paraId="0CC46216" w14:textId="77777777" w:rsidR="00993AE4" w:rsidRPr="0074360F" w:rsidRDefault="00993AE4" w:rsidP="00993AE4">
            <w:pPr>
              <w:keepLines/>
              <w:spacing w:before="120"/>
              <w:rPr>
                <w:rFonts w:ascii="Arial" w:hAnsi="Arial" w:cs="Arial"/>
                <w:sz w:val="20"/>
                <w:szCs w:val="20"/>
              </w:rPr>
            </w:pPr>
            <w:r>
              <w:rPr>
                <w:rFonts w:ascii="Arial" w:hAnsi="Arial" w:cs="Arial"/>
                <w:sz w:val="20"/>
                <w:szCs w:val="20"/>
                <w:lang w:val="fr"/>
              </w:rPr>
              <w:t>DO 1, DO 2</w:t>
            </w:r>
          </w:p>
        </w:tc>
      </w:tr>
      <w:tr w:rsidR="00993AE4" w:rsidRPr="00F866CD" w14:paraId="59CE2000" w14:textId="77777777" w:rsidTr="00BE5B3F">
        <w:trPr>
          <w:cantSplit/>
        </w:trPr>
        <w:tc>
          <w:tcPr>
            <w:tcW w:w="786" w:type="pct"/>
            <w:vMerge/>
            <w:shd w:val="clear" w:color="auto" w:fill="auto"/>
          </w:tcPr>
          <w:p w14:paraId="73334128"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1057881B" w14:textId="2D71985A" w:rsidR="00D737F2" w:rsidRPr="00E75FE4" w:rsidRDefault="00993AE4" w:rsidP="001F15C0">
            <w:pPr>
              <w:pStyle w:val="Paragraphedeliste"/>
              <w:keepLines/>
              <w:numPr>
                <w:ilvl w:val="1"/>
                <w:numId w:val="75"/>
              </w:numPr>
              <w:spacing w:before="120" w:after="120" w:line="240" w:lineRule="auto"/>
              <w:ind w:left="583" w:hanging="567"/>
              <w:contextualSpacing w:val="0"/>
              <w:rPr>
                <w:lang w:val="fr-FR"/>
              </w:rPr>
            </w:pPr>
            <w:r>
              <w:rPr>
                <w:rFonts w:ascii="Arial" w:hAnsi="Arial"/>
                <w:sz w:val="20"/>
                <w:szCs w:val="20"/>
                <w:lang w:val="fr"/>
              </w:rPr>
              <w:t xml:space="preserve">Des inventaires spécialisés et/ou de différentes </w:t>
            </w:r>
            <w:r w:rsidR="00471CB8">
              <w:rPr>
                <w:rFonts w:ascii="Arial" w:hAnsi="Arial"/>
                <w:sz w:val="20"/>
                <w:szCs w:val="20"/>
                <w:lang w:val="fr"/>
              </w:rPr>
              <w:t>portées</w:t>
            </w:r>
            <w:r>
              <w:rPr>
                <w:rFonts w:ascii="Arial" w:hAnsi="Arial"/>
                <w:sz w:val="20"/>
                <w:szCs w:val="20"/>
                <w:lang w:val="fr"/>
              </w:rPr>
              <w:t xml:space="preserve"> reflètent la diversité et contribuent à la sauvegarde.</w:t>
            </w:r>
            <w:r>
              <w:rPr>
                <w:lang w:val="fr"/>
              </w:rPr>
              <w:t xml:space="preserve"> </w:t>
            </w:r>
          </w:p>
        </w:tc>
        <w:tc>
          <w:tcPr>
            <w:tcW w:w="796" w:type="pct"/>
            <w:shd w:val="clear" w:color="auto" w:fill="auto"/>
            <w:vAlign w:val="center"/>
          </w:tcPr>
          <w:p w14:paraId="090D2EEE" w14:textId="77777777" w:rsidR="00993AE4" w:rsidRPr="0074360F" w:rsidRDefault="0020322C" w:rsidP="00993AE4">
            <w:pPr>
              <w:spacing w:before="60" w:after="60"/>
              <w:rPr>
                <w:rFonts w:ascii="Arial" w:hAnsi="Arial" w:cs="Arial"/>
                <w:sz w:val="20"/>
                <w:szCs w:val="20"/>
              </w:rPr>
            </w:pPr>
            <w:r>
              <w:rPr>
                <w:rFonts w:ascii="Arial" w:hAnsi="Arial" w:cs="Arial"/>
                <w:sz w:val="20"/>
                <w:szCs w:val="20"/>
                <w:lang w:val="fr"/>
              </w:rPr>
              <w:t>Article 12</w:t>
            </w:r>
          </w:p>
        </w:tc>
      </w:tr>
      <w:tr w:rsidR="00993AE4" w:rsidRPr="00F866CD" w14:paraId="5D38BE21" w14:textId="77777777" w:rsidTr="00BE5B3F">
        <w:trPr>
          <w:cantSplit/>
        </w:trPr>
        <w:tc>
          <w:tcPr>
            <w:tcW w:w="786" w:type="pct"/>
            <w:vMerge/>
            <w:shd w:val="clear" w:color="auto" w:fill="auto"/>
          </w:tcPr>
          <w:p w14:paraId="53AE7B09"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67B2FCB5" w14:textId="77777777" w:rsidR="00D737F2" w:rsidRPr="00E75FE4" w:rsidRDefault="00993AE4" w:rsidP="001F15C0">
            <w:pPr>
              <w:pStyle w:val="Paragraphedeliste"/>
              <w:keepLines/>
              <w:numPr>
                <w:ilvl w:val="1"/>
                <w:numId w:val="75"/>
              </w:numPr>
              <w:spacing w:before="120" w:after="120" w:line="240" w:lineRule="auto"/>
              <w:ind w:left="583" w:hanging="567"/>
              <w:contextualSpacing w:val="0"/>
              <w:rPr>
                <w:lang w:val="fr-FR"/>
              </w:rPr>
            </w:pPr>
            <w:r>
              <w:rPr>
                <w:rFonts w:ascii="Arial" w:hAnsi="Arial"/>
                <w:sz w:val="20"/>
                <w:szCs w:val="20"/>
                <w:lang w:val="fr"/>
              </w:rPr>
              <w:t>Le ou les inventaires existants ont été mis à jour au cours de la période considérée, notamment pour tenir compte de la viabilité actuelle des éléments inclus.</w:t>
            </w:r>
            <w:r>
              <w:rPr>
                <w:lang w:val="fr"/>
              </w:rPr>
              <w:t xml:space="preserve"> </w:t>
            </w:r>
          </w:p>
        </w:tc>
        <w:tc>
          <w:tcPr>
            <w:tcW w:w="796" w:type="pct"/>
            <w:shd w:val="clear" w:color="auto" w:fill="auto"/>
            <w:vAlign w:val="center"/>
          </w:tcPr>
          <w:p w14:paraId="58958FEF" w14:textId="77777777" w:rsidR="00993AE4" w:rsidRPr="00A8072E" w:rsidRDefault="00993AE4" w:rsidP="00993AE4">
            <w:pPr>
              <w:spacing w:before="60" w:after="60"/>
              <w:rPr>
                <w:rFonts w:ascii="Arial" w:hAnsi="Arial" w:cs="Arial"/>
                <w:sz w:val="20"/>
                <w:szCs w:val="20"/>
              </w:rPr>
            </w:pPr>
            <w:r>
              <w:rPr>
                <w:rFonts w:ascii="Arial" w:hAnsi="Arial" w:cs="Arial"/>
                <w:sz w:val="20"/>
                <w:szCs w:val="20"/>
                <w:lang w:val="fr"/>
              </w:rPr>
              <w:t>Article 12</w:t>
            </w:r>
          </w:p>
          <w:p w14:paraId="7CBF980A" w14:textId="77777777" w:rsidR="00993AE4" w:rsidRPr="0074360F" w:rsidRDefault="00993AE4" w:rsidP="00993AE4">
            <w:pPr>
              <w:keepLines/>
              <w:spacing w:before="120"/>
              <w:rPr>
                <w:rFonts w:ascii="Arial" w:hAnsi="Arial" w:cs="Arial"/>
                <w:sz w:val="20"/>
                <w:szCs w:val="20"/>
              </w:rPr>
            </w:pPr>
            <w:r>
              <w:rPr>
                <w:rFonts w:ascii="Arial" w:hAnsi="Arial" w:cs="Arial"/>
                <w:sz w:val="20"/>
                <w:szCs w:val="20"/>
                <w:lang w:val="fr"/>
              </w:rPr>
              <w:t>DO 1, DO 2</w:t>
            </w:r>
          </w:p>
        </w:tc>
      </w:tr>
      <w:tr w:rsidR="00993AE4" w:rsidRPr="00F866CD" w14:paraId="6384F980" w14:textId="77777777" w:rsidTr="00BE5B3F">
        <w:trPr>
          <w:cantSplit/>
        </w:trPr>
        <w:tc>
          <w:tcPr>
            <w:tcW w:w="786" w:type="pct"/>
            <w:vMerge/>
            <w:shd w:val="clear" w:color="auto" w:fill="auto"/>
          </w:tcPr>
          <w:p w14:paraId="64E2D3A0" w14:textId="77777777" w:rsidR="00993AE4" w:rsidRPr="00F866CD" w:rsidRDefault="00993AE4" w:rsidP="00993AE4">
            <w:pPr>
              <w:spacing w:before="120"/>
              <w:rPr>
                <w:rFonts w:ascii="Arial" w:hAnsi="Arial" w:cs="Arial"/>
                <w:b/>
                <w:szCs w:val="22"/>
              </w:rPr>
            </w:pPr>
          </w:p>
        </w:tc>
        <w:tc>
          <w:tcPr>
            <w:tcW w:w="3418" w:type="pct"/>
            <w:shd w:val="clear" w:color="auto" w:fill="auto"/>
            <w:vAlign w:val="center"/>
          </w:tcPr>
          <w:p w14:paraId="6CDD8095" w14:textId="77777777" w:rsidR="00D737F2" w:rsidRPr="00E75FE4" w:rsidRDefault="00993AE4" w:rsidP="001F15C0">
            <w:pPr>
              <w:pStyle w:val="Paragraphedeliste"/>
              <w:keepLines/>
              <w:numPr>
                <w:ilvl w:val="1"/>
                <w:numId w:val="75"/>
              </w:numPr>
              <w:spacing w:before="120" w:after="120" w:line="240" w:lineRule="auto"/>
              <w:ind w:left="583" w:hanging="567"/>
              <w:contextualSpacing w:val="0"/>
              <w:rPr>
                <w:lang w:val="fr-FR"/>
              </w:rPr>
            </w:pPr>
            <w:r>
              <w:rPr>
                <w:rFonts w:ascii="Arial" w:hAnsi="Arial"/>
                <w:sz w:val="20"/>
                <w:szCs w:val="20"/>
                <w:lang w:val="fr"/>
              </w:rPr>
              <w:t xml:space="preserve">L’accès aux inventaires du PCI est facilité, dans le respect des pratiques coutumières qui régissent l’accès à des aspects spécifiques de ce patrimoine, et ils sont utilisés pour renforcer la </w:t>
            </w:r>
            <w:r>
              <w:rPr>
                <w:lang w:val="fr"/>
              </w:rPr>
              <w:t>sauvegarde</w:t>
            </w:r>
            <w:r>
              <w:rPr>
                <w:rFonts w:ascii="Arial" w:hAnsi="Arial"/>
                <w:sz w:val="20"/>
                <w:szCs w:val="20"/>
                <w:lang w:val="fr"/>
              </w:rPr>
              <w:t>.</w:t>
            </w:r>
            <w:r>
              <w:rPr>
                <w:lang w:val="fr"/>
              </w:rPr>
              <w:t xml:space="preserve"> </w:t>
            </w:r>
          </w:p>
        </w:tc>
        <w:tc>
          <w:tcPr>
            <w:tcW w:w="796" w:type="pct"/>
            <w:shd w:val="clear" w:color="auto" w:fill="auto"/>
            <w:vAlign w:val="center"/>
          </w:tcPr>
          <w:p w14:paraId="089ABDB5" w14:textId="77777777" w:rsidR="00993AE4" w:rsidRPr="00A8072E" w:rsidRDefault="00993AE4" w:rsidP="00993AE4">
            <w:pPr>
              <w:spacing w:before="60" w:after="60"/>
              <w:rPr>
                <w:rFonts w:ascii="Arial" w:hAnsi="Arial" w:cs="Arial"/>
                <w:sz w:val="20"/>
                <w:szCs w:val="20"/>
              </w:rPr>
            </w:pPr>
            <w:r>
              <w:rPr>
                <w:rFonts w:ascii="Arial" w:hAnsi="Arial" w:cs="Arial"/>
                <w:sz w:val="20"/>
                <w:szCs w:val="20"/>
                <w:lang w:val="fr"/>
              </w:rPr>
              <w:t>Article 13(d)(ii)</w:t>
            </w:r>
          </w:p>
          <w:p w14:paraId="336C79AF" w14:textId="77777777" w:rsidR="00993AE4" w:rsidRPr="0074360F" w:rsidRDefault="00993AE4" w:rsidP="00993AE4">
            <w:pPr>
              <w:keepLines/>
              <w:spacing w:before="120"/>
              <w:rPr>
                <w:rFonts w:ascii="Arial" w:hAnsi="Arial" w:cs="Arial"/>
                <w:sz w:val="20"/>
                <w:szCs w:val="20"/>
              </w:rPr>
            </w:pPr>
            <w:r>
              <w:rPr>
                <w:rFonts w:ascii="Arial" w:hAnsi="Arial" w:cs="Arial"/>
                <w:sz w:val="20"/>
                <w:szCs w:val="20"/>
                <w:lang w:val="fr"/>
              </w:rPr>
              <w:t>DO 85</w:t>
            </w:r>
          </w:p>
        </w:tc>
      </w:tr>
      <w:tr w:rsidR="005473CF" w:rsidRPr="009744BA" w14:paraId="7191288C" w14:textId="77777777" w:rsidTr="00BE5B3F">
        <w:trPr>
          <w:cantSplit/>
        </w:trPr>
        <w:tc>
          <w:tcPr>
            <w:tcW w:w="786" w:type="pct"/>
            <w:shd w:val="clear" w:color="auto" w:fill="auto"/>
          </w:tcPr>
          <w:p w14:paraId="7F6495E9" w14:textId="77777777" w:rsidR="005473CF" w:rsidRPr="00E75FE4" w:rsidRDefault="005473CF" w:rsidP="005473CF">
            <w:pPr>
              <w:spacing w:before="120"/>
              <w:rPr>
                <w:rFonts w:ascii="Arial" w:hAnsi="Arial" w:cs="Arial"/>
                <w:b/>
                <w:szCs w:val="22"/>
                <w:lang w:val="fr-FR"/>
              </w:rPr>
            </w:pPr>
            <w:r>
              <w:rPr>
                <w:rFonts w:ascii="Arial" w:hAnsi="Arial" w:cs="Arial"/>
                <w:b/>
                <w:bCs/>
                <w:szCs w:val="22"/>
                <w:lang w:val="fr"/>
              </w:rPr>
              <w:t>Relation avec les ODD et autres indicateurs</w:t>
            </w:r>
          </w:p>
        </w:tc>
        <w:tc>
          <w:tcPr>
            <w:tcW w:w="4214" w:type="pct"/>
            <w:gridSpan w:val="2"/>
            <w:shd w:val="clear" w:color="auto" w:fill="auto"/>
          </w:tcPr>
          <w:p w14:paraId="50D819DC" w14:textId="4EAB5D47" w:rsidR="005473CF" w:rsidRPr="00E75FE4" w:rsidRDefault="005473CF" w:rsidP="005473CF">
            <w:pPr>
              <w:keepLines/>
              <w:spacing w:before="120"/>
              <w:jc w:val="both"/>
              <w:rPr>
                <w:rFonts w:ascii="Arial" w:hAnsi="Arial" w:cs="Arial"/>
                <w:szCs w:val="22"/>
                <w:lang w:val="fr-FR"/>
              </w:rPr>
            </w:pPr>
            <w:r>
              <w:rPr>
                <w:rFonts w:ascii="Arial" w:hAnsi="Arial" w:cs="Arial"/>
                <w:b/>
                <w:bCs/>
                <w:szCs w:val="22"/>
                <w:lang w:val="fr"/>
              </w:rPr>
              <w:t>Objectifs de développement durable :</w:t>
            </w:r>
            <w:r>
              <w:rPr>
                <w:rFonts w:ascii="Arial" w:hAnsi="Arial" w:cs="Arial"/>
                <w:szCs w:val="22"/>
                <w:lang w:val="fr"/>
              </w:rPr>
              <w:t xml:space="preserve"> Dans son souci d'accès du public aux inventaires du PCI, le présent indicateur soutient l</w:t>
            </w:r>
            <w:r w:rsidR="00FD4E20">
              <w:rPr>
                <w:rFonts w:ascii="Arial" w:hAnsi="Arial" w:cs="Arial"/>
                <w:szCs w:val="22"/>
                <w:lang w:val="fr"/>
              </w:rPr>
              <w:t>a cible</w:t>
            </w:r>
            <w:r>
              <w:rPr>
                <w:rFonts w:ascii="Arial" w:hAnsi="Arial" w:cs="Arial"/>
                <w:szCs w:val="22"/>
                <w:lang w:val="fr"/>
              </w:rPr>
              <w:t xml:space="preserve"> 16.10 des ODD : « assurer l'accès du public à l'information et protéger les libertés fondamentales, conformément à la législation nationale et aux accords internationaux. ». Comme les autres indicateurs, il soutient également l</w:t>
            </w:r>
            <w:r w:rsidR="00FD4E20">
              <w:rPr>
                <w:rFonts w:ascii="Arial" w:hAnsi="Arial" w:cs="Arial"/>
                <w:szCs w:val="22"/>
                <w:lang w:val="fr"/>
              </w:rPr>
              <w:t>a cible</w:t>
            </w:r>
            <w:r>
              <w:rPr>
                <w:rFonts w:ascii="Arial" w:hAnsi="Arial" w:cs="Arial"/>
                <w:szCs w:val="22"/>
                <w:lang w:val="fr"/>
              </w:rPr>
              <w:t xml:space="preserve"> 11.4 des ODD, « renforcer les efforts pour protéger et sauvegarder le patrimoine culturel et naturel mondial. ».</w:t>
            </w:r>
          </w:p>
          <w:p w14:paraId="0D64DD79" w14:textId="1D396674" w:rsidR="00D737F2" w:rsidRPr="00E75FE4" w:rsidRDefault="005473CF" w:rsidP="00383E59">
            <w:pPr>
              <w:keepLines/>
              <w:spacing w:before="120"/>
              <w:jc w:val="both"/>
              <w:rPr>
                <w:rFonts w:ascii="Arial" w:hAnsi="Arial" w:cs="Arial"/>
                <w:szCs w:val="22"/>
                <w:lang w:val="fr-FR"/>
              </w:rPr>
            </w:pPr>
            <w:r>
              <w:rPr>
                <w:rFonts w:ascii="Arial" w:hAnsi="Arial" w:cs="Arial"/>
                <w:b/>
                <w:bCs/>
                <w:szCs w:val="22"/>
                <w:lang w:val="fr"/>
              </w:rPr>
              <w:t>Relation avec d'autres indicateurs :</w:t>
            </w:r>
            <w:r>
              <w:rPr>
                <w:rFonts w:ascii="Arial" w:hAnsi="Arial" w:cs="Arial"/>
                <w:szCs w:val="22"/>
                <w:lang w:val="fr"/>
              </w:rPr>
              <w:t xml:space="preserve"> Les indicateurs 7 et 8 concernent l'inventaire, tandis que les indicateurs 9 et 10 portent sur la recherche et la documentation, et ils interagissent tous tant donné que l'inventaire comporte généralement une dimension de recherche et donne lieu à une ou plusieurs formes de documentation. Ici, l'accent est mis sur les produits de l'inventaire, les inventaires eux-mêmes et la façon dont ils sont utilisés pour contribuer à la sauvegarde. L'indicateur 8 est axé sur le processus d'inventaire et son caractère inclusif. L'indicateur 9 élargit la portée pour inclure d'autres formes de recherche qui peuvent avoir lieu en dehors de l'inventaire, tandis que l'indicateur 10 complète le </w:t>
            </w:r>
            <w:r w:rsidR="00925D41">
              <w:rPr>
                <w:rFonts w:ascii="Arial" w:hAnsi="Arial" w:cs="Arial"/>
                <w:szCs w:val="22"/>
                <w:lang w:val="fr"/>
              </w:rPr>
              <w:t>f</w:t>
            </w:r>
            <w:r>
              <w:rPr>
                <w:rFonts w:ascii="Arial" w:hAnsi="Arial" w:cs="Arial"/>
                <w:szCs w:val="22"/>
                <w:lang w:val="fr"/>
              </w:rPr>
              <w:t>acteur d'</w:t>
            </w:r>
            <w:r w:rsidR="00685855" w:rsidRPr="00685855">
              <w:rPr>
                <w:rFonts w:ascii="Arial" w:hAnsi="Arial" w:cs="Arial"/>
                <w:szCs w:val="22"/>
                <w:lang w:val="fr"/>
              </w:rPr>
              <w:t>appréciation</w:t>
            </w:r>
            <w:r>
              <w:rPr>
                <w:rFonts w:ascii="Arial" w:hAnsi="Arial" w:cs="Arial"/>
                <w:szCs w:val="22"/>
                <w:lang w:val="fr"/>
              </w:rPr>
              <w:t xml:space="preserve"> 7.4 dans son attention à l'accessibilité des résultats de recherche autres que les inventaires. </w:t>
            </w:r>
          </w:p>
        </w:tc>
      </w:tr>
      <w:tr w:rsidR="00896177" w:rsidRPr="009744BA" w14:paraId="7487B702" w14:textId="77777777" w:rsidTr="00BE5B3F">
        <w:trPr>
          <w:cantSplit/>
        </w:trPr>
        <w:tc>
          <w:tcPr>
            <w:tcW w:w="786" w:type="pct"/>
            <w:shd w:val="clear" w:color="auto" w:fill="auto"/>
          </w:tcPr>
          <w:p w14:paraId="68CD6889" w14:textId="77777777" w:rsidR="00896177" w:rsidRPr="00F866CD" w:rsidRDefault="002C28BA" w:rsidP="00A7283F">
            <w:pPr>
              <w:spacing w:before="120"/>
              <w:rPr>
                <w:rFonts w:ascii="Arial" w:hAnsi="Arial" w:cs="Arial"/>
                <w:b/>
                <w:szCs w:val="22"/>
              </w:rPr>
            </w:pPr>
            <w:r>
              <w:rPr>
                <w:rFonts w:ascii="Arial" w:hAnsi="Arial" w:cs="Arial"/>
                <w:b/>
                <w:bCs/>
                <w:szCs w:val="22"/>
                <w:lang w:val="fr"/>
              </w:rPr>
              <w:t>Justification de l'action</w:t>
            </w:r>
          </w:p>
        </w:tc>
        <w:tc>
          <w:tcPr>
            <w:tcW w:w="4214" w:type="pct"/>
            <w:gridSpan w:val="2"/>
            <w:shd w:val="clear" w:color="auto" w:fill="auto"/>
          </w:tcPr>
          <w:p w14:paraId="2B303C58" w14:textId="77777777" w:rsidR="00D737F2" w:rsidRPr="00E75FE4" w:rsidRDefault="001A4FE8" w:rsidP="00D737F2">
            <w:pPr>
              <w:keepLines/>
              <w:spacing w:before="120"/>
              <w:jc w:val="both"/>
              <w:rPr>
                <w:rFonts w:asciiTheme="minorBidi" w:hAnsiTheme="minorBidi" w:cstheme="minorBidi"/>
                <w:szCs w:val="22"/>
                <w:lang w:val="fr-FR"/>
              </w:rPr>
            </w:pPr>
            <w:r>
              <w:rPr>
                <w:rFonts w:asciiTheme="minorBidi" w:hAnsiTheme="minorBidi" w:cstheme="minorBidi"/>
                <w:szCs w:val="22"/>
                <w:lang w:val="fr"/>
              </w:rPr>
              <w:t xml:space="preserve">L'inventaire est au premier rang des obligations de chaque État partie, qui sont énoncées à l'Article 11(b), selon lequel un État partie « identifie et définit les différents éléments du patrimoine culturel immatériel présents sur son territoire, avec la participation des communautés, des groupes et des organisations non gouvernementales pertinentes. » et précisées à l'Article 12.1 qui précise que « Pour assurer l’identification en vue de la sauvegarde, chaque État partie dresse, de façon adaptée à sa situation, un ou plusieurs inventaires du patrimoine culturel immatériel présent sur son territoire. Ces inventaires font l’objet d’une mise à jour régulière. » Les États parties s'efforcent en outre d'assurer l'accès tout en respectant les pratiques coutumières régissant cet accès (Article 13(d)(ii)). </w:t>
            </w:r>
          </w:p>
        </w:tc>
      </w:tr>
      <w:tr w:rsidR="00704766" w:rsidRPr="00F866CD" w14:paraId="538D7554" w14:textId="77777777" w:rsidTr="00BE5B3F">
        <w:trPr>
          <w:cantSplit/>
        </w:trPr>
        <w:tc>
          <w:tcPr>
            <w:tcW w:w="786" w:type="pct"/>
            <w:shd w:val="clear" w:color="auto" w:fill="auto"/>
          </w:tcPr>
          <w:p w14:paraId="1584CD07"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fr"/>
              </w:rPr>
              <w:lastRenderedPageBreak/>
              <w:t>Termes clés</w:t>
            </w:r>
          </w:p>
        </w:tc>
        <w:tc>
          <w:tcPr>
            <w:tcW w:w="4214" w:type="pct"/>
            <w:gridSpan w:val="2"/>
            <w:shd w:val="clear" w:color="auto" w:fill="auto"/>
          </w:tcPr>
          <w:p w14:paraId="22BA3E6A" w14:textId="77777777" w:rsidR="00704766" w:rsidRDefault="002D0B9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Inventaire</w:t>
            </w:r>
          </w:p>
          <w:p w14:paraId="5DF93D2D" w14:textId="77777777" w:rsidR="002D0B96" w:rsidRPr="00E75FE4" w:rsidRDefault="002D0B96" w:rsidP="00704766">
            <w:pPr>
              <w:pStyle w:val="Paragraphedeliste"/>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fr"/>
              </w:rPr>
              <w:t>Diversité (du PCI et de ses praticiens)</w:t>
            </w:r>
          </w:p>
          <w:p w14:paraId="3DACCAEE" w14:textId="77777777" w:rsidR="002D0B96" w:rsidRDefault="002D0B9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Viabilité</w:t>
            </w:r>
          </w:p>
          <w:p w14:paraId="28F1CF4C" w14:textId="77777777" w:rsidR="00897D52" w:rsidRDefault="00897D52"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 xml:space="preserve">Éléments du PCI </w:t>
            </w:r>
          </w:p>
          <w:p w14:paraId="5FAA7159" w14:textId="77777777" w:rsidR="002D0B96" w:rsidRDefault="002D0B96" w:rsidP="00704766">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Pratiques coutumières</w:t>
            </w:r>
          </w:p>
          <w:p w14:paraId="28CB3BE6" w14:textId="77777777" w:rsidR="00897D52" w:rsidRDefault="00897D52" w:rsidP="00897D52">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Domaines (du PCI)</w:t>
            </w:r>
          </w:p>
          <w:p w14:paraId="17C5B4DC" w14:textId="77777777" w:rsidR="0092500D" w:rsidRDefault="0092500D" w:rsidP="00897D52">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Accès</w:t>
            </w:r>
          </w:p>
          <w:p w14:paraId="16B80848" w14:textId="77777777" w:rsidR="00D319DA" w:rsidRDefault="00D319DA" w:rsidP="00897D52">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Principes de commande</w:t>
            </w:r>
          </w:p>
          <w:p w14:paraId="2D227A04" w14:textId="77777777" w:rsidR="00D319DA" w:rsidRDefault="00D319DA" w:rsidP="00897D52">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Critères d'inclusion</w:t>
            </w:r>
          </w:p>
          <w:p w14:paraId="1EAFA659" w14:textId="77777777" w:rsidR="00D319DA" w:rsidRPr="00897D52" w:rsidRDefault="00D319DA" w:rsidP="00897D52">
            <w:pPr>
              <w:pStyle w:val="Paragraphedeliste"/>
              <w:numPr>
                <w:ilvl w:val="0"/>
                <w:numId w:val="71"/>
              </w:numPr>
              <w:spacing w:before="120" w:after="120"/>
              <w:ind w:left="714" w:hanging="357"/>
              <w:jc w:val="both"/>
              <w:rPr>
                <w:rFonts w:asciiTheme="minorBidi" w:hAnsiTheme="minorBidi" w:cstheme="minorBidi"/>
              </w:rPr>
            </w:pPr>
            <w:r>
              <w:rPr>
                <w:rFonts w:asciiTheme="minorBidi" w:hAnsiTheme="minorBidi" w:cstheme="minorBidi"/>
                <w:lang w:val="fr"/>
              </w:rPr>
              <w:t>Inventaires spécialisés</w:t>
            </w:r>
          </w:p>
        </w:tc>
      </w:tr>
    </w:tbl>
    <w:p w14:paraId="74DAFEEA" w14:textId="77777777" w:rsidR="0054175C" w:rsidRPr="00F866CD" w:rsidRDefault="0054175C" w:rsidP="0054175C">
      <w:pPr>
        <w:jc w:val="center"/>
        <w:rPr>
          <w:rFonts w:ascii="Arial" w:hAnsi="Arial" w:cs="Arial"/>
          <w:b/>
          <w:sz w:val="24"/>
        </w:rPr>
        <w:sectPr w:rsidR="0054175C" w:rsidRPr="00F866CD" w:rsidSect="000F25BA">
          <w:footerReference w:type="default" r:id="rId8"/>
          <w:pgSz w:w="11906" w:h="16838" w:code="9"/>
          <w:pgMar w:top="1418" w:right="1134" w:bottom="1134" w:left="1134" w:header="397" w:footer="284" w:gutter="0"/>
          <w:cols w:space="708"/>
          <w:docGrid w:linePitch="360"/>
        </w:sectPr>
      </w:pPr>
    </w:p>
    <w:p w14:paraId="10724A53" w14:textId="77777777" w:rsidR="0054175C" w:rsidRPr="00E75FE4" w:rsidRDefault="0054175C" w:rsidP="00704766">
      <w:pPr>
        <w:jc w:val="center"/>
        <w:rPr>
          <w:rFonts w:ascii="Arial" w:hAnsi="Arial" w:cs="Arial"/>
          <w:b/>
          <w:sz w:val="24"/>
          <w:lang w:val="fr-FR"/>
        </w:rPr>
      </w:pPr>
      <w:r>
        <w:rPr>
          <w:rFonts w:ascii="Arial" w:hAnsi="Arial" w:cs="Arial"/>
          <w:b/>
          <w:bCs/>
          <w:sz w:val="24"/>
          <w:lang w:val="fr"/>
        </w:rPr>
        <w:t>Orientations spécifiques sur le suivi et l'établissement de rapports périodiques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8190"/>
      </w:tblGrid>
      <w:tr w:rsidR="009C0510" w:rsidRPr="009744BA" w14:paraId="1D0DA6AC" w14:textId="77777777" w:rsidTr="00147404">
        <w:tc>
          <w:tcPr>
            <w:tcW w:w="747" w:type="pct"/>
            <w:shd w:val="clear" w:color="auto" w:fill="auto"/>
          </w:tcPr>
          <w:p w14:paraId="0B9A1A9D" w14:textId="77777777" w:rsidR="002C28BA" w:rsidRPr="00F866CD" w:rsidRDefault="002C28BA" w:rsidP="006B0DB6">
            <w:pPr>
              <w:spacing w:before="120"/>
              <w:rPr>
                <w:rFonts w:ascii="Arial" w:hAnsi="Arial" w:cs="Arial"/>
                <w:b/>
                <w:szCs w:val="22"/>
              </w:rPr>
            </w:pPr>
            <w:r>
              <w:rPr>
                <w:rFonts w:ascii="Arial" w:hAnsi="Arial" w:cs="Arial"/>
                <w:b/>
                <w:bCs/>
                <w:szCs w:val="22"/>
                <w:lang w:val="fr"/>
              </w:rPr>
              <w:t>Avantages du suivi</w:t>
            </w:r>
          </w:p>
        </w:tc>
        <w:tc>
          <w:tcPr>
            <w:tcW w:w="4253" w:type="pct"/>
            <w:shd w:val="clear" w:color="auto" w:fill="auto"/>
          </w:tcPr>
          <w:p w14:paraId="31FB9EF3" w14:textId="676C3D58" w:rsidR="002C28BA" w:rsidRPr="00E75FE4" w:rsidRDefault="00890E48" w:rsidP="00383E59">
            <w:pPr>
              <w:keepLines/>
              <w:spacing w:before="120"/>
              <w:jc w:val="both"/>
              <w:rPr>
                <w:rFonts w:ascii="Arial" w:hAnsi="Arial" w:cs="Arial"/>
                <w:bCs/>
                <w:szCs w:val="22"/>
                <w:lang w:val="fr-FR"/>
              </w:rPr>
            </w:pPr>
            <w:r>
              <w:rPr>
                <w:rFonts w:ascii="Arial" w:hAnsi="Arial" w:cs="Arial"/>
                <w:szCs w:val="22"/>
                <w:lang w:val="fr"/>
              </w:rPr>
              <w:t>Au-delà de leur obligation générale de faire rapport sur « les dispositions législatives, réglementaires ou autres prises pour la mise en œuvre de la présente Convention » (Article 29), les États parties sont expressément invités à « fournir des informations pertinentes concernant ces inventaires » (Article 12.2). Le suivi peut aider un État partie à déterminer s'il s'acquitte de sa responsabilité obligatoire en matière d'inventaire et s'il a mis à jour son (ses) inventaire(s) pendant la période considérée. Un tel suivi peut également révéler s'il existe d'autres possibilités pour l'État partie de renforcer son inventaire par l'établissement d'inventaires spécialisés ou d'inventaires d'envergure diverse. Le suivi au niveau mondial permet d'identifier les bonnes pratiques, en particulier dans l'utilisation des inventaires pour renforcer la sauvegarde, et peut indiquer les possibilités de coopération et d'assistance technique entre États.</w:t>
            </w:r>
          </w:p>
        </w:tc>
      </w:tr>
      <w:tr w:rsidR="0054175C" w:rsidRPr="009744BA" w14:paraId="2DE3FD45" w14:textId="77777777" w:rsidTr="00147404">
        <w:tc>
          <w:tcPr>
            <w:tcW w:w="747" w:type="pct"/>
            <w:shd w:val="clear" w:color="auto" w:fill="auto"/>
          </w:tcPr>
          <w:p w14:paraId="2FBFD885" w14:textId="77777777" w:rsidR="0054175C" w:rsidRPr="00E75FE4" w:rsidRDefault="0054175C" w:rsidP="009744BA">
            <w:pPr>
              <w:spacing w:before="120"/>
              <w:rPr>
                <w:rFonts w:ascii="Arial" w:hAnsi="Arial" w:cs="Arial"/>
                <w:b/>
                <w:szCs w:val="22"/>
                <w:lang w:val="fr-FR"/>
              </w:rPr>
            </w:pPr>
            <w:r>
              <w:rPr>
                <w:rFonts w:ascii="Arial" w:hAnsi="Arial" w:cs="Arial"/>
                <w:b/>
                <w:bCs/>
                <w:szCs w:val="22"/>
                <w:lang w:val="fr"/>
              </w:rPr>
              <w:t>Sources et collecte des données</w:t>
            </w:r>
          </w:p>
        </w:tc>
        <w:tc>
          <w:tcPr>
            <w:tcW w:w="4253" w:type="pct"/>
            <w:shd w:val="clear" w:color="auto" w:fill="auto"/>
          </w:tcPr>
          <w:p w14:paraId="6DE23D75" w14:textId="6E3A9FAE" w:rsidR="0054175C" w:rsidRPr="00E75FE4" w:rsidRDefault="00E7068C" w:rsidP="009744BA">
            <w:pPr>
              <w:spacing w:before="120"/>
              <w:jc w:val="both"/>
              <w:rPr>
                <w:rFonts w:ascii="Arial" w:hAnsi="Arial" w:cs="Arial"/>
                <w:szCs w:val="22"/>
                <w:lang w:val="fr-FR"/>
              </w:rPr>
            </w:pPr>
            <w:r>
              <w:rPr>
                <w:rFonts w:ascii="Arial" w:hAnsi="Arial" w:cs="Arial"/>
                <w:szCs w:val="22"/>
                <w:lang w:val="fr"/>
              </w:rPr>
              <w:t xml:space="preserve">Dans de nombreux pays, </w:t>
            </w:r>
            <w:r>
              <w:rPr>
                <w:rFonts w:ascii="Arial" w:hAnsi="Arial" w:cs="Arial"/>
                <w:lang w:val="fr"/>
              </w:rPr>
              <w:t xml:space="preserve">le Ministère de la Culture ou tout autre organisme compétent </w:t>
            </w:r>
            <w:r>
              <w:rPr>
                <w:rFonts w:ascii="Arial" w:hAnsi="Arial" w:cs="Arial"/>
                <w:szCs w:val="22"/>
                <w:lang w:val="fr"/>
              </w:rPr>
              <w:t>est chargé de procéder à l'inventaire ou de coordonner les efforts d'inventaire réalisés par d'autres. Il est probable qu'ils disposent d'une vue d'ensemble à jour de l'inventaire et de l'état de la mise à jour. Étant donné que l'inscription sur un inventaire est une condition préalable à l'inscription d'un élément sur la Liste de sauvegarde urgente ou sur la Liste représentative, si l'État partie participe à ces processus de nomination, il aura également facilement accès aux informations sur l'inventaire. Les rapports périodiques soumis antérieurement peuvent également contenir des informations précieuses concernant les inventaires, en particulier pour les éléments déjà inscrits sur les listes de la Convention. Si l'État dispose d'un conseil consultatif ou d'un mécanisme de coordination, il serait une source d'informations à jour sur les efforts d'inventaire menés par les institutions spécialisées ou au niveau local.</w:t>
            </w:r>
          </w:p>
          <w:p w14:paraId="1B5C94DD" w14:textId="77777777" w:rsidR="0054175C" w:rsidRPr="00F866CD" w:rsidRDefault="00BE5B3F" w:rsidP="009744BA">
            <w:pPr>
              <w:keepNext/>
              <w:spacing w:before="120" w:after="60"/>
              <w:jc w:val="both"/>
              <w:rPr>
                <w:rFonts w:ascii="Arial" w:hAnsi="Arial" w:cs="Arial"/>
                <w:b/>
                <w:szCs w:val="22"/>
              </w:rPr>
            </w:pPr>
            <w:r>
              <w:rPr>
                <w:rFonts w:ascii="Arial" w:hAnsi="Arial" w:cs="Arial"/>
                <w:b/>
                <w:bCs/>
                <w:szCs w:val="22"/>
                <w:lang w:val="fr"/>
              </w:rPr>
              <w:t>Sources de données possibles</w:t>
            </w:r>
          </w:p>
          <w:p w14:paraId="49C7905E" w14:textId="77777777" w:rsidR="0054175C" w:rsidRPr="00E75FE4" w:rsidRDefault="00E7068C" w:rsidP="009744BA">
            <w:pPr>
              <w:pStyle w:val="Paragraphedeliste"/>
              <w:numPr>
                <w:ilvl w:val="0"/>
                <w:numId w:val="73"/>
              </w:numPr>
              <w:spacing w:before="120" w:line="240" w:lineRule="auto"/>
              <w:jc w:val="both"/>
              <w:rPr>
                <w:rFonts w:ascii="Arial" w:hAnsi="Arial" w:cs="Arial"/>
                <w:lang w:val="fr-FR"/>
              </w:rPr>
            </w:pPr>
            <w:r>
              <w:rPr>
                <w:rFonts w:ascii="Arial" w:hAnsi="Arial" w:cs="Arial"/>
                <w:lang w:val="fr"/>
              </w:rPr>
              <w:t>Site Web du Ministère de la culture ou d'un autre organisme compétent chargé de l'inventaire</w:t>
            </w:r>
          </w:p>
          <w:p w14:paraId="07FA34D4" w14:textId="55AEF248" w:rsidR="00E7068C" w:rsidRPr="00E75FE4" w:rsidRDefault="00E7068C" w:rsidP="009744BA">
            <w:pPr>
              <w:pStyle w:val="Paragraphedeliste"/>
              <w:numPr>
                <w:ilvl w:val="0"/>
                <w:numId w:val="73"/>
              </w:numPr>
              <w:spacing w:before="120" w:line="240" w:lineRule="auto"/>
              <w:jc w:val="both"/>
              <w:rPr>
                <w:rFonts w:ascii="Arial" w:hAnsi="Arial" w:cs="Arial"/>
                <w:lang w:val="fr-FR"/>
              </w:rPr>
            </w:pPr>
            <w:r>
              <w:rPr>
                <w:rFonts w:ascii="Arial" w:hAnsi="Arial" w:cs="Arial"/>
                <w:lang w:val="fr"/>
              </w:rPr>
              <w:t>Site d'institutions spécialisées dans les inventaires</w:t>
            </w:r>
          </w:p>
          <w:p w14:paraId="24C951DB" w14:textId="77777777" w:rsidR="00E7068C" w:rsidRPr="00E75FE4" w:rsidRDefault="00E7068C" w:rsidP="009744BA">
            <w:pPr>
              <w:pStyle w:val="Paragraphedeliste"/>
              <w:numPr>
                <w:ilvl w:val="0"/>
                <w:numId w:val="73"/>
              </w:numPr>
              <w:spacing w:before="120" w:line="240" w:lineRule="auto"/>
              <w:jc w:val="both"/>
              <w:rPr>
                <w:rFonts w:ascii="Arial" w:hAnsi="Arial" w:cs="Arial"/>
                <w:lang w:val="fr-FR"/>
              </w:rPr>
            </w:pPr>
            <w:r>
              <w:rPr>
                <w:rFonts w:ascii="Arial" w:hAnsi="Arial" w:cs="Arial"/>
                <w:lang w:val="fr"/>
              </w:rPr>
              <w:t>Dossiers de candidature préparés pour soumission à la Liste de sauvegarde urgente ou à la Liste représentative</w:t>
            </w:r>
          </w:p>
          <w:p w14:paraId="5A55F1CF" w14:textId="77777777" w:rsidR="00956C56" w:rsidRPr="00E75FE4" w:rsidRDefault="00956C56" w:rsidP="009744BA">
            <w:pPr>
              <w:pStyle w:val="Paragraphedeliste"/>
              <w:numPr>
                <w:ilvl w:val="0"/>
                <w:numId w:val="73"/>
              </w:numPr>
              <w:spacing w:before="120" w:line="240" w:lineRule="auto"/>
              <w:jc w:val="both"/>
              <w:rPr>
                <w:rFonts w:ascii="Arial" w:hAnsi="Arial" w:cs="Arial"/>
                <w:lang w:val="fr-FR"/>
              </w:rPr>
            </w:pPr>
            <w:r>
              <w:rPr>
                <w:rFonts w:ascii="Arial" w:hAnsi="Arial" w:cs="Arial"/>
                <w:lang w:val="fr"/>
              </w:rPr>
              <w:t>Rapports antérieurs sur la mise en œuvre de la Convention et sur l'état des éléments inscrits sur la Liste de sauvegarde urgente et la Liste représentative</w:t>
            </w:r>
          </w:p>
          <w:p w14:paraId="2E2A7555" w14:textId="77777777" w:rsidR="00E7068C" w:rsidRPr="00E75FE4" w:rsidRDefault="00E7068C" w:rsidP="009744BA">
            <w:pPr>
              <w:pStyle w:val="Paragraphedeliste"/>
              <w:numPr>
                <w:ilvl w:val="0"/>
                <w:numId w:val="73"/>
              </w:numPr>
              <w:spacing w:before="120" w:line="240" w:lineRule="auto"/>
              <w:jc w:val="both"/>
              <w:rPr>
                <w:rFonts w:ascii="Arial" w:hAnsi="Arial" w:cs="Arial"/>
                <w:lang w:val="fr-FR"/>
              </w:rPr>
            </w:pPr>
            <w:r>
              <w:rPr>
                <w:rFonts w:ascii="Arial" w:hAnsi="Arial" w:cs="Arial"/>
                <w:lang w:val="fr"/>
              </w:rPr>
              <w:t>Politiques et règlements en matière d'accès du public des institutions d'archives ou d'autres détenteurs de renseignements sur les inventaires</w:t>
            </w:r>
          </w:p>
        </w:tc>
      </w:tr>
    </w:tbl>
    <w:p w14:paraId="24877AEE" w14:textId="77777777" w:rsidR="00320242" w:rsidRPr="009744BA" w:rsidRDefault="00320242" w:rsidP="00A5709F">
      <w:pPr>
        <w:rPr>
          <w:rFonts w:ascii="Arial" w:hAnsi="Arial" w:cs="Arial"/>
          <w:lang w:val="fr-FR"/>
        </w:rPr>
      </w:pPr>
    </w:p>
    <w:sectPr w:rsidR="00320242" w:rsidRPr="009744BA"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73C70" w14:textId="77777777" w:rsidR="000B6045" w:rsidRDefault="000B6045" w:rsidP="002938F2">
      <w:r>
        <w:separator/>
      </w:r>
    </w:p>
    <w:p w14:paraId="51167711" w14:textId="77777777" w:rsidR="000B6045" w:rsidRDefault="000B6045"/>
  </w:endnote>
  <w:endnote w:type="continuationSeparator" w:id="0">
    <w:p w14:paraId="451F2768" w14:textId="77777777" w:rsidR="000B6045" w:rsidRDefault="000B6045" w:rsidP="002938F2">
      <w:r>
        <w:continuationSeparator/>
      </w:r>
    </w:p>
    <w:p w14:paraId="5737935A" w14:textId="77777777" w:rsidR="000B6045" w:rsidRDefault="000B6045"/>
  </w:endnote>
  <w:endnote w:type="continuationNotice" w:id="1">
    <w:p w14:paraId="0C973753" w14:textId="77777777" w:rsidR="000B6045" w:rsidRDefault="000B6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76057" w14:textId="1009ED0F" w:rsidR="00C04344" w:rsidRPr="000A0709" w:rsidRDefault="004F0D6A" w:rsidP="000A0709">
    <w:pPr>
      <w:pStyle w:val="Pieddepage"/>
      <w:jc w:val="center"/>
      <w:rPr>
        <w:rFonts w:ascii="Arial" w:hAnsi="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3</w:t>
    </w:r>
    <w:r>
      <w:rPr>
        <w:rFonts w:ascii="Arial" w:hAnsi="Arial" w:cs="Arial"/>
        <w:noProof/>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EC25" w14:textId="77777777" w:rsidR="000B6045" w:rsidRDefault="000B6045" w:rsidP="002938F2">
      <w:r>
        <w:separator/>
      </w:r>
    </w:p>
  </w:footnote>
  <w:footnote w:type="continuationSeparator" w:id="0">
    <w:p w14:paraId="43CD3854" w14:textId="77777777" w:rsidR="000B6045" w:rsidRDefault="000B6045" w:rsidP="002938F2">
      <w:r>
        <w:continuationSeparator/>
      </w:r>
    </w:p>
    <w:p w14:paraId="32F6BE17" w14:textId="77777777" w:rsidR="000B6045" w:rsidRDefault="000B6045"/>
  </w:footnote>
  <w:footnote w:type="continuationNotice" w:id="1">
    <w:p w14:paraId="4AB9604D" w14:textId="77777777" w:rsidR="000B6045" w:rsidRDefault="000B60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2C318EE"/>
    <w:multiLevelType w:val="multilevel"/>
    <w:tmpl w:val="8FF8AED2"/>
    <w:lvl w:ilvl="0">
      <w:start w:val="7"/>
      <w:numFmt w:val="decimal"/>
      <w:lvlText w:val="%1"/>
      <w:lvlJc w:val="left"/>
      <w:pPr>
        <w:ind w:left="360" w:hanging="360"/>
      </w:pPr>
      <w:rPr>
        <w:rFonts w:hint="default"/>
      </w:rPr>
    </w:lvl>
    <w:lvl w:ilvl="1">
      <w:start w:val="1"/>
      <w:numFmt w:val="decimal"/>
      <w:lvlText w:val="%1.%2"/>
      <w:lvlJc w:val="left"/>
      <w:pPr>
        <w:ind w:left="933" w:hanging="360"/>
      </w:pPr>
      <w:rPr>
        <w:rFonts w:ascii="Arial" w:hAnsi="Arial" w:cs="Arial" w:hint="default"/>
        <w:sz w:val="20"/>
        <w:szCs w:val="2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5"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7"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6"/>
  </w:num>
  <w:num w:numId="3">
    <w:abstractNumId w:val="11"/>
  </w:num>
  <w:num w:numId="4">
    <w:abstractNumId w:val="55"/>
  </w:num>
  <w:num w:numId="5">
    <w:abstractNumId w:val="46"/>
  </w:num>
  <w:num w:numId="6">
    <w:abstractNumId w:val="4"/>
  </w:num>
  <w:num w:numId="7">
    <w:abstractNumId w:val="15"/>
  </w:num>
  <w:num w:numId="8">
    <w:abstractNumId w:val="25"/>
  </w:num>
  <w:num w:numId="9">
    <w:abstractNumId w:val="49"/>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3"/>
  </w:num>
  <w:num w:numId="17">
    <w:abstractNumId w:val="39"/>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53"/>
  </w:num>
  <w:num w:numId="27">
    <w:abstractNumId w:val="25"/>
  </w:num>
  <w:num w:numId="28">
    <w:abstractNumId w:val="25"/>
  </w:num>
  <w:num w:numId="29">
    <w:abstractNumId w:val="25"/>
  </w:num>
  <w:num w:numId="30">
    <w:abstractNumId w:val="25"/>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9"/>
  </w:num>
  <w:num w:numId="44">
    <w:abstractNumId w:val="12"/>
  </w:num>
  <w:num w:numId="45">
    <w:abstractNumId w:val="52"/>
  </w:num>
  <w:num w:numId="46">
    <w:abstractNumId w:val="5"/>
  </w:num>
  <w:num w:numId="47">
    <w:abstractNumId w:val="36"/>
  </w:num>
  <w:num w:numId="48">
    <w:abstractNumId w:val="56"/>
  </w:num>
  <w:num w:numId="49">
    <w:abstractNumId w:val="32"/>
  </w:num>
  <w:num w:numId="50">
    <w:abstractNumId w:val="30"/>
  </w:num>
  <w:num w:numId="51">
    <w:abstractNumId w:val="27"/>
  </w:num>
  <w:num w:numId="52">
    <w:abstractNumId w:val="38"/>
  </w:num>
  <w:num w:numId="53">
    <w:abstractNumId w:val="14"/>
  </w:num>
  <w:num w:numId="54">
    <w:abstractNumId w:val="1"/>
  </w:num>
  <w:num w:numId="55">
    <w:abstractNumId w:val="34"/>
  </w:num>
  <w:num w:numId="56">
    <w:abstractNumId w:val="40"/>
  </w:num>
  <w:num w:numId="57">
    <w:abstractNumId w:val="0"/>
  </w:num>
  <w:num w:numId="58">
    <w:abstractNumId w:val="3"/>
  </w:num>
  <w:num w:numId="59">
    <w:abstractNumId w:val="44"/>
  </w:num>
  <w:num w:numId="60">
    <w:abstractNumId w:val="2"/>
  </w:num>
  <w:num w:numId="61">
    <w:abstractNumId w:val="31"/>
  </w:num>
  <w:num w:numId="62">
    <w:abstractNumId w:val="21"/>
  </w:num>
  <w:num w:numId="63">
    <w:abstractNumId w:val="48"/>
  </w:num>
  <w:num w:numId="64">
    <w:abstractNumId w:val="18"/>
  </w:num>
  <w:num w:numId="65">
    <w:abstractNumId w:val="24"/>
  </w:num>
  <w:num w:numId="66">
    <w:abstractNumId w:val="45"/>
  </w:num>
  <w:num w:numId="67">
    <w:abstractNumId w:val="37"/>
  </w:num>
  <w:num w:numId="68">
    <w:abstractNumId w:val="13"/>
  </w:num>
  <w:num w:numId="69">
    <w:abstractNumId w:val="42"/>
  </w:num>
  <w:num w:numId="70">
    <w:abstractNumId w:val="33"/>
  </w:num>
  <w:num w:numId="71">
    <w:abstractNumId w:val="28"/>
  </w:num>
  <w:num w:numId="72">
    <w:abstractNumId w:val="50"/>
  </w:num>
  <w:num w:numId="73">
    <w:abstractNumId w:val="7"/>
  </w:num>
  <w:num w:numId="74">
    <w:abstractNumId w:val="35"/>
  </w:num>
  <w:num w:numId="75">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D"/>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B6045"/>
    <w:rsid w:val="000C03BF"/>
    <w:rsid w:val="000C15BD"/>
    <w:rsid w:val="000C65E4"/>
    <w:rsid w:val="000C7EE0"/>
    <w:rsid w:val="000D1EBC"/>
    <w:rsid w:val="000D254F"/>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47404"/>
    <w:rsid w:val="00151351"/>
    <w:rsid w:val="00156788"/>
    <w:rsid w:val="001609A1"/>
    <w:rsid w:val="00162554"/>
    <w:rsid w:val="00163F68"/>
    <w:rsid w:val="00173B50"/>
    <w:rsid w:val="00173E0E"/>
    <w:rsid w:val="00174B39"/>
    <w:rsid w:val="00175A5A"/>
    <w:rsid w:val="00183F6C"/>
    <w:rsid w:val="00194802"/>
    <w:rsid w:val="00194AEB"/>
    <w:rsid w:val="001A431C"/>
    <w:rsid w:val="001A49E2"/>
    <w:rsid w:val="001A4D6F"/>
    <w:rsid w:val="001A4FE8"/>
    <w:rsid w:val="001A5519"/>
    <w:rsid w:val="001A7C3A"/>
    <w:rsid w:val="001B5C26"/>
    <w:rsid w:val="001C08BC"/>
    <w:rsid w:val="001C56BA"/>
    <w:rsid w:val="001C6D7D"/>
    <w:rsid w:val="001D00B5"/>
    <w:rsid w:val="001D22B7"/>
    <w:rsid w:val="001D3B29"/>
    <w:rsid w:val="001D59C8"/>
    <w:rsid w:val="001E4EEB"/>
    <w:rsid w:val="001E6026"/>
    <w:rsid w:val="001F15C0"/>
    <w:rsid w:val="001F3696"/>
    <w:rsid w:val="001F37CA"/>
    <w:rsid w:val="0020163D"/>
    <w:rsid w:val="0020322C"/>
    <w:rsid w:val="00203AD7"/>
    <w:rsid w:val="002042CC"/>
    <w:rsid w:val="00204B37"/>
    <w:rsid w:val="002074D6"/>
    <w:rsid w:val="00210CBC"/>
    <w:rsid w:val="002119C5"/>
    <w:rsid w:val="00213096"/>
    <w:rsid w:val="00222AF2"/>
    <w:rsid w:val="00223C3B"/>
    <w:rsid w:val="00224346"/>
    <w:rsid w:val="0022597C"/>
    <w:rsid w:val="00226582"/>
    <w:rsid w:val="00230F77"/>
    <w:rsid w:val="00232E4E"/>
    <w:rsid w:val="00234AE4"/>
    <w:rsid w:val="00237935"/>
    <w:rsid w:val="00237E43"/>
    <w:rsid w:val="00245E26"/>
    <w:rsid w:val="002539EA"/>
    <w:rsid w:val="00253ED0"/>
    <w:rsid w:val="002542FD"/>
    <w:rsid w:val="00254B4E"/>
    <w:rsid w:val="00254CA1"/>
    <w:rsid w:val="0026007A"/>
    <w:rsid w:val="002638C0"/>
    <w:rsid w:val="00265E42"/>
    <w:rsid w:val="00266B45"/>
    <w:rsid w:val="0027198B"/>
    <w:rsid w:val="00273658"/>
    <w:rsid w:val="00282A9D"/>
    <w:rsid w:val="00286C0C"/>
    <w:rsid w:val="00287687"/>
    <w:rsid w:val="00290D5F"/>
    <w:rsid w:val="002938F2"/>
    <w:rsid w:val="00293CCC"/>
    <w:rsid w:val="002A195D"/>
    <w:rsid w:val="002A71F3"/>
    <w:rsid w:val="002B43D6"/>
    <w:rsid w:val="002B6B98"/>
    <w:rsid w:val="002C28BA"/>
    <w:rsid w:val="002C3B8F"/>
    <w:rsid w:val="002C444C"/>
    <w:rsid w:val="002C5021"/>
    <w:rsid w:val="002C5280"/>
    <w:rsid w:val="002C5C29"/>
    <w:rsid w:val="002D0B96"/>
    <w:rsid w:val="002D396D"/>
    <w:rsid w:val="002D71D4"/>
    <w:rsid w:val="002E113D"/>
    <w:rsid w:val="002E1A07"/>
    <w:rsid w:val="002F17E1"/>
    <w:rsid w:val="003043A9"/>
    <w:rsid w:val="0030454E"/>
    <w:rsid w:val="00320242"/>
    <w:rsid w:val="00322A3A"/>
    <w:rsid w:val="00324A32"/>
    <w:rsid w:val="00325D6E"/>
    <w:rsid w:val="00334977"/>
    <w:rsid w:val="00337194"/>
    <w:rsid w:val="00342EE8"/>
    <w:rsid w:val="0034493A"/>
    <w:rsid w:val="00344D78"/>
    <w:rsid w:val="00346517"/>
    <w:rsid w:val="00351CCB"/>
    <w:rsid w:val="0035648A"/>
    <w:rsid w:val="00362B41"/>
    <w:rsid w:val="00363995"/>
    <w:rsid w:val="00364E5E"/>
    <w:rsid w:val="00370E9B"/>
    <w:rsid w:val="00377E4B"/>
    <w:rsid w:val="00383BA9"/>
    <w:rsid w:val="00383E59"/>
    <w:rsid w:val="003845B0"/>
    <w:rsid w:val="00385B34"/>
    <w:rsid w:val="00386C08"/>
    <w:rsid w:val="00387D88"/>
    <w:rsid w:val="0039446E"/>
    <w:rsid w:val="003A260A"/>
    <w:rsid w:val="003A2BC4"/>
    <w:rsid w:val="003B31BE"/>
    <w:rsid w:val="003B504D"/>
    <w:rsid w:val="003B7D30"/>
    <w:rsid w:val="003C7065"/>
    <w:rsid w:val="003D2E0D"/>
    <w:rsid w:val="003D5113"/>
    <w:rsid w:val="003D5BFC"/>
    <w:rsid w:val="003D6E10"/>
    <w:rsid w:val="003E0C0F"/>
    <w:rsid w:val="003E0E28"/>
    <w:rsid w:val="003E19D5"/>
    <w:rsid w:val="003E76A8"/>
    <w:rsid w:val="003F3918"/>
    <w:rsid w:val="003F5B90"/>
    <w:rsid w:val="00404856"/>
    <w:rsid w:val="00406ED7"/>
    <w:rsid w:val="004108B6"/>
    <w:rsid w:val="0041110F"/>
    <w:rsid w:val="0041300C"/>
    <w:rsid w:val="00414B68"/>
    <w:rsid w:val="00430ED2"/>
    <w:rsid w:val="00434773"/>
    <w:rsid w:val="004367F5"/>
    <w:rsid w:val="004458C9"/>
    <w:rsid w:val="00447C66"/>
    <w:rsid w:val="00462F38"/>
    <w:rsid w:val="00471B34"/>
    <w:rsid w:val="00471CB8"/>
    <w:rsid w:val="00474AFE"/>
    <w:rsid w:val="00477E66"/>
    <w:rsid w:val="00480809"/>
    <w:rsid w:val="00486A5E"/>
    <w:rsid w:val="00493F92"/>
    <w:rsid w:val="004A0C2B"/>
    <w:rsid w:val="004A610E"/>
    <w:rsid w:val="004C20E2"/>
    <w:rsid w:val="004E056C"/>
    <w:rsid w:val="004E2817"/>
    <w:rsid w:val="004E2AE8"/>
    <w:rsid w:val="004E418A"/>
    <w:rsid w:val="004F0D6A"/>
    <w:rsid w:val="004F6DB7"/>
    <w:rsid w:val="005016FB"/>
    <w:rsid w:val="00504256"/>
    <w:rsid w:val="00511D17"/>
    <w:rsid w:val="005157E2"/>
    <w:rsid w:val="0051699F"/>
    <w:rsid w:val="00516DE3"/>
    <w:rsid w:val="005300BF"/>
    <w:rsid w:val="00532631"/>
    <w:rsid w:val="005414A1"/>
    <w:rsid w:val="0054175C"/>
    <w:rsid w:val="005473CF"/>
    <w:rsid w:val="00570355"/>
    <w:rsid w:val="00574530"/>
    <w:rsid w:val="00581423"/>
    <w:rsid w:val="00582F4C"/>
    <w:rsid w:val="0058407A"/>
    <w:rsid w:val="00594539"/>
    <w:rsid w:val="00594D21"/>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57DE"/>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5855"/>
    <w:rsid w:val="00686D60"/>
    <w:rsid w:val="00691869"/>
    <w:rsid w:val="006A0D86"/>
    <w:rsid w:val="006A49AE"/>
    <w:rsid w:val="006A56C0"/>
    <w:rsid w:val="006C0911"/>
    <w:rsid w:val="006C737A"/>
    <w:rsid w:val="006D46FB"/>
    <w:rsid w:val="006E29C0"/>
    <w:rsid w:val="006E752A"/>
    <w:rsid w:val="006E7CF0"/>
    <w:rsid w:val="006F3E83"/>
    <w:rsid w:val="006F4A82"/>
    <w:rsid w:val="006F4B83"/>
    <w:rsid w:val="006F7F47"/>
    <w:rsid w:val="00701458"/>
    <w:rsid w:val="00701D7E"/>
    <w:rsid w:val="00704766"/>
    <w:rsid w:val="007119B8"/>
    <w:rsid w:val="007233CB"/>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9F1"/>
    <w:rsid w:val="007C1B00"/>
    <w:rsid w:val="007D0F1D"/>
    <w:rsid w:val="007D2881"/>
    <w:rsid w:val="007D31CE"/>
    <w:rsid w:val="007D3AD8"/>
    <w:rsid w:val="007D5BB7"/>
    <w:rsid w:val="007D6A69"/>
    <w:rsid w:val="007E0621"/>
    <w:rsid w:val="007E4E37"/>
    <w:rsid w:val="007F4B07"/>
    <w:rsid w:val="008029A6"/>
    <w:rsid w:val="008054CE"/>
    <w:rsid w:val="008147BA"/>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0E48"/>
    <w:rsid w:val="0089499E"/>
    <w:rsid w:val="00896177"/>
    <w:rsid w:val="00897D52"/>
    <w:rsid w:val="008A0BE3"/>
    <w:rsid w:val="008A2566"/>
    <w:rsid w:val="008A6452"/>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00D"/>
    <w:rsid w:val="0092574C"/>
    <w:rsid w:val="00925D41"/>
    <w:rsid w:val="00933242"/>
    <w:rsid w:val="009342E8"/>
    <w:rsid w:val="009357B4"/>
    <w:rsid w:val="00946D71"/>
    <w:rsid w:val="00956C56"/>
    <w:rsid w:val="009577E1"/>
    <w:rsid w:val="00962716"/>
    <w:rsid w:val="00971CA1"/>
    <w:rsid w:val="0097349C"/>
    <w:rsid w:val="009744BA"/>
    <w:rsid w:val="009814C2"/>
    <w:rsid w:val="00982FFD"/>
    <w:rsid w:val="00985265"/>
    <w:rsid w:val="00985856"/>
    <w:rsid w:val="00993AE4"/>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551D"/>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05095"/>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87515"/>
    <w:rsid w:val="00C90629"/>
    <w:rsid w:val="00C90C51"/>
    <w:rsid w:val="00CA3ED6"/>
    <w:rsid w:val="00CA617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24FB5"/>
    <w:rsid w:val="00D319DA"/>
    <w:rsid w:val="00D404B7"/>
    <w:rsid w:val="00D44509"/>
    <w:rsid w:val="00D448CB"/>
    <w:rsid w:val="00D47226"/>
    <w:rsid w:val="00D47ED5"/>
    <w:rsid w:val="00D61779"/>
    <w:rsid w:val="00D737F2"/>
    <w:rsid w:val="00D73DB6"/>
    <w:rsid w:val="00D809E5"/>
    <w:rsid w:val="00D81948"/>
    <w:rsid w:val="00D90819"/>
    <w:rsid w:val="00D93291"/>
    <w:rsid w:val="00D9501F"/>
    <w:rsid w:val="00DA6680"/>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7068C"/>
    <w:rsid w:val="00E75FE4"/>
    <w:rsid w:val="00E85565"/>
    <w:rsid w:val="00E87F91"/>
    <w:rsid w:val="00E94BC6"/>
    <w:rsid w:val="00EA0563"/>
    <w:rsid w:val="00EA198F"/>
    <w:rsid w:val="00EA2EA1"/>
    <w:rsid w:val="00EA3CB9"/>
    <w:rsid w:val="00EA418A"/>
    <w:rsid w:val="00EA59EB"/>
    <w:rsid w:val="00EA67F3"/>
    <w:rsid w:val="00EB48F8"/>
    <w:rsid w:val="00ED0C60"/>
    <w:rsid w:val="00ED3D26"/>
    <w:rsid w:val="00ED5218"/>
    <w:rsid w:val="00EE1D9D"/>
    <w:rsid w:val="00EF0BCB"/>
    <w:rsid w:val="00EF0E74"/>
    <w:rsid w:val="00EF2549"/>
    <w:rsid w:val="00F00E8A"/>
    <w:rsid w:val="00F1386E"/>
    <w:rsid w:val="00F16242"/>
    <w:rsid w:val="00F17FCB"/>
    <w:rsid w:val="00F226CC"/>
    <w:rsid w:val="00F26002"/>
    <w:rsid w:val="00F2691E"/>
    <w:rsid w:val="00F279DD"/>
    <w:rsid w:val="00F3242E"/>
    <w:rsid w:val="00F33650"/>
    <w:rsid w:val="00F348F9"/>
    <w:rsid w:val="00F37E4B"/>
    <w:rsid w:val="00F4144E"/>
    <w:rsid w:val="00F41B00"/>
    <w:rsid w:val="00F473CB"/>
    <w:rsid w:val="00F50245"/>
    <w:rsid w:val="00F63DDA"/>
    <w:rsid w:val="00F67029"/>
    <w:rsid w:val="00F70858"/>
    <w:rsid w:val="00F71BBC"/>
    <w:rsid w:val="00F7397F"/>
    <w:rsid w:val="00F75949"/>
    <w:rsid w:val="00F75CF4"/>
    <w:rsid w:val="00F866CD"/>
    <w:rsid w:val="00F941F0"/>
    <w:rsid w:val="00F97FF5"/>
    <w:rsid w:val="00FA3974"/>
    <w:rsid w:val="00FA7CE6"/>
    <w:rsid w:val="00FB1313"/>
    <w:rsid w:val="00FC2238"/>
    <w:rsid w:val="00FC2459"/>
    <w:rsid w:val="00FC268E"/>
    <w:rsid w:val="00FC2BFD"/>
    <w:rsid w:val="00FC309D"/>
    <w:rsid w:val="00FC47E0"/>
    <w:rsid w:val="00FD1C42"/>
    <w:rsid w:val="00FD1E96"/>
    <w:rsid w:val="00FD1FE7"/>
    <w:rsid w:val="00FD4E20"/>
    <w:rsid w:val="00FD6442"/>
    <w:rsid w:val="00FE15F6"/>
    <w:rsid w:val="00FE1F8A"/>
    <w:rsid w:val="00FF14AA"/>
    <w:rsid w:val="00FF26CC"/>
    <w:rsid w:val="00FF2B1D"/>
    <w:rsid w:val="00FF3524"/>
    <w:rsid w:val="00FF44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68A68"/>
  <w15:docId w15:val="{8C3408CC-5433-4448-B2ED-5EB96B4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spacing w:after="0"/>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uiPriority w:val="99"/>
    <w:rsid w:val="00B11AE3"/>
    <w:rPr>
      <w:b/>
      <w:bCs/>
    </w:rPr>
  </w:style>
  <w:style w:type="character" w:customStyle="1" w:styleId="ObjetducommentaireCar">
    <w:name w:val="Objet du commentaire Car"/>
    <w:link w:val="Objetducommentaire"/>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Lienhypertexte">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Notedebasdepage">
    <w:name w:val="footnote text"/>
    <w:basedOn w:val="Normal"/>
    <w:link w:val="NotedebasdepageCar"/>
    <w:uiPriority w:val="99"/>
    <w:unhideWhenUsed/>
    <w:rsid w:val="00210CBC"/>
    <w:pPr>
      <w:spacing w:after="0"/>
    </w:pPr>
    <w:rPr>
      <w:sz w:val="20"/>
      <w:szCs w:val="20"/>
    </w:rPr>
  </w:style>
  <w:style w:type="character" w:customStyle="1" w:styleId="NotedebasdepageCar">
    <w:name w:val="Note de bas de page Car"/>
    <w:link w:val="Notedebasdepage"/>
    <w:uiPriority w:val="99"/>
    <w:rsid w:val="00210CBC"/>
    <w:rPr>
      <w:rFonts w:ascii="Times New Roman" w:eastAsia="Times New Roman" w:hAnsi="Times New Roman"/>
      <w:lang w:val="en-GB"/>
    </w:rPr>
  </w:style>
  <w:style w:type="character" w:styleId="Appelnotedebasdep">
    <w:name w:val="footnote reference"/>
    <w:uiPriority w:val="99"/>
    <w:semiHidden/>
    <w:unhideWhenUsed/>
    <w:rsid w:val="00210CBC"/>
    <w:rPr>
      <w:vertAlign w:val="superscript"/>
    </w:rPr>
  </w:style>
  <w:style w:type="character" w:styleId="Lienhypertextesuivivisit">
    <w:name w:val="FollowedHyperlink"/>
    <w:semiHidden/>
    <w:unhideWhenUsed/>
    <w:rsid w:val="00B62ED0"/>
    <w:rPr>
      <w:color w:val="800080"/>
      <w:u w:val="single"/>
    </w:rPr>
  </w:style>
  <w:style w:type="paragraph" w:styleId="R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Paragraphedeliste">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auNormal"/>
    <w:next w:val="Grilledutableau"/>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47226"/>
    <w:pPr>
      <w:spacing w:after="0"/>
    </w:pPr>
    <w:rPr>
      <w:rFonts w:ascii="Calibri" w:eastAsia="Calibri" w:hAnsi="Calibri"/>
      <w:sz w:val="20"/>
      <w:szCs w:val="20"/>
      <w:lang w:val="en-US" w:eastAsia="en-US"/>
    </w:rPr>
  </w:style>
  <w:style w:type="character" w:customStyle="1" w:styleId="NotedefinCar">
    <w:name w:val="Note de fin Car"/>
    <w:link w:val="Notedefin"/>
    <w:uiPriority w:val="99"/>
    <w:semiHidden/>
    <w:rsid w:val="00D47226"/>
    <w:rPr>
      <w:rFonts w:ascii="Calibri" w:eastAsia="Calibri" w:hAnsi="Calibri" w:cs="Times New Roman"/>
      <w:lang w:val="en-US" w:eastAsia="en-US"/>
    </w:rPr>
  </w:style>
  <w:style w:type="character" w:styleId="Appeldenotedefin">
    <w:name w:val="endnote reference"/>
    <w:uiPriority w:val="99"/>
    <w:semiHidden/>
    <w:unhideWhenUsed/>
    <w:rsid w:val="00D47226"/>
    <w:rPr>
      <w:vertAlign w:val="superscript"/>
    </w:rPr>
  </w:style>
  <w:style w:type="character" w:customStyle="1" w:styleId="UnresolvedMention1">
    <w:name w:val="Unresolved Mention1"/>
    <w:basedOn w:val="Policepardfaut"/>
    <w:uiPriority w:val="99"/>
    <w:semiHidden/>
    <w:unhideWhenUsed/>
    <w:rsid w:val="009C0510"/>
    <w:rPr>
      <w:color w:val="605E5C"/>
      <w:shd w:val="clear" w:color="auto" w:fill="E1DFDD"/>
    </w:rPr>
  </w:style>
  <w:style w:type="character" w:customStyle="1" w:styleId="UnresolvedMention2">
    <w:name w:val="Unresolved Mention2"/>
    <w:basedOn w:val="Policepardfaut"/>
    <w:uiPriority w:val="99"/>
    <w:semiHidden/>
    <w:unhideWhenUsed/>
    <w:rsid w:val="00704766"/>
    <w:rPr>
      <w:color w:val="605E5C"/>
      <w:shd w:val="clear" w:color="auto" w:fill="E1DFDD"/>
    </w:rPr>
  </w:style>
  <w:style w:type="paragraph" w:customStyle="1" w:styleId="Footnote">
    <w:name w:val="Footnote"/>
    <w:basedOn w:val="Notedefin"/>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062717">
      <w:bodyDiv w:val="1"/>
      <w:marLeft w:val="0"/>
      <w:marRight w:val="0"/>
      <w:marTop w:val="0"/>
      <w:marBottom w:val="0"/>
      <w:divBdr>
        <w:top w:val="none" w:sz="0" w:space="0" w:color="auto"/>
        <w:left w:val="none" w:sz="0" w:space="0" w:color="auto"/>
        <w:bottom w:val="none" w:sz="0" w:space="0" w:color="auto"/>
        <w:right w:val="none" w:sz="0" w:space="0" w:color="auto"/>
      </w:divBdr>
    </w:div>
    <w:div w:id="1369331845">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0D76-0245-467B-8429-F7DDE1E8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0</TotalTime>
  <Pages>2</Pages>
  <Words>938</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Shabanaj, Adelaida</cp:lastModifiedBy>
  <cp:revision>4</cp:revision>
  <dcterms:created xsi:type="dcterms:W3CDTF">2021-05-10T17:37:00Z</dcterms:created>
  <dcterms:modified xsi:type="dcterms:W3CDTF">2021-07-27T13:08:00Z</dcterms:modified>
</cp:coreProperties>
</file>