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79A51" w14:textId="77777777" w:rsidR="007D2CE3" w:rsidRPr="00B03E2D" w:rsidRDefault="007D2CE3" w:rsidP="00180606">
      <w:pPr>
        <w:pageBreakBefore/>
        <w:bidi/>
        <w:jc w:val="center"/>
        <w:rPr>
          <w:b/>
          <w:bCs/>
          <w:sz w:val="24"/>
          <w:szCs w:val="28"/>
        </w:rPr>
      </w:pPr>
      <w:r w:rsidRPr="00B03E2D">
        <w:rPr>
          <w:b/>
          <w:bCs/>
          <w:sz w:val="24"/>
          <w:szCs w:val="28"/>
          <w:rtl/>
        </w:rPr>
        <w:t>اللمحة العامة والأسس المنطقية</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
        <w:gridCol w:w="6582"/>
        <w:gridCol w:w="1533"/>
      </w:tblGrid>
      <w:tr w:rsidR="005473CF" w:rsidRPr="00E57CB9" w14:paraId="6B7CFD55" w14:textId="77777777" w:rsidTr="007D2CE3">
        <w:trPr>
          <w:cantSplit/>
        </w:trPr>
        <w:tc>
          <w:tcPr>
            <w:tcW w:w="786" w:type="pct"/>
            <w:shd w:val="clear" w:color="auto" w:fill="auto"/>
          </w:tcPr>
          <w:p w14:paraId="7F391C74" w14:textId="380CB926" w:rsidR="005473CF" w:rsidRPr="00D17FDF" w:rsidRDefault="007D2CE3" w:rsidP="00180606">
            <w:pPr>
              <w:bidi/>
              <w:spacing w:before="120"/>
              <w:jc w:val="both"/>
              <w:rPr>
                <w:b/>
                <w:sz w:val="24"/>
              </w:rPr>
            </w:pPr>
            <w:r w:rsidRPr="00D17FDF">
              <w:rPr>
                <w:b/>
                <w:bCs/>
                <w:sz w:val="24"/>
                <w:rtl/>
                <w:lang w:bidi="ar-EG"/>
              </w:rPr>
              <w:t>المؤشر</w:t>
            </w:r>
          </w:p>
        </w:tc>
        <w:tc>
          <w:tcPr>
            <w:tcW w:w="4214" w:type="pct"/>
            <w:gridSpan w:val="2"/>
            <w:shd w:val="clear" w:color="auto" w:fill="auto"/>
          </w:tcPr>
          <w:p w14:paraId="4D059DA1" w14:textId="555BB4DA" w:rsidR="005473CF" w:rsidRPr="00D17FDF" w:rsidRDefault="00F35B13" w:rsidP="00180606">
            <w:pPr>
              <w:pStyle w:val="ListParagraph"/>
              <w:keepLines/>
              <w:numPr>
                <w:ilvl w:val="0"/>
                <w:numId w:val="76"/>
              </w:numPr>
              <w:bidi/>
              <w:spacing w:before="120"/>
              <w:jc w:val="both"/>
              <w:rPr>
                <w:bCs/>
                <w:sz w:val="24"/>
                <w:szCs w:val="24"/>
              </w:rPr>
            </w:pPr>
            <w:r w:rsidRPr="00D17FDF">
              <w:rPr>
                <w:bCs/>
                <w:sz w:val="24"/>
                <w:szCs w:val="24"/>
                <w:rtl/>
              </w:rPr>
              <w:t>مدى مساهمة البحوث والتوثيق، بما في ذلك الدراسات العلمية والتقنية والفنية، في الصون</w:t>
            </w:r>
          </w:p>
        </w:tc>
      </w:tr>
      <w:tr w:rsidR="005B0FE5" w:rsidRPr="00E57CB9" w14:paraId="40A09BC3" w14:textId="77777777" w:rsidTr="007D2CE3">
        <w:trPr>
          <w:cantSplit/>
        </w:trPr>
        <w:tc>
          <w:tcPr>
            <w:tcW w:w="786" w:type="pct"/>
            <w:vMerge w:val="restart"/>
            <w:shd w:val="clear" w:color="auto" w:fill="auto"/>
          </w:tcPr>
          <w:p w14:paraId="350F8989" w14:textId="5D8B1282" w:rsidR="005B0FE5" w:rsidRPr="00D17FDF" w:rsidRDefault="007D2CE3" w:rsidP="00180606">
            <w:pPr>
              <w:bidi/>
              <w:spacing w:before="120"/>
              <w:jc w:val="both"/>
              <w:rPr>
                <w:b/>
                <w:sz w:val="24"/>
              </w:rPr>
            </w:pPr>
            <w:r w:rsidRPr="00D17FDF">
              <w:rPr>
                <w:b/>
                <w:bCs/>
                <w:sz w:val="24"/>
                <w:rtl/>
              </w:rPr>
              <w:t>عوامل التقييم الشامل</w:t>
            </w:r>
          </w:p>
        </w:tc>
        <w:tc>
          <w:tcPr>
            <w:tcW w:w="4214" w:type="pct"/>
            <w:gridSpan w:val="2"/>
            <w:shd w:val="clear" w:color="auto" w:fill="auto"/>
          </w:tcPr>
          <w:p w14:paraId="301C16BA" w14:textId="0AA35EB9" w:rsidR="005B0FE5" w:rsidRPr="00D17FDF" w:rsidRDefault="005317DE" w:rsidP="00180606">
            <w:pPr>
              <w:keepLines/>
              <w:bidi/>
              <w:spacing w:before="120"/>
              <w:jc w:val="both"/>
              <w:rPr>
                <w:b/>
                <w:sz w:val="24"/>
              </w:rPr>
            </w:pPr>
            <w:r w:rsidRPr="00D17FDF">
              <w:rPr>
                <w:sz w:val="24"/>
                <w:rtl/>
              </w:rPr>
              <w:t xml:space="preserve">يتم تقييم هذا المؤشر على أساس ثلاثة عوامل على </w:t>
            </w:r>
            <w:r w:rsidR="001A338C" w:rsidRPr="00D17FDF">
              <w:rPr>
                <w:rFonts w:hint="cs"/>
                <w:sz w:val="24"/>
                <w:rtl/>
              </w:rPr>
              <w:t>الصعيد</w:t>
            </w:r>
            <w:r w:rsidRPr="00D17FDF">
              <w:rPr>
                <w:sz w:val="24"/>
                <w:rtl/>
              </w:rPr>
              <w:t xml:space="preserve"> القطري ترصدها كل دولة طرف </w:t>
            </w:r>
            <w:r w:rsidR="00984D55" w:rsidRPr="00D17FDF">
              <w:rPr>
                <w:rFonts w:hint="cs"/>
                <w:sz w:val="24"/>
                <w:rtl/>
                <w:lang w:bidi="ar-EG"/>
              </w:rPr>
              <w:t>و</w:t>
            </w:r>
            <w:r w:rsidR="00572EDA" w:rsidRPr="00D17FDF">
              <w:rPr>
                <w:rFonts w:hint="cs"/>
                <w:sz w:val="24"/>
                <w:rtl/>
                <w:lang w:bidi="ar-EG"/>
              </w:rPr>
              <w:t>ت</w:t>
            </w:r>
            <w:r w:rsidR="00AA34C3">
              <w:rPr>
                <w:rFonts w:hint="cs"/>
                <w:sz w:val="24"/>
                <w:rtl/>
                <w:lang w:bidi="ar-EG"/>
              </w:rPr>
              <w:t>عد التقرير</w:t>
            </w:r>
            <w:r w:rsidR="00572EDA" w:rsidRPr="00D17FDF">
              <w:rPr>
                <w:rFonts w:hint="cs"/>
                <w:sz w:val="24"/>
                <w:rtl/>
                <w:lang w:bidi="ar-EG"/>
              </w:rPr>
              <w:t xml:space="preserve"> عنها</w:t>
            </w:r>
            <w:r w:rsidRPr="00D17FDF">
              <w:rPr>
                <w:sz w:val="24"/>
                <w:rtl/>
              </w:rPr>
              <w:t>:</w:t>
            </w:r>
          </w:p>
        </w:tc>
      </w:tr>
      <w:tr w:rsidR="00B96BCF" w:rsidRPr="00E57CB9" w14:paraId="510ECA46" w14:textId="77777777" w:rsidTr="007D2CE3">
        <w:trPr>
          <w:cantSplit/>
        </w:trPr>
        <w:tc>
          <w:tcPr>
            <w:tcW w:w="786" w:type="pct"/>
            <w:vMerge/>
            <w:shd w:val="clear" w:color="auto" w:fill="auto"/>
          </w:tcPr>
          <w:p w14:paraId="6C845889" w14:textId="77777777" w:rsidR="00B96BCF" w:rsidRPr="00D17FDF" w:rsidRDefault="00B96BCF" w:rsidP="00180606">
            <w:pPr>
              <w:bidi/>
              <w:spacing w:before="120"/>
              <w:jc w:val="both"/>
              <w:rPr>
                <w:b/>
                <w:sz w:val="24"/>
              </w:rPr>
            </w:pPr>
          </w:p>
        </w:tc>
        <w:tc>
          <w:tcPr>
            <w:tcW w:w="3418" w:type="pct"/>
            <w:shd w:val="clear" w:color="auto" w:fill="auto"/>
            <w:vAlign w:val="center"/>
          </w:tcPr>
          <w:p w14:paraId="6758276E" w14:textId="38759CE0" w:rsidR="00B96BCF" w:rsidRPr="00D17FDF" w:rsidRDefault="00614AE4" w:rsidP="00180606">
            <w:pPr>
              <w:keepLines/>
              <w:bidi/>
              <w:spacing w:before="120"/>
              <w:jc w:val="both"/>
              <w:rPr>
                <w:sz w:val="24"/>
              </w:rPr>
            </w:pPr>
            <w:r w:rsidRPr="00D17FDF">
              <w:rPr>
                <w:sz w:val="24"/>
                <w:rtl/>
              </w:rPr>
              <w:t xml:space="preserve">9-1 تشجيع الدعم المالي وغيرها من أشكال الدعم المقدّمة للبحوث، والدراسات العلمية والتقنية والفنية، والوثائق </w:t>
            </w:r>
            <w:r w:rsidR="00CB4F13">
              <w:rPr>
                <w:rFonts w:hint="cs"/>
                <w:sz w:val="24"/>
                <w:rtl/>
              </w:rPr>
              <w:t>والا</w:t>
            </w:r>
            <w:r w:rsidR="00703441">
              <w:rPr>
                <w:rFonts w:hint="cs"/>
                <w:sz w:val="24"/>
                <w:rtl/>
              </w:rPr>
              <w:t>ر</w:t>
            </w:r>
            <w:r w:rsidR="00CB4F13">
              <w:rPr>
                <w:rFonts w:hint="cs"/>
                <w:sz w:val="24"/>
                <w:rtl/>
              </w:rPr>
              <w:t xml:space="preserve">شيفات </w:t>
            </w:r>
            <w:r w:rsidRPr="00D17FDF">
              <w:rPr>
                <w:sz w:val="24"/>
                <w:rtl/>
              </w:rPr>
              <w:t>الرامية إلى الصون والمُنجزة وفقاً للمبادئ الأخلاقية ذات الصلة.</w:t>
            </w:r>
          </w:p>
        </w:tc>
        <w:tc>
          <w:tcPr>
            <w:tcW w:w="796" w:type="pct"/>
            <w:shd w:val="clear" w:color="auto" w:fill="auto"/>
            <w:vAlign w:val="center"/>
          </w:tcPr>
          <w:p w14:paraId="6890E753" w14:textId="77777777" w:rsidR="00792584" w:rsidRPr="00D17FDF" w:rsidRDefault="00792584" w:rsidP="00180606">
            <w:pPr>
              <w:keepLines/>
              <w:bidi/>
              <w:spacing w:before="120"/>
              <w:jc w:val="both"/>
              <w:rPr>
                <w:sz w:val="24"/>
              </w:rPr>
            </w:pPr>
            <w:r w:rsidRPr="00D17FDF">
              <w:rPr>
                <w:sz w:val="24"/>
                <w:rtl/>
              </w:rPr>
              <w:t>المادة 13 (ج)</w:t>
            </w:r>
          </w:p>
          <w:p w14:paraId="238F71D5" w14:textId="024E3C96" w:rsidR="00B96BCF" w:rsidRPr="00D17FDF" w:rsidRDefault="00792584" w:rsidP="00180606">
            <w:pPr>
              <w:keepLines/>
              <w:bidi/>
              <w:spacing w:before="120"/>
              <w:jc w:val="both"/>
              <w:rPr>
                <w:sz w:val="24"/>
              </w:rPr>
            </w:pPr>
            <w:r w:rsidRPr="00D17FDF">
              <w:rPr>
                <w:sz w:val="24"/>
                <w:rtl/>
              </w:rPr>
              <w:t xml:space="preserve">التوجيه </w:t>
            </w:r>
            <w:r w:rsidR="00213817" w:rsidRPr="00D17FDF">
              <w:rPr>
                <w:rFonts w:hint="cs"/>
                <w:sz w:val="24"/>
                <w:rtl/>
              </w:rPr>
              <w:t>التنفيذي</w:t>
            </w:r>
            <w:r w:rsidRPr="00D17FDF">
              <w:rPr>
                <w:sz w:val="24"/>
                <w:rtl/>
              </w:rPr>
              <w:t xml:space="preserve"> 173، </w:t>
            </w:r>
            <w:r w:rsidR="00213817" w:rsidRPr="00D17FDF">
              <w:rPr>
                <w:rFonts w:hint="cs"/>
                <w:sz w:val="24"/>
                <w:rtl/>
              </w:rPr>
              <w:t>و</w:t>
            </w:r>
            <w:r w:rsidRPr="00D17FDF">
              <w:rPr>
                <w:sz w:val="24"/>
                <w:rtl/>
              </w:rPr>
              <w:t xml:space="preserve">التوجيه </w:t>
            </w:r>
            <w:r w:rsidR="00213817" w:rsidRPr="00D17FDF">
              <w:rPr>
                <w:rFonts w:hint="cs"/>
                <w:sz w:val="24"/>
                <w:rtl/>
              </w:rPr>
              <w:t xml:space="preserve">التنفيذي </w:t>
            </w:r>
            <w:r w:rsidRPr="00D17FDF">
              <w:rPr>
                <w:sz w:val="24"/>
                <w:rtl/>
              </w:rPr>
              <w:t>175</w:t>
            </w:r>
          </w:p>
        </w:tc>
      </w:tr>
      <w:tr w:rsidR="00B96BCF" w:rsidRPr="00E57CB9" w14:paraId="6A2DFEC3" w14:textId="77777777" w:rsidTr="007D2CE3">
        <w:trPr>
          <w:cantSplit/>
        </w:trPr>
        <w:tc>
          <w:tcPr>
            <w:tcW w:w="786" w:type="pct"/>
            <w:vMerge/>
            <w:shd w:val="clear" w:color="auto" w:fill="auto"/>
          </w:tcPr>
          <w:p w14:paraId="3F72CDB9" w14:textId="77777777" w:rsidR="00B96BCF" w:rsidRPr="00D17FDF" w:rsidRDefault="00B96BCF" w:rsidP="00180606">
            <w:pPr>
              <w:bidi/>
              <w:spacing w:before="120"/>
              <w:jc w:val="both"/>
              <w:rPr>
                <w:b/>
                <w:sz w:val="24"/>
              </w:rPr>
            </w:pPr>
          </w:p>
        </w:tc>
        <w:tc>
          <w:tcPr>
            <w:tcW w:w="3418" w:type="pct"/>
            <w:shd w:val="clear" w:color="auto" w:fill="auto"/>
            <w:vAlign w:val="center"/>
          </w:tcPr>
          <w:p w14:paraId="324B1A6F" w14:textId="26787E94" w:rsidR="00CB4F13" w:rsidRPr="00D17FDF" w:rsidRDefault="00614AE4" w:rsidP="00CB4F13">
            <w:pPr>
              <w:keepLines/>
              <w:bidi/>
              <w:spacing w:before="120"/>
              <w:jc w:val="both"/>
              <w:rPr>
                <w:sz w:val="24"/>
              </w:rPr>
            </w:pPr>
            <w:r w:rsidRPr="00D17FDF">
              <w:rPr>
                <w:sz w:val="24"/>
                <w:rtl/>
              </w:rPr>
              <w:t>9-2 تعزيز البحوث فيما يتعلّق بنهج صون التراث الثقافي غير المادي وآثاره في العناصر العامة والخاصة للتراث الثقافي غير المادي، سواء كانت مدرجة أم لا.</w:t>
            </w:r>
          </w:p>
        </w:tc>
        <w:tc>
          <w:tcPr>
            <w:tcW w:w="796" w:type="pct"/>
            <w:shd w:val="clear" w:color="auto" w:fill="auto"/>
            <w:vAlign w:val="center"/>
          </w:tcPr>
          <w:p w14:paraId="6E1CC2BA" w14:textId="77777777" w:rsidR="00DE41A8" w:rsidRPr="00D17FDF" w:rsidRDefault="00DE41A8" w:rsidP="00180606">
            <w:pPr>
              <w:bidi/>
              <w:spacing w:before="60" w:after="60"/>
              <w:jc w:val="both"/>
              <w:rPr>
                <w:sz w:val="24"/>
              </w:rPr>
            </w:pPr>
            <w:r w:rsidRPr="00D17FDF">
              <w:rPr>
                <w:sz w:val="24"/>
                <w:rtl/>
              </w:rPr>
              <w:t>المادة 13 (ج)</w:t>
            </w:r>
          </w:p>
          <w:p w14:paraId="2869494E" w14:textId="02471477" w:rsidR="00B96BCF" w:rsidRPr="00D17FDF" w:rsidRDefault="00DE41A8" w:rsidP="00180606">
            <w:pPr>
              <w:bidi/>
              <w:spacing w:before="60" w:after="60"/>
              <w:jc w:val="both"/>
              <w:rPr>
                <w:sz w:val="24"/>
              </w:rPr>
            </w:pPr>
            <w:r w:rsidRPr="00D17FDF">
              <w:rPr>
                <w:sz w:val="24"/>
                <w:rtl/>
              </w:rPr>
              <w:t xml:space="preserve">التوجيه </w:t>
            </w:r>
            <w:r w:rsidR="00213817" w:rsidRPr="00D17FDF">
              <w:rPr>
                <w:rFonts w:hint="cs"/>
                <w:sz w:val="24"/>
                <w:rtl/>
              </w:rPr>
              <w:t xml:space="preserve">التنفيذي </w:t>
            </w:r>
            <w:r w:rsidRPr="00D17FDF">
              <w:rPr>
                <w:sz w:val="24"/>
                <w:rtl/>
              </w:rPr>
              <w:t>162</w:t>
            </w:r>
          </w:p>
        </w:tc>
      </w:tr>
      <w:tr w:rsidR="00B96BCF" w:rsidRPr="00E57CB9" w14:paraId="4CF90D4D" w14:textId="77777777" w:rsidTr="007D2CE3">
        <w:trPr>
          <w:cantSplit/>
        </w:trPr>
        <w:tc>
          <w:tcPr>
            <w:tcW w:w="786" w:type="pct"/>
            <w:vMerge/>
            <w:shd w:val="clear" w:color="auto" w:fill="auto"/>
          </w:tcPr>
          <w:p w14:paraId="01937F59" w14:textId="77777777" w:rsidR="00B96BCF" w:rsidRPr="00D17FDF" w:rsidRDefault="00B96BCF" w:rsidP="00180606">
            <w:pPr>
              <w:bidi/>
              <w:spacing w:before="120"/>
              <w:jc w:val="both"/>
              <w:rPr>
                <w:b/>
                <w:sz w:val="24"/>
              </w:rPr>
            </w:pPr>
          </w:p>
        </w:tc>
        <w:tc>
          <w:tcPr>
            <w:tcW w:w="3418" w:type="pct"/>
            <w:shd w:val="clear" w:color="auto" w:fill="auto"/>
            <w:vAlign w:val="center"/>
          </w:tcPr>
          <w:p w14:paraId="12891A27" w14:textId="06CBB9F3" w:rsidR="00B96BCF" w:rsidRPr="00D17FDF" w:rsidRDefault="00614AE4" w:rsidP="00180606">
            <w:pPr>
              <w:keepLines/>
              <w:bidi/>
              <w:spacing w:before="120"/>
              <w:jc w:val="both"/>
              <w:rPr>
                <w:sz w:val="24"/>
              </w:rPr>
            </w:pPr>
            <w:r w:rsidRPr="00D17FDF">
              <w:rPr>
                <w:sz w:val="24"/>
                <w:rtl/>
              </w:rPr>
              <w:t>9-3 مشاركة ممارسي التراث الثقافي غير المادي وحملته في إدارة نتائج البحوث والدراسات العلمية والتقنية والفنية، المنجزة بموافقتهم الحرة والمسبقة والمستنيرة، وتنفيذها، ونشرها.</w:t>
            </w:r>
          </w:p>
        </w:tc>
        <w:tc>
          <w:tcPr>
            <w:tcW w:w="796" w:type="pct"/>
            <w:shd w:val="clear" w:color="auto" w:fill="auto"/>
            <w:vAlign w:val="center"/>
          </w:tcPr>
          <w:p w14:paraId="4F045054" w14:textId="1C858C52" w:rsidR="00DE41A8" w:rsidRPr="00D17FDF" w:rsidRDefault="00DE41A8" w:rsidP="00180606">
            <w:pPr>
              <w:bidi/>
              <w:spacing w:before="60" w:after="60"/>
              <w:jc w:val="both"/>
              <w:rPr>
                <w:sz w:val="24"/>
              </w:rPr>
            </w:pPr>
            <w:r w:rsidRPr="00D17FDF">
              <w:rPr>
                <w:sz w:val="24"/>
                <w:rtl/>
              </w:rPr>
              <w:t xml:space="preserve">التوجيه </w:t>
            </w:r>
            <w:r w:rsidR="00213817" w:rsidRPr="00D17FDF">
              <w:rPr>
                <w:rFonts w:hint="cs"/>
                <w:sz w:val="24"/>
                <w:rtl/>
              </w:rPr>
              <w:t>التنفيذي</w:t>
            </w:r>
            <w:r w:rsidRPr="00D17FDF">
              <w:rPr>
                <w:sz w:val="24"/>
                <w:rtl/>
              </w:rPr>
              <w:t xml:space="preserve"> 10</w:t>
            </w:r>
            <w:r w:rsidR="00851A80" w:rsidRPr="00D17FDF">
              <w:rPr>
                <w:sz w:val="24"/>
                <w:rtl/>
              </w:rPr>
              <w:t xml:space="preserve">9 (أ)، </w:t>
            </w:r>
            <w:r w:rsidR="00213817" w:rsidRPr="00D17FDF">
              <w:rPr>
                <w:rFonts w:hint="cs"/>
                <w:sz w:val="24"/>
                <w:rtl/>
              </w:rPr>
              <w:t>و</w:t>
            </w:r>
            <w:r w:rsidR="00851A80" w:rsidRPr="00D17FDF">
              <w:rPr>
                <w:sz w:val="24"/>
                <w:rtl/>
              </w:rPr>
              <w:t xml:space="preserve">التوجيه </w:t>
            </w:r>
            <w:r w:rsidR="00213817" w:rsidRPr="00D17FDF">
              <w:rPr>
                <w:rFonts w:hint="cs"/>
                <w:sz w:val="24"/>
                <w:rtl/>
              </w:rPr>
              <w:t xml:space="preserve">التنفيذي </w:t>
            </w:r>
            <w:r w:rsidR="00851A80" w:rsidRPr="00D17FDF">
              <w:rPr>
                <w:sz w:val="24"/>
                <w:rtl/>
              </w:rPr>
              <w:t>109 (ه</w:t>
            </w:r>
            <w:r w:rsidR="00F75420" w:rsidRPr="00D17FDF">
              <w:rPr>
                <w:rFonts w:hint="cs"/>
                <w:sz w:val="24"/>
                <w:rtl/>
              </w:rPr>
              <w:t>ـ</w:t>
            </w:r>
            <w:r w:rsidR="00851A80" w:rsidRPr="00D17FDF">
              <w:rPr>
                <w:sz w:val="24"/>
                <w:rtl/>
              </w:rPr>
              <w:t>)</w:t>
            </w:r>
            <w:r w:rsidR="006351E9" w:rsidRPr="00D17FDF">
              <w:rPr>
                <w:rFonts w:hint="cs"/>
                <w:sz w:val="24"/>
                <w:rtl/>
              </w:rPr>
              <w:t xml:space="preserve">، </w:t>
            </w:r>
            <w:r w:rsidR="0056595D" w:rsidRPr="00D17FDF">
              <w:rPr>
                <w:rFonts w:hint="cs"/>
                <w:sz w:val="24"/>
                <w:rtl/>
              </w:rPr>
              <w:t>و</w:t>
            </w:r>
            <w:r w:rsidR="00851A80" w:rsidRPr="00D17FDF">
              <w:rPr>
                <w:sz w:val="24"/>
                <w:rtl/>
              </w:rPr>
              <w:t xml:space="preserve">التوجيه </w:t>
            </w:r>
            <w:r w:rsidR="00213817" w:rsidRPr="00D17FDF">
              <w:rPr>
                <w:rFonts w:hint="cs"/>
                <w:sz w:val="24"/>
                <w:rtl/>
              </w:rPr>
              <w:t xml:space="preserve">التنفيذي </w:t>
            </w:r>
            <w:r w:rsidR="00851A80" w:rsidRPr="00D17FDF">
              <w:rPr>
                <w:sz w:val="24"/>
                <w:rtl/>
              </w:rPr>
              <w:t>153 (ب) (2)</w:t>
            </w:r>
            <w:r w:rsidR="006351E9" w:rsidRPr="00D17FDF">
              <w:rPr>
                <w:rFonts w:hint="cs"/>
                <w:sz w:val="24"/>
                <w:rtl/>
              </w:rPr>
              <w:t>،</w:t>
            </w:r>
            <w:r w:rsidR="00851A80" w:rsidRPr="00D17FDF">
              <w:rPr>
                <w:rFonts w:hint="cs"/>
                <w:sz w:val="24"/>
                <w:rtl/>
              </w:rPr>
              <w:t xml:space="preserve"> </w:t>
            </w:r>
            <w:r w:rsidR="006351E9" w:rsidRPr="00D17FDF">
              <w:rPr>
                <w:rFonts w:hint="cs"/>
                <w:sz w:val="24"/>
                <w:rtl/>
              </w:rPr>
              <w:t>و</w:t>
            </w:r>
            <w:r w:rsidRPr="00D17FDF">
              <w:rPr>
                <w:sz w:val="24"/>
                <w:rtl/>
              </w:rPr>
              <w:t>التوجيه</w:t>
            </w:r>
            <w:r w:rsidR="006351E9" w:rsidRPr="00D17FDF">
              <w:rPr>
                <w:rFonts w:hint="cs"/>
                <w:sz w:val="24"/>
                <w:rtl/>
              </w:rPr>
              <w:t xml:space="preserve"> </w:t>
            </w:r>
            <w:r w:rsidR="00213817" w:rsidRPr="00D17FDF">
              <w:rPr>
                <w:rFonts w:hint="cs"/>
                <w:sz w:val="24"/>
                <w:rtl/>
              </w:rPr>
              <w:t xml:space="preserve">التنفيذي </w:t>
            </w:r>
            <w:r w:rsidRPr="00D17FDF">
              <w:rPr>
                <w:sz w:val="24"/>
                <w:rtl/>
              </w:rPr>
              <w:t>175</w:t>
            </w:r>
          </w:p>
          <w:p w14:paraId="60919B20" w14:textId="08D4DE3A" w:rsidR="00B96BCF" w:rsidRPr="00D17FDF" w:rsidRDefault="0022422F" w:rsidP="00180606">
            <w:pPr>
              <w:keepLines/>
              <w:bidi/>
              <w:spacing w:before="120"/>
              <w:jc w:val="both"/>
              <w:rPr>
                <w:sz w:val="24"/>
              </w:rPr>
            </w:pPr>
            <w:r w:rsidRPr="00D17FDF">
              <w:rPr>
                <w:rFonts w:asciiTheme="majorBidi" w:hAnsiTheme="majorBidi"/>
                <w:sz w:val="24"/>
                <w:rtl/>
              </w:rPr>
              <w:t>المبد</w:t>
            </w:r>
            <w:r w:rsidR="006351E9" w:rsidRPr="00D17FDF">
              <w:rPr>
                <w:rFonts w:asciiTheme="majorBidi" w:hAnsiTheme="majorBidi" w:hint="cs"/>
                <w:sz w:val="24"/>
                <w:rtl/>
              </w:rPr>
              <w:t>أ</w:t>
            </w:r>
            <w:r w:rsidRPr="00D17FDF">
              <w:rPr>
                <w:rFonts w:asciiTheme="majorBidi" w:hAnsiTheme="majorBidi"/>
                <w:sz w:val="24"/>
                <w:rtl/>
              </w:rPr>
              <w:t xml:space="preserve"> الأخلاقي </w:t>
            </w:r>
            <w:r w:rsidR="00DE41A8" w:rsidRPr="00D17FDF">
              <w:rPr>
                <w:sz w:val="24"/>
                <w:rtl/>
              </w:rPr>
              <w:t xml:space="preserve">1، </w:t>
            </w:r>
            <w:r w:rsidRPr="00D17FDF">
              <w:rPr>
                <w:rFonts w:hint="cs"/>
                <w:sz w:val="24"/>
                <w:rtl/>
              </w:rPr>
              <w:t>و</w:t>
            </w:r>
            <w:r w:rsidRPr="00D17FDF">
              <w:rPr>
                <w:sz w:val="24"/>
                <w:rtl/>
              </w:rPr>
              <w:t>المبد</w:t>
            </w:r>
            <w:r w:rsidR="006351E9" w:rsidRPr="00D17FDF">
              <w:rPr>
                <w:rFonts w:hint="cs"/>
                <w:sz w:val="24"/>
                <w:rtl/>
              </w:rPr>
              <w:t>أ</w:t>
            </w:r>
            <w:r w:rsidRPr="00D17FDF">
              <w:rPr>
                <w:sz w:val="24"/>
                <w:rtl/>
              </w:rPr>
              <w:t xml:space="preserve"> الأخلاقي </w:t>
            </w:r>
            <w:r w:rsidR="00DE41A8" w:rsidRPr="00D17FDF">
              <w:rPr>
                <w:sz w:val="24"/>
                <w:rtl/>
              </w:rPr>
              <w:t>7</w:t>
            </w:r>
          </w:p>
        </w:tc>
      </w:tr>
      <w:tr w:rsidR="005473CF" w:rsidRPr="00E57CB9" w14:paraId="6B3CCFC5" w14:textId="77777777" w:rsidTr="007D2CE3">
        <w:trPr>
          <w:cantSplit/>
        </w:trPr>
        <w:tc>
          <w:tcPr>
            <w:tcW w:w="786" w:type="pct"/>
            <w:shd w:val="clear" w:color="auto" w:fill="auto"/>
          </w:tcPr>
          <w:p w14:paraId="09803012" w14:textId="32599FC8" w:rsidR="005473CF" w:rsidRPr="00D17FDF" w:rsidRDefault="007D2CE3" w:rsidP="00180606">
            <w:pPr>
              <w:bidi/>
              <w:spacing w:before="120"/>
              <w:jc w:val="both"/>
              <w:rPr>
                <w:b/>
                <w:sz w:val="24"/>
              </w:rPr>
            </w:pPr>
            <w:r w:rsidRPr="00D17FDF">
              <w:rPr>
                <w:b/>
                <w:bCs/>
                <w:sz w:val="24"/>
                <w:rtl/>
              </w:rPr>
              <w:t>العلاقة مع أهداف التنمية المستدامة والمؤشرات الأخرى</w:t>
            </w:r>
          </w:p>
        </w:tc>
        <w:tc>
          <w:tcPr>
            <w:tcW w:w="4214" w:type="pct"/>
            <w:gridSpan w:val="2"/>
            <w:shd w:val="clear" w:color="auto" w:fill="auto"/>
          </w:tcPr>
          <w:p w14:paraId="15C0E800" w14:textId="50C91DB4" w:rsidR="005473CF" w:rsidRPr="00D17FDF" w:rsidRDefault="00361679" w:rsidP="00180606">
            <w:pPr>
              <w:keepLines/>
              <w:bidi/>
              <w:spacing w:before="120"/>
              <w:jc w:val="both"/>
              <w:rPr>
                <w:sz w:val="24"/>
              </w:rPr>
            </w:pPr>
            <w:r w:rsidRPr="00D17FDF">
              <w:rPr>
                <w:b/>
                <w:bCs/>
                <w:sz w:val="24"/>
                <w:rtl/>
              </w:rPr>
              <w:t xml:space="preserve">أهداف التنمية المستدامة: </w:t>
            </w:r>
            <w:r w:rsidRPr="00D17FDF">
              <w:rPr>
                <w:sz w:val="24"/>
                <w:rtl/>
              </w:rPr>
              <w:t xml:space="preserve">يستجيب هذا المؤشر للغاية 11-4 من أهداف التنمية المستدامة، "تعزيز الجهود الرامية إلى حماية وصون التراث الثقافي والطبيعي العالمي". وعلى نطاق أوسع، قد يكون للبحث والتوثيق بشأن التراث الثقافي غير المادي وصونه </w:t>
            </w:r>
            <w:r w:rsidR="00BF57E3" w:rsidRPr="00D17FDF">
              <w:rPr>
                <w:rFonts w:hint="cs"/>
                <w:sz w:val="24"/>
                <w:rtl/>
              </w:rPr>
              <w:t>أثر</w:t>
            </w:r>
            <w:r w:rsidR="006651FD" w:rsidRPr="00D17FDF">
              <w:rPr>
                <w:rFonts w:hint="cs"/>
                <w:sz w:val="24"/>
                <w:rtl/>
              </w:rPr>
              <w:t>ًا</w:t>
            </w:r>
            <w:r w:rsidRPr="00D17FDF">
              <w:rPr>
                <w:sz w:val="24"/>
                <w:rtl/>
              </w:rPr>
              <w:t xml:space="preserve"> على مجموعة من أهداف التنمية المستدامة، مثل تلك المتعلقة بالزراعة المستدامة (الهدف</w:t>
            </w:r>
            <w:r w:rsidR="006651FD" w:rsidRPr="00D17FDF">
              <w:rPr>
                <w:rFonts w:hint="cs"/>
                <w:sz w:val="24"/>
                <w:rtl/>
              </w:rPr>
              <w:t xml:space="preserve"> </w:t>
            </w:r>
            <w:r w:rsidR="006651FD" w:rsidRPr="00D17FDF">
              <w:rPr>
                <w:sz w:val="24"/>
                <w:rtl/>
              </w:rPr>
              <w:t>التنمية المستدامة</w:t>
            </w:r>
            <w:r w:rsidRPr="00D17FDF">
              <w:rPr>
                <w:sz w:val="24"/>
                <w:rtl/>
              </w:rPr>
              <w:t xml:space="preserve"> 2)، والصحة والرفاه (الهدف</w:t>
            </w:r>
            <w:r w:rsidR="006651FD" w:rsidRPr="00D17FDF">
              <w:rPr>
                <w:rFonts w:hint="cs"/>
                <w:sz w:val="24"/>
                <w:rtl/>
              </w:rPr>
              <w:t xml:space="preserve"> </w:t>
            </w:r>
            <w:r w:rsidR="006651FD" w:rsidRPr="00D17FDF">
              <w:rPr>
                <w:sz w:val="24"/>
                <w:rtl/>
              </w:rPr>
              <w:t>التنمية المستدامة</w:t>
            </w:r>
            <w:r w:rsidRPr="00D17FDF">
              <w:rPr>
                <w:sz w:val="24"/>
                <w:rtl/>
              </w:rPr>
              <w:t xml:space="preserve"> 3)، والاستخدام المستدام للمياه (الهدف</w:t>
            </w:r>
            <w:r w:rsidR="006651FD" w:rsidRPr="00D17FDF">
              <w:rPr>
                <w:rFonts w:hint="cs"/>
                <w:sz w:val="24"/>
                <w:rtl/>
              </w:rPr>
              <w:t xml:space="preserve"> </w:t>
            </w:r>
            <w:r w:rsidR="006651FD" w:rsidRPr="00D17FDF">
              <w:rPr>
                <w:sz w:val="24"/>
                <w:rtl/>
              </w:rPr>
              <w:t>التنمية المستدامة</w:t>
            </w:r>
            <w:r w:rsidRPr="00D17FDF">
              <w:rPr>
                <w:sz w:val="24"/>
                <w:rtl/>
              </w:rPr>
              <w:t xml:space="preserve"> 6)، والتنوع البيولوجي (الهدف</w:t>
            </w:r>
            <w:r w:rsidR="007A593F" w:rsidRPr="00D17FDF">
              <w:rPr>
                <w:rFonts w:hint="cs"/>
                <w:sz w:val="24"/>
                <w:rtl/>
              </w:rPr>
              <w:t xml:space="preserve"> </w:t>
            </w:r>
            <w:r w:rsidR="007A593F" w:rsidRPr="00D17FDF">
              <w:rPr>
                <w:sz w:val="24"/>
                <w:rtl/>
              </w:rPr>
              <w:t>التنمية المستدامة</w:t>
            </w:r>
            <w:r w:rsidRPr="00D17FDF">
              <w:rPr>
                <w:sz w:val="24"/>
                <w:rtl/>
              </w:rPr>
              <w:t xml:space="preserve"> 15)، إلخ.</w:t>
            </w:r>
          </w:p>
          <w:p w14:paraId="24910A17" w14:textId="071BB1B2" w:rsidR="005473CF" w:rsidRPr="00D17FDF" w:rsidRDefault="009D4AC1" w:rsidP="00180606">
            <w:pPr>
              <w:keepLines/>
              <w:bidi/>
              <w:spacing w:before="120"/>
              <w:jc w:val="both"/>
              <w:rPr>
                <w:bCs/>
                <w:sz w:val="24"/>
              </w:rPr>
            </w:pPr>
            <w:r w:rsidRPr="00D17FDF">
              <w:rPr>
                <w:bCs/>
                <w:sz w:val="24"/>
                <w:rtl/>
              </w:rPr>
              <w:t>العلاقة بالمؤشرات الأخرى:</w:t>
            </w:r>
            <w:r w:rsidRPr="00D17FDF">
              <w:rPr>
                <w:b/>
                <w:sz w:val="24"/>
                <w:rtl/>
              </w:rPr>
              <w:t xml:space="preserve"> ينبغي تناول هذا المؤشر مع المؤشر 10. وينصب التركيز هنا على عمليات البحث والتوثيق</w:t>
            </w:r>
            <w:r w:rsidR="00B12738" w:rsidRPr="00D17FDF">
              <w:rPr>
                <w:rFonts w:hint="cs"/>
                <w:b/>
                <w:sz w:val="24"/>
                <w:rtl/>
              </w:rPr>
              <w:t>،</w:t>
            </w:r>
            <w:r w:rsidRPr="00D17FDF">
              <w:rPr>
                <w:b/>
                <w:sz w:val="24"/>
                <w:rtl/>
              </w:rPr>
              <w:t xml:space="preserve"> وكيفية إجراؤها</w:t>
            </w:r>
            <w:r w:rsidR="00B12738" w:rsidRPr="00D17FDF">
              <w:rPr>
                <w:rFonts w:hint="cs"/>
                <w:b/>
                <w:sz w:val="24"/>
                <w:rtl/>
              </w:rPr>
              <w:t>،</w:t>
            </w:r>
            <w:r w:rsidRPr="00D17FDF">
              <w:rPr>
                <w:b/>
                <w:sz w:val="24"/>
                <w:rtl/>
              </w:rPr>
              <w:t xml:space="preserve"> ودعمها بما يتماشى مع روح الاتفاقية </w:t>
            </w:r>
            <w:r w:rsidR="00D620E7" w:rsidRPr="00D17FDF">
              <w:rPr>
                <w:rFonts w:hint="cs"/>
                <w:b/>
                <w:sz w:val="24"/>
                <w:rtl/>
              </w:rPr>
              <w:t>وهدفها</w:t>
            </w:r>
            <w:r w:rsidRPr="00D17FDF">
              <w:rPr>
                <w:b/>
                <w:sz w:val="24"/>
                <w:rtl/>
              </w:rPr>
              <w:t xml:space="preserve">. يسلط المؤشر 10 الضوء على </w:t>
            </w:r>
            <w:r w:rsidR="00D62FA0" w:rsidRPr="00D17FDF">
              <w:rPr>
                <w:rFonts w:hint="cs"/>
                <w:b/>
                <w:sz w:val="24"/>
                <w:rtl/>
              </w:rPr>
              <w:t>نتاج</w:t>
            </w:r>
            <w:r w:rsidR="00D80F43" w:rsidRPr="00D17FDF">
              <w:rPr>
                <w:rFonts w:hint="cs"/>
                <w:b/>
                <w:sz w:val="24"/>
                <w:rtl/>
              </w:rPr>
              <w:t xml:space="preserve"> </w:t>
            </w:r>
            <w:r w:rsidR="00164289" w:rsidRPr="00D17FDF">
              <w:rPr>
                <w:rFonts w:hint="cs"/>
                <w:b/>
                <w:sz w:val="24"/>
                <w:rtl/>
              </w:rPr>
              <w:t>ا</w:t>
            </w:r>
            <w:r w:rsidRPr="00D17FDF">
              <w:rPr>
                <w:b/>
                <w:sz w:val="24"/>
                <w:rtl/>
              </w:rPr>
              <w:t>لبحث</w:t>
            </w:r>
            <w:r w:rsidR="00DE697B" w:rsidRPr="00D17FDF">
              <w:rPr>
                <w:rFonts w:hint="cs"/>
                <w:b/>
                <w:sz w:val="24"/>
                <w:rtl/>
              </w:rPr>
              <w:t xml:space="preserve"> </w:t>
            </w:r>
            <w:r w:rsidRPr="00D17FDF">
              <w:rPr>
                <w:b/>
                <w:sz w:val="24"/>
                <w:rtl/>
              </w:rPr>
              <w:t>والتوثيق و</w:t>
            </w:r>
            <w:r w:rsidR="00164289" w:rsidRPr="00D17FDF">
              <w:rPr>
                <w:rFonts w:hint="cs"/>
                <w:b/>
                <w:sz w:val="24"/>
                <w:rtl/>
              </w:rPr>
              <w:t>نتائجهما</w:t>
            </w:r>
            <w:r w:rsidR="00B12738" w:rsidRPr="00D17FDF">
              <w:rPr>
                <w:rFonts w:hint="cs"/>
                <w:b/>
                <w:sz w:val="24"/>
                <w:rtl/>
              </w:rPr>
              <w:t>،</w:t>
            </w:r>
            <w:r w:rsidRPr="00D17FDF">
              <w:rPr>
                <w:b/>
                <w:sz w:val="24"/>
                <w:rtl/>
              </w:rPr>
              <w:t xml:space="preserve"> وكيفية استخدام هذ</w:t>
            </w:r>
            <w:r w:rsidR="00D62FA0" w:rsidRPr="00D17FDF">
              <w:rPr>
                <w:rFonts w:hint="cs"/>
                <w:b/>
                <w:sz w:val="24"/>
                <w:rtl/>
              </w:rPr>
              <w:t xml:space="preserve">ا النتاج </w:t>
            </w:r>
            <w:r w:rsidRPr="00D17FDF">
              <w:rPr>
                <w:b/>
                <w:sz w:val="24"/>
                <w:rtl/>
              </w:rPr>
              <w:t>لتحسين الصون وتعزيز صنع السياسات. وبالتركيز على عمليات البحث والتوثيق ونتائجهما</w:t>
            </w:r>
            <w:r w:rsidR="00D80F43" w:rsidRPr="00D17FDF">
              <w:rPr>
                <w:rFonts w:hint="cs"/>
                <w:b/>
                <w:sz w:val="24"/>
                <w:rtl/>
              </w:rPr>
              <w:t xml:space="preserve"> </w:t>
            </w:r>
            <w:r w:rsidR="00D80F43" w:rsidRPr="00D17FDF">
              <w:rPr>
                <w:b/>
                <w:sz w:val="24"/>
                <w:rtl/>
              </w:rPr>
              <w:t>متوسطة المدى</w:t>
            </w:r>
            <w:r w:rsidRPr="00D17FDF">
              <w:rPr>
                <w:b/>
                <w:sz w:val="24"/>
                <w:rtl/>
              </w:rPr>
              <w:t>، يكمل هذان المؤشران المؤشر 1، المتعلق بتعزيز مؤسسات التوثيق، والمؤشر 24، المتعلق بالتعاون الدولي من خلال تبادل الوثائق. كما ينصب تركيز المؤشر 22 على الدراسات العلمية والتقنية والفنية، ولكن موضوع الدراسة هنا ليس التراث الثقافي غير المادي نفسه، بل بالأحرى برامج صون هذا التراث وتدابيره.</w:t>
            </w:r>
          </w:p>
        </w:tc>
      </w:tr>
      <w:tr w:rsidR="00896177" w:rsidRPr="00E57CB9" w14:paraId="78A3C040" w14:textId="77777777" w:rsidTr="007D2CE3">
        <w:trPr>
          <w:cantSplit/>
        </w:trPr>
        <w:tc>
          <w:tcPr>
            <w:tcW w:w="786" w:type="pct"/>
            <w:shd w:val="clear" w:color="auto" w:fill="auto"/>
          </w:tcPr>
          <w:p w14:paraId="16FBBA58" w14:textId="186C0A25" w:rsidR="00896177" w:rsidRPr="00D17FDF" w:rsidRDefault="007D2CE3" w:rsidP="00180606">
            <w:pPr>
              <w:bidi/>
              <w:spacing w:before="120"/>
              <w:jc w:val="both"/>
              <w:rPr>
                <w:b/>
                <w:sz w:val="24"/>
              </w:rPr>
            </w:pPr>
            <w:r w:rsidRPr="00D17FDF">
              <w:rPr>
                <w:b/>
                <w:bCs/>
                <w:sz w:val="24"/>
                <w:rtl/>
              </w:rPr>
              <w:t xml:space="preserve">الأسس المنطقية </w:t>
            </w:r>
            <w:proofErr w:type="spellStart"/>
            <w:r w:rsidR="00CD4859" w:rsidRPr="00D17FDF">
              <w:rPr>
                <w:rFonts w:hint="cs"/>
                <w:b/>
                <w:bCs/>
                <w:sz w:val="24"/>
                <w:rtl/>
              </w:rPr>
              <w:t>للاجراءات</w:t>
            </w:r>
            <w:proofErr w:type="spellEnd"/>
          </w:p>
        </w:tc>
        <w:tc>
          <w:tcPr>
            <w:tcW w:w="4214" w:type="pct"/>
            <w:gridSpan w:val="2"/>
            <w:shd w:val="clear" w:color="auto" w:fill="auto"/>
          </w:tcPr>
          <w:p w14:paraId="52288C86" w14:textId="1C8429DD" w:rsidR="00704766" w:rsidRPr="00D17FDF" w:rsidRDefault="00A44620" w:rsidP="00180606">
            <w:pPr>
              <w:keepLines/>
              <w:bidi/>
              <w:spacing w:before="120"/>
              <w:jc w:val="both"/>
              <w:rPr>
                <w:sz w:val="24"/>
              </w:rPr>
            </w:pPr>
            <w:r w:rsidRPr="00D17FDF">
              <w:rPr>
                <w:sz w:val="24"/>
                <w:rtl/>
              </w:rPr>
              <w:t xml:space="preserve">يحتل التوثيق والبحث مكانة بارزة ضمن التدابير التي </w:t>
            </w:r>
            <w:r w:rsidR="00852CE0" w:rsidRPr="00D17FDF">
              <w:rPr>
                <w:rFonts w:hint="cs"/>
                <w:sz w:val="24"/>
                <w:rtl/>
              </w:rPr>
              <w:t>تشكل</w:t>
            </w:r>
            <w:r w:rsidRPr="00D17FDF">
              <w:rPr>
                <w:sz w:val="24"/>
                <w:rtl/>
              </w:rPr>
              <w:t xml:space="preserve"> عملية الصون، كما هو مفهوم في المادة 2-3. </w:t>
            </w:r>
            <w:r w:rsidR="00852CE0" w:rsidRPr="00D17FDF">
              <w:rPr>
                <w:rFonts w:hint="cs"/>
                <w:sz w:val="24"/>
                <w:rtl/>
              </w:rPr>
              <w:t>يتم حث</w:t>
            </w:r>
            <w:r w:rsidRPr="00D17FDF">
              <w:rPr>
                <w:sz w:val="24"/>
                <w:rtl/>
              </w:rPr>
              <w:t xml:space="preserve"> الدول على "</w:t>
            </w:r>
            <w:r w:rsidR="009E7562" w:rsidRPr="00D17FDF">
              <w:rPr>
                <w:rFonts w:hint="cs"/>
                <w:sz w:val="24"/>
                <w:rtl/>
              </w:rPr>
              <w:t>تشجيع إجراء</w:t>
            </w:r>
            <w:r w:rsidR="009E7562" w:rsidRPr="00D17FDF">
              <w:rPr>
                <w:sz w:val="24"/>
                <w:rtl/>
              </w:rPr>
              <w:t xml:space="preserve"> دراسات </w:t>
            </w:r>
            <w:r w:rsidRPr="00D17FDF">
              <w:rPr>
                <w:sz w:val="24"/>
                <w:rtl/>
              </w:rPr>
              <w:t>علم</w:t>
            </w:r>
            <w:r w:rsidR="009E7562" w:rsidRPr="00D17FDF">
              <w:rPr>
                <w:sz w:val="24"/>
                <w:rtl/>
              </w:rPr>
              <w:t>ية وتقنية وفنية،</w:t>
            </w:r>
            <w:r w:rsidR="009E7562" w:rsidRPr="00D17FDF">
              <w:rPr>
                <w:rFonts w:hint="cs"/>
                <w:sz w:val="24"/>
                <w:rtl/>
              </w:rPr>
              <w:t xml:space="preserve"> وكذلك</w:t>
            </w:r>
            <w:r w:rsidR="009E7562" w:rsidRPr="00D17FDF">
              <w:rPr>
                <w:sz w:val="24"/>
                <w:rtl/>
              </w:rPr>
              <w:t xml:space="preserve"> منهجيات البحث، </w:t>
            </w:r>
            <w:r w:rsidR="009E7562" w:rsidRPr="00D17FDF">
              <w:rPr>
                <w:rFonts w:hint="cs"/>
                <w:sz w:val="24"/>
                <w:rtl/>
              </w:rPr>
              <w:t>من أجل</w:t>
            </w:r>
            <w:r w:rsidRPr="00D17FDF">
              <w:rPr>
                <w:sz w:val="24"/>
                <w:rtl/>
              </w:rPr>
              <w:t xml:space="preserve"> الصون الفعال" (المادة 13 (ج)). كما </w:t>
            </w:r>
            <w:r w:rsidR="00852CE0" w:rsidRPr="00D17FDF">
              <w:rPr>
                <w:rFonts w:hint="cs"/>
                <w:sz w:val="24"/>
                <w:rtl/>
              </w:rPr>
              <w:t>توضح</w:t>
            </w:r>
            <w:r w:rsidRPr="00D17FDF">
              <w:rPr>
                <w:sz w:val="24"/>
                <w:rtl/>
              </w:rPr>
              <w:t xml:space="preserve"> الأحكام المحددة من التوجيهات </w:t>
            </w:r>
            <w:r w:rsidR="00852CE0" w:rsidRPr="00D17FDF">
              <w:rPr>
                <w:rFonts w:hint="cs"/>
                <w:sz w:val="24"/>
                <w:rtl/>
              </w:rPr>
              <w:t>التنفيذية</w:t>
            </w:r>
            <w:r w:rsidRPr="00D17FDF">
              <w:rPr>
                <w:sz w:val="24"/>
                <w:rtl/>
              </w:rPr>
              <w:t xml:space="preserve"> نطاق هذا البحث وكيفية إجراؤه، مع تسليط الضوء على المشاركة الواسعة والفعالة لممارسي </w:t>
            </w:r>
            <w:r w:rsidR="00852CE0" w:rsidRPr="00D17FDF">
              <w:rPr>
                <w:rFonts w:hint="cs"/>
                <w:sz w:val="24"/>
                <w:rtl/>
              </w:rPr>
              <w:t>التراث وحملته</w:t>
            </w:r>
            <w:r w:rsidR="00CC3BCB" w:rsidRPr="00D17FDF">
              <w:rPr>
                <w:sz w:val="24"/>
                <w:rtl/>
              </w:rPr>
              <w:t xml:space="preserve"> </w:t>
            </w:r>
            <w:r w:rsidRPr="00D17FDF">
              <w:rPr>
                <w:sz w:val="24"/>
                <w:rtl/>
              </w:rPr>
              <w:t>في عملية البحث، بما في ذلك ضمان موافقتهم الحرة</w:t>
            </w:r>
            <w:r w:rsidR="00852CE0" w:rsidRPr="00D17FDF">
              <w:rPr>
                <w:rFonts w:hint="cs"/>
                <w:sz w:val="24"/>
                <w:rtl/>
              </w:rPr>
              <w:t>،</w:t>
            </w:r>
            <w:r w:rsidRPr="00D17FDF">
              <w:rPr>
                <w:sz w:val="24"/>
                <w:rtl/>
              </w:rPr>
              <w:t xml:space="preserve"> والمسبقة</w:t>
            </w:r>
            <w:r w:rsidR="00852CE0" w:rsidRPr="00D17FDF">
              <w:rPr>
                <w:rFonts w:hint="cs"/>
                <w:sz w:val="24"/>
                <w:rtl/>
              </w:rPr>
              <w:t>،</w:t>
            </w:r>
            <w:r w:rsidR="00ED7BB8" w:rsidRPr="00D17FDF">
              <w:rPr>
                <w:rFonts w:hint="cs"/>
                <w:sz w:val="24"/>
                <w:rtl/>
              </w:rPr>
              <w:t xml:space="preserve"> والمستدامة،</w:t>
            </w:r>
            <w:r w:rsidRPr="00D17FDF">
              <w:rPr>
                <w:sz w:val="24"/>
                <w:rtl/>
              </w:rPr>
              <w:t xml:space="preserve"> والمستنيرة. أُجري</w:t>
            </w:r>
            <w:r w:rsidR="00582402" w:rsidRPr="00D17FDF">
              <w:rPr>
                <w:sz w:val="24"/>
                <w:rtl/>
              </w:rPr>
              <w:t>ت عمليات</w:t>
            </w:r>
            <w:r w:rsidRPr="00D17FDF">
              <w:rPr>
                <w:sz w:val="24"/>
                <w:rtl/>
              </w:rPr>
              <w:t xml:space="preserve"> البحث والتوثيق لممارسات التراث الثقافي غير المادي وأشكال التعبير عنه بالطبع لعدة قرون في العديد من البلدان، لكن ت</w:t>
            </w:r>
            <w:r w:rsidR="001E70B9" w:rsidRPr="00D17FDF">
              <w:rPr>
                <w:rFonts w:hint="cs"/>
                <w:sz w:val="24"/>
                <w:rtl/>
              </w:rPr>
              <w:t>ؤ</w:t>
            </w:r>
            <w:r w:rsidRPr="00D17FDF">
              <w:rPr>
                <w:sz w:val="24"/>
                <w:rtl/>
              </w:rPr>
              <w:t xml:space="preserve">كد الاتفاقية أنه من الضروري توجيه مثل هذا العمل </w:t>
            </w:r>
            <w:r w:rsidR="001E70B9" w:rsidRPr="00D17FDF">
              <w:rPr>
                <w:rFonts w:hint="cs"/>
                <w:sz w:val="24"/>
                <w:rtl/>
              </w:rPr>
              <w:t>صوب</w:t>
            </w:r>
            <w:r w:rsidRPr="00D17FDF">
              <w:rPr>
                <w:sz w:val="24"/>
                <w:rtl/>
              </w:rPr>
              <w:t xml:space="preserve"> الصون. كما قد يشمل ذلك دراسات حول فعالية استراتيجيات و</w:t>
            </w:r>
            <w:r w:rsidR="00BF57E3" w:rsidRPr="00D17FDF">
              <w:rPr>
                <w:sz w:val="24"/>
                <w:rtl/>
              </w:rPr>
              <w:t>أساليب الصون المتنوعة و</w:t>
            </w:r>
            <w:r w:rsidR="00BF57E3" w:rsidRPr="00D17FDF">
              <w:rPr>
                <w:rFonts w:hint="cs"/>
                <w:sz w:val="24"/>
                <w:rtl/>
              </w:rPr>
              <w:t>أثارها</w:t>
            </w:r>
            <w:r w:rsidRPr="00D17FDF">
              <w:rPr>
                <w:sz w:val="24"/>
                <w:rtl/>
              </w:rPr>
              <w:t>.</w:t>
            </w:r>
          </w:p>
        </w:tc>
      </w:tr>
      <w:tr w:rsidR="00704766" w:rsidRPr="00E57CB9" w14:paraId="68D95CF1" w14:textId="77777777" w:rsidTr="007D2CE3">
        <w:trPr>
          <w:cantSplit/>
        </w:trPr>
        <w:tc>
          <w:tcPr>
            <w:tcW w:w="786" w:type="pct"/>
            <w:shd w:val="clear" w:color="auto" w:fill="auto"/>
          </w:tcPr>
          <w:p w14:paraId="71DB509E" w14:textId="2BF53935" w:rsidR="00704766" w:rsidRPr="00D17FDF" w:rsidRDefault="007D2CE3" w:rsidP="00180606">
            <w:pPr>
              <w:bidi/>
              <w:spacing w:before="120" w:after="60"/>
              <w:jc w:val="both"/>
              <w:rPr>
                <w:b/>
                <w:sz w:val="24"/>
              </w:rPr>
            </w:pPr>
            <w:r w:rsidRPr="00D17FDF">
              <w:rPr>
                <w:b/>
                <w:bCs/>
                <w:sz w:val="24"/>
                <w:rtl/>
              </w:rPr>
              <w:lastRenderedPageBreak/>
              <w:t>المصطلحات الرئيسية</w:t>
            </w:r>
          </w:p>
        </w:tc>
        <w:tc>
          <w:tcPr>
            <w:tcW w:w="4214" w:type="pct"/>
            <w:gridSpan w:val="2"/>
            <w:shd w:val="clear" w:color="auto" w:fill="auto"/>
          </w:tcPr>
          <w:p w14:paraId="67F61424" w14:textId="0851F8E5" w:rsidR="006A2171" w:rsidRPr="00D17FDF" w:rsidRDefault="00CD4859" w:rsidP="00180606">
            <w:pPr>
              <w:pStyle w:val="ListParagraph"/>
              <w:numPr>
                <w:ilvl w:val="0"/>
                <w:numId w:val="71"/>
              </w:numPr>
              <w:bidi/>
              <w:spacing w:before="120"/>
              <w:jc w:val="both"/>
              <w:rPr>
                <w:rFonts w:ascii="Times New Roman" w:hAnsi="Times New Roman"/>
                <w:sz w:val="24"/>
                <w:szCs w:val="24"/>
                <w:lang w:val="en-GB"/>
              </w:rPr>
            </w:pPr>
            <w:r w:rsidRPr="00D17FDF">
              <w:rPr>
                <w:rFonts w:ascii="Times New Roman" w:hAnsi="Times New Roman" w:hint="cs"/>
                <w:sz w:val="24"/>
                <w:szCs w:val="24"/>
                <w:rtl/>
                <w:lang w:val="en-GB"/>
              </w:rPr>
              <w:t>ال</w:t>
            </w:r>
            <w:r w:rsidR="009E7562" w:rsidRPr="00D17FDF">
              <w:rPr>
                <w:rFonts w:ascii="Times New Roman" w:hAnsi="Times New Roman"/>
                <w:sz w:val="24"/>
                <w:szCs w:val="24"/>
                <w:rtl/>
                <w:lang w:val="en-GB"/>
              </w:rPr>
              <w:t xml:space="preserve">دراسات </w:t>
            </w:r>
            <w:r w:rsidRPr="00D17FDF">
              <w:rPr>
                <w:rFonts w:ascii="Times New Roman" w:hAnsi="Times New Roman" w:hint="cs"/>
                <w:sz w:val="24"/>
                <w:szCs w:val="24"/>
                <w:rtl/>
                <w:lang w:val="en-GB"/>
              </w:rPr>
              <w:t>ال</w:t>
            </w:r>
            <w:r w:rsidR="009E7562" w:rsidRPr="00D17FDF">
              <w:rPr>
                <w:rFonts w:ascii="Times New Roman" w:hAnsi="Times New Roman"/>
                <w:sz w:val="24"/>
                <w:szCs w:val="24"/>
                <w:rtl/>
                <w:lang w:val="en-GB"/>
              </w:rPr>
              <w:t>علمية و</w:t>
            </w:r>
            <w:r w:rsidRPr="00D17FDF">
              <w:rPr>
                <w:rFonts w:ascii="Times New Roman" w:hAnsi="Times New Roman" w:hint="cs"/>
                <w:sz w:val="24"/>
                <w:szCs w:val="24"/>
                <w:rtl/>
                <w:lang w:val="en-GB"/>
              </w:rPr>
              <w:t>ال</w:t>
            </w:r>
            <w:r w:rsidR="009E7562" w:rsidRPr="00D17FDF">
              <w:rPr>
                <w:rFonts w:ascii="Times New Roman" w:hAnsi="Times New Roman"/>
                <w:sz w:val="24"/>
                <w:szCs w:val="24"/>
                <w:rtl/>
                <w:lang w:val="en-GB"/>
              </w:rPr>
              <w:t>تقنية و</w:t>
            </w:r>
            <w:r w:rsidRPr="00D17FDF">
              <w:rPr>
                <w:rFonts w:ascii="Times New Roman" w:hAnsi="Times New Roman" w:hint="cs"/>
                <w:sz w:val="24"/>
                <w:szCs w:val="24"/>
                <w:rtl/>
                <w:lang w:val="en-GB"/>
              </w:rPr>
              <w:t>ال</w:t>
            </w:r>
            <w:r w:rsidR="006A2171" w:rsidRPr="00D17FDF">
              <w:rPr>
                <w:rFonts w:ascii="Times New Roman" w:hAnsi="Times New Roman"/>
                <w:sz w:val="24"/>
                <w:szCs w:val="24"/>
                <w:rtl/>
                <w:lang w:val="en-GB"/>
              </w:rPr>
              <w:t>فنية</w:t>
            </w:r>
          </w:p>
          <w:p w14:paraId="666F9A38" w14:textId="24EF3850" w:rsidR="006A2171" w:rsidRPr="00D17FDF" w:rsidRDefault="00CD4859" w:rsidP="00180606">
            <w:pPr>
              <w:pStyle w:val="ListParagraph"/>
              <w:numPr>
                <w:ilvl w:val="0"/>
                <w:numId w:val="71"/>
              </w:numPr>
              <w:bidi/>
              <w:spacing w:before="120"/>
              <w:jc w:val="both"/>
              <w:rPr>
                <w:rFonts w:ascii="Times New Roman" w:hAnsi="Times New Roman"/>
                <w:sz w:val="24"/>
                <w:szCs w:val="24"/>
                <w:lang w:val="en-GB"/>
              </w:rPr>
            </w:pPr>
            <w:r w:rsidRPr="00D17FDF">
              <w:rPr>
                <w:rFonts w:ascii="Times New Roman" w:hAnsi="Times New Roman" w:hint="cs"/>
                <w:sz w:val="24"/>
                <w:szCs w:val="24"/>
                <w:rtl/>
                <w:lang w:val="en-GB"/>
              </w:rPr>
              <w:t>ال</w:t>
            </w:r>
            <w:r w:rsidR="009E7562" w:rsidRPr="00D17FDF">
              <w:rPr>
                <w:rFonts w:ascii="Times New Roman" w:hAnsi="Times New Roman"/>
                <w:sz w:val="24"/>
                <w:szCs w:val="24"/>
                <w:rtl/>
                <w:lang w:val="en-GB"/>
              </w:rPr>
              <w:t xml:space="preserve">مبادئ </w:t>
            </w:r>
            <w:r w:rsidRPr="00D17FDF">
              <w:rPr>
                <w:rFonts w:ascii="Times New Roman" w:hAnsi="Times New Roman" w:hint="cs"/>
                <w:sz w:val="24"/>
                <w:szCs w:val="24"/>
                <w:rtl/>
                <w:lang w:val="en-GB"/>
              </w:rPr>
              <w:t>ال</w:t>
            </w:r>
            <w:r w:rsidR="006A2171" w:rsidRPr="00D17FDF">
              <w:rPr>
                <w:rFonts w:ascii="Times New Roman" w:hAnsi="Times New Roman"/>
                <w:sz w:val="24"/>
                <w:szCs w:val="24"/>
                <w:rtl/>
                <w:lang w:val="en-GB"/>
              </w:rPr>
              <w:t>أخلاقية لصون التراث الثقافي غير المادي</w:t>
            </w:r>
          </w:p>
          <w:p w14:paraId="627C3AD2" w14:textId="77D342C8" w:rsidR="006A2171" w:rsidRPr="00D17FDF" w:rsidRDefault="006A2171" w:rsidP="00180606">
            <w:pPr>
              <w:pStyle w:val="ListParagraph"/>
              <w:numPr>
                <w:ilvl w:val="0"/>
                <w:numId w:val="71"/>
              </w:numPr>
              <w:bidi/>
              <w:spacing w:before="120"/>
              <w:jc w:val="both"/>
              <w:rPr>
                <w:rFonts w:ascii="Times New Roman" w:hAnsi="Times New Roman"/>
                <w:sz w:val="24"/>
                <w:szCs w:val="24"/>
                <w:lang w:val="en-GB"/>
              </w:rPr>
            </w:pPr>
            <w:r w:rsidRPr="00D17FDF">
              <w:rPr>
                <w:rFonts w:ascii="Times New Roman" w:hAnsi="Times New Roman"/>
                <w:sz w:val="24"/>
                <w:szCs w:val="24"/>
                <w:rtl/>
                <w:lang w:val="en-GB"/>
              </w:rPr>
              <w:t>عناصر التراث الثقافي غير المادي</w:t>
            </w:r>
          </w:p>
          <w:p w14:paraId="52E97A62" w14:textId="214A60AD" w:rsidR="006A2171" w:rsidRPr="00D17FDF" w:rsidRDefault="006A2171" w:rsidP="00180606">
            <w:pPr>
              <w:pStyle w:val="ListParagraph"/>
              <w:numPr>
                <w:ilvl w:val="0"/>
                <w:numId w:val="71"/>
              </w:numPr>
              <w:bidi/>
              <w:spacing w:before="120"/>
              <w:jc w:val="both"/>
              <w:rPr>
                <w:rFonts w:ascii="Times New Roman" w:hAnsi="Times New Roman"/>
                <w:sz w:val="24"/>
                <w:szCs w:val="24"/>
                <w:lang w:val="en-GB"/>
              </w:rPr>
            </w:pPr>
            <w:r w:rsidRPr="00D17FDF">
              <w:rPr>
                <w:rFonts w:ascii="Times New Roman" w:hAnsi="Times New Roman"/>
                <w:sz w:val="24"/>
                <w:szCs w:val="24"/>
                <w:rtl/>
                <w:lang w:val="en-GB"/>
              </w:rPr>
              <w:t>مدرج (سواء كان مدرجًا أم لا)</w:t>
            </w:r>
          </w:p>
          <w:p w14:paraId="6208D140" w14:textId="546455BB" w:rsidR="006A2171" w:rsidRPr="00D17FDF" w:rsidRDefault="009E7562" w:rsidP="00180606">
            <w:pPr>
              <w:pStyle w:val="ListParagraph"/>
              <w:numPr>
                <w:ilvl w:val="0"/>
                <w:numId w:val="71"/>
              </w:numPr>
              <w:bidi/>
              <w:spacing w:before="120"/>
              <w:jc w:val="both"/>
              <w:rPr>
                <w:rFonts w:ascii="Times New Roman" w:hAnsi="Times New Roman"/>
                <w:sz w:val="24"/>
                <w:szCs w:val="24"/>
                <w:lang w:val="en-GB"/>
              </w:rPr>
            </w:pPr>
            <w:r w:rsidRPr="00D17FDF">
              <w:rPr>
                <w:rFonts w:ascii="Times New Roman" w:hAnsi="Times New Roman"/>
                <w:sz w:val="24"/>
                <w:szCs w:val="24"/>
                <w:rtl/>
                <w:lang w:val="en-GB"/>
              </w:rPr>
              <w:t>ممارس</w:t>
            </w:r>
            <w:r w:rsidRPr="00D17FDF">
              <w:rPr>
                <w:rFonts w:ascii="Times New Roman" w:hAnsi="Times New Roman" w:hint="cs"/>
                <w:sz w:val="24"/>
                <w:szCs w:val="24"/>
                <w:rtl/>
                <w:lang w:val="en-GB"/>
              </w:rPr>
              <w:t xml:space="preserve">و </w:t>
            </w:r>
            <w:r w:rsidR="00897607" w:rsidRPr="00D17FDF">
              <w:rPr>
                <w:rFonts w:ascii="Times New Roman" w:hAnsi="Times New Roman" w:hint="cs"/>
                <w:sz w:val="24"/>
                <w:szCs w:val="24"/>
                <w:rtl/>
                <w:lang w:val="en-GB"/>
              </w:rPr>
              <w:t>التراث وحملته</w:t>
            </w:r>
          </w:p>
          <w:p w14:paraId="07506151" w14:textId="7F7C6020" w:rsidR="006A2171" w:rsidRPr="00D17FDF" w:rsidRDefault="00CD4859" w:rsidP="00180606">
            <w:pPr>
              <w:pStyle w:val="ListParagraph"/>
              <w:numPr>
                <w:ilvl w:val="0"/>
                <w:numId w:val="71"/>
              </w:numPr>
              <w:bidi/>
              <w:spacing w:before="120"/>
              <w:jc w:val="both"/>
              <w:rPr>
                <w:rFonts w:ascii="Times New Roman" w:hAnsi="Times New Roman"/>
                <w:sz w:val="24"/>
                <w:szCs w:val="24"/>
                <w:lang w:val="en-GB"/>
              </w:rPr>
            </w:pPr>
            <w:r w:rsidRPr="00D17FDF">
              <w:rPr>
                <w:rFonts w:ascii="Times New Roman" w:hAnsi="Times New Roman" w:hint="cs"/>
                <w:sz w:val="24"/>
                <w:szCs w:val="24"/>
                <w:rtl/>
                <w:lang w:val="en-GB"/>
              </w:rPr>
              <w:t>ال</w:t>
            </w:r>
            <w:r w:rsidR="006A2171" w:rsidRPr="00D17FDF">
              <w:rPr>
                <w:rFonts w:ascii="Times New Roman" w:hAnsi="Times New Roman"/>
                <w:sz w:val="24"/>
                <w:szCs w:val="24"/>
                <w:rtl/>
                <w:lang w:val="en-GB"/>
              </w:rPr>
              <w:t xml:space="preserve">مشاركة </w:t>
            </w:r>
            <w:r w:rsidR="009E7562" w:rsidRPr="00D17FDF">
              <w:rPr>
                <w:rFonts w:ascii="Times New Roman" w:hAnsi="Times New Roman"/>
                <w:sz w:val="24"/>
                <w:szCs w:val="24"/>
                <w:rtl/>
                <w:lang w:val="en-GB"/>
              </w:rPr>
              <w:t xml:space="preserve">أو </w:t>
            </w:r>
            <w:r w:rsidRPr="00D17FDF">
              <w:rPr>
                <w:rFonts w:ascii="Times New Roman" w:hAnsi="Times New Roman" w:hint="cs"/>
                <w:sz w:val="24"/>
                <w:szCs w:val="24"/>
                <w:rtl/>
                <w:lang w:val="en-GB"/>
              </w:rPr>
              <w:t>ال</w:t>
            </w:r>
            <w:r w:rsidR="009E7562" w:rsidRPr="00D17FDF">
              <w:rPr>
                <w:rFonts w:ascii="Times New Roman" w:hAnsi="Times New Roman" w:hint="cs"/>
                <w:sz w:val="24"/>
                <w:szCs w:val="24"/>
                <w:rtl/>
                <w:lang w:val="en-GB"/>
              </w:rPr>
              <w:t>إشراك</w:t>
            </w:r>
          </w:p>
          <w:p w14:paraId="31B20478" w14:textId="2243BF35" w:rsidR="006A2171" w:rsidRPr="00D17FDF" w:rsidRDefault="00CD4859" w:rsidP="00180606">
            <w:pPr>
              <w:pStyle w:val="ListParagraph"/>
              <w:numPr>
                <w:ilvl w:val="0"/>
                <w:numId w:val="71"/>
              </w:numPr>
              <w:bidi/>
              <w:spacing w:before="120"/>
              <w:jc w:val="both"/>
              <w:rPr>
                <w:rFonts w:ascii="Times New Roman" w:hAnsi="Times New Roman"/>
                <w:sz w:val="24"/>
                <w:szCs w:val="24"/>
                <w:lang w:val="en-GB"/>
              </w:rPr>
            </w:pPr>
            <w:r w:rsidRPr="00D17FDF">
              <w:rPr>
                <w:rFonts w:ascii="Times New Roman" w:hAnsi="Times New Roman" w:hint="cs"/>
                <w:sz w:val="24"/>
                <w:szCs w:val="24"/>
                <w:rtl/>
                <w:lang w:val="en-GB"/>
              </w:rPr>
              <w:t>ال</w:t>
            </w:r>
            <w:r w:rsidR="006A2171" w:rsidRPr="00D17FDF">
              <w:rPr>
                <w:rFonts w:ascii="Times New Roman" w:hAnsi="Times New Roman"/>
                <w:sz w:val="24"/>
                <w:szCs w:val="24"/>
                <w:rtl/>
                <w:lang w:val="en-GB"/>
              </w:rPr>
              <w:t>نشر</w:t>
            </w:r>
          </w:p>
          <w:p w14:paraId="11579AC6" w14:textId="590EADFC" w:rsidR="003C37A3" w:rsidRPr="00D17FDF" w:rsidRDefault="00CD4859" w:rsidP="00180606">
            <w:pPr>
              <w:pStyle w:val="ListParagraph"/>
              <w:numPr>
                <w:ilvl w:val="0"/>
                <w:numId w:val="71"/>
              </w:numPr>
              <w:bidi/>
              <w:spacing w:before="120" w:after="120"/>
              <w:jc w:val="both"/>
              <w:rPr>
                <w:rFonts w:ascii="Times New Roman" w:hAnsi="Times New Roman"/>
                <w:sz w:val="24"/>
                <w:szCs w:val="24"/>
                <w:lang w:val="en-GB"/>
              </w:rPr>
            </w:pPr>
            <w:r w:rsidRPr="00D17FDF">
              <w:rPr>
                <w:rFonts w:ascii="Times New Roman" w:hAnsi="Times New Roman" w:hint="cs"/>
                <w:sz w:val="24"/>
                <w:szCs w:val="24"/>
                <w:rtl/>
                <w:lang w:val="en-GB"/>
              </w:rPr>
              <w:t>ال</w:t>
            </w:r>
            <w:r w:rsidR="009E7562" w:rsidRPr="00D17FDF">
              <w:rPr>
                <w:rFonts w:ascii="Times New Roman" w:hAnsi="Times New Roman"/>
                <w:sz w:val="24"/>
                <w:szCs w:val="24"/>
                <w:rtl/>
                <w:lang w:val="en-GB"/>
              </w:rPr>
              <w:t xml:space="preserve">موافقة </w:t>
            </w:r>
            <w:r w:rsidRPr="00D17FDF">
              <w:rPr>
                <w:rFonts w:ascii="Times New Roman" w:hAnsi="Times New Roman" w:hint="cs"/>
                <w:sz w:val="24"/>
                <w:szCs w:val="24"/>
                <w:rtl/>
                <w:lang w:val="en-GB"/>
              </w:rPr>
              <w:t>ال</w:t>
            </w:r>
            <w:r w:rsidR="009E7562" w:rsidRPr="00D17FDF">
              <w:rPr>
                <w:rFonts w:ascii="Times New Roman" w:hAnsi="Times New Roman"/>
                <w:sz w:val="24"/>
                <w:szCs w:val="24"/>
                <w:rtl/>
                <w:lang w:val="en-GB"/>
              </w:rPr>
              <w:t>حرة و</w:t>
            </w:r>
            <w:r w:rsidRPr="00D17FDF">
              <w:rPr>
                <w:rFonts w:ascii="Times New Roman" w:hAnsi="Times New Roman" w:hint="cs"/>
                <w:sz w:val="24"/>
                <w:szCs w:val="24"/>
                <w:rtl/>
                <w:lang w:val="en-GB"/>
              </w:rPr>
              <w:t>ال</w:t>
            </w:r>
            <w:r w:rsidR="009E7562" w:rsidRPr="00D17FDF">
              <w:rPr>
                <w:rFonts w:ascii="Times New Roman" w:hAnsi="Times New Roman"/>
                <w:sz w:val="24"/>
                <w:szCs w:val="24"/>
                <w:rtl/>
                <w:lang w:val="en-GB"/>
              </w:rPr>
              <w:t>مسبقة و</w:t>
            </w:r>
            <w:r w:rsidRPr="00D17FDF">
              <w:rPr>
                <w:rFonts w:ascii="Times New Roman" w:hAnsi="Times New Roman" w:hint="cs"/>
                <w:sz w:val="24"/>
                <w:szCs w:val="24"/>
                <w:rtl/>
                <w:lang w:val="en-GB"/>
              </w:rPr>
              <w:t>ال</w:t>
            </w:r>
            <w:r w:rsidR="006A2171" w:rsidRPr="00D17FDF">
              <w:rPr>
                <w:rFonts w:ascii="Times New Roman" w:hAnsi="Times New Roman"/>
                <w:sz w:val="24"/>
                <w:szCs w:val="24"/>
                <w:rtl/>
                <w:lang w:val="en-GB"/>
              </w:rPr>
              <w:t>مستنيرة</w:t>
            </w:r>
          </w:p>
        </w:tc>
      </w:tr>
    </w:tbl>
    <w:p w14:paraId="75CF8089" w14:textId="77777777" w:rsidR="0054175C" w:rsidRPr="00B03E2D" w:rsidRDefault="0054175C" w:rsidP="00180606">
      <w:pPr>
        <w:bidi/>
        <w:jc w:val="center"/>
        <w:rPr>
          <w:b/>
          <w:sz w:val="24"/>
        </w:rPr>
        <w:sectPr w:rsidR="0054175C" w:rsidRPr="00B03E2D" w:rsidSect="000F25BA">
          <w:footerReference w:type="default" r:id="rId8"/>
          <w:pgSz w:w="11906" w:h="16838" w:code="9"/>
          <w:pgMar w:top="1418" w:right="1134" w:bottom="1134" w:left="1134" w:header="397" w:footer="284" w:gutter="0"/>
          <w:cols w:space="708"/>
          <w:docGrid w:linePitch="360"/>
        </w:sectPr>
      </w:pPr>
    </w:p>
    <w:p w14:paraId="4AD09FFC" w14:textId="68692C67" w:rsidR="00C23006" w:rsidRPr="00B03E2D" w:rsidRDefault="00C23006" w:rsidP="00180606">
      <w:pPr>
        <w:bidi/>
        <w:jc w:val="center"/>
        <w:rPr>
          <w:bCs/>
          <w:sz w:val="24"/>
        </w:rPr>
      </w:pPr>
      <w:r w:rsidRPr="00B03E2D">
        <w:rPr>
          <w:bCs/>
          <w:sz w:val="24"/>
          <w:rtl/>
        </w:rPr>
        <w:t xml:space="preserve">التوجيهات المحددة بشأن الرصد </w:t>
      </w:r>
      <w:r w:rsidR="00420AA1">
        <w:rPr>
          <w:rFonts w:hint="cs"/>
          <w:bCs/>
          <w:sz w:val="24"/>
          <w:rtl/>
        </w:rPr>
        <w:t>وال</w:t>
      </w:r>
      <w:r w:rsidR="00AB454C">
        <w:rPr>
          <w:rFonts w:hint="cs"/>
          <w:bCs/>
          <w:sz w:val="24"/>
          <w:rtl/>
        </w:rPr>
        <w:t>تقرير</w:t>
      </w:r>
      <w:r w:rsidRPr="00B03E2D">
        <w:rPr>
          <w:bCs/>
          <w:sz w:val="24"/>
          <w:rtl/>
        </w:rPr>
        <w:t xml:space="preserve"> الدوري</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8222"/>
      </w:tblGrid>
      <w:tr w:rsidR="009C0510" w:rsidRPr="00420AA1" w14:paraId="3ECF5BC5" w14:textId="77777777" w:rsidTr="00C23006">
        <w:tc>
          <w:tcPr>
            <w:tcW w:w="730" w:type="pct"/>
            <w:shd w:val="clear" w:color="auto" w:fill="auto"/>
          </w:tcPr>
          <w:p w14:paraId="1EA551EF" w14:textId="40C47932" w:rsidR="002C28BA" w:rsidRPr="00420AA1" w:rsidRDefault="00C23006" w:rsidP="00180606">
            <w:pPr>
              <w:bidi/>
              <w:spacing w:before="120"/>
              <w:rPr>
                <w:b/>
                <w:sz w:val="24"/>
              </w:rPr>
            </w:pPr>
            <w:r w:rsidRPr="00420AA1">
              <w:rPr>
                <w:b/>
                <w:bCs/>
                <w:sz w:val="24"/>
                <w:rtl/>
              </w:rPr>
              <w:t>فوائد الرصد</w:t>
            </w:r>
          </w:p>
        </w:tc>
        <w:tc>
          <w:tcPr>
            <w:tcW w:w="4270" w:type="pct"/>
            <w:shd w:val="clear" w:color="auto" w:fill="auto"/>
          </w:tcPr>
          <w:p w14:paraId="47450B4D" w14:textId="79E4E5EA" w:rsidR="002C28BA" w:rsidRPr="00420AA1" w:rsidRDefault="00DC2318" w:rsidP="00180606">
            <w:pPr>
              <w:keepLines/>
              <w:bidi/>
              <w:spacing w:before="120"/>
              <w:jc w:val="both"/>
              <w:rPr>
                <w:b/>
                <w:sz w:val="24"/>
              </w:rPr>
            </w:pPr>
            <w:r>
              <w:rPr>
                <w:rFonts w:hint="cs"/>
                <w:b/>
                <w:sz w:val="24"/>
                <w:rtl/>
              </w:rPr>
              <w:t>يمكن أن</w:t>
            </w:r>
            <w:r w:rsidR="00FE5587" w:rsidRPr="00420AA1">
              <w:rPr>
                <w:b/>
                <w:sz w:val="24"/>
                <w:rtl/>
              </w:rPr>
              <w:t xml:space="preserve"> يساعد الرصد الدولة على تقييم مدى مساهمة مختلف مؤسسات البحث والتوثيق (راجع المؤشر 1) بفعالية في الصون. و</w:t>
            </w:r>
            <w:r>
              <w:rPr>
                <w:rFonts w:hint="cs"/>
                <w:b/>
                <w:sz w:val="24"/>
                <w:rtl/>
              </w:rPr>
              <w:t>يعطي</w:t>
            </w:r>
            <w:r w:rsidR="00FE5587" w:rsidRPr="00420AA1">
              <w:rPr>
                <w:b/>
                <w:sz w:val="24"/>
                <w:rtl/>
              </w:rPr>
              <w:t xml:space="preserve"> الرصد فرصة </w:t>
            </w:r>
            <w:r w:rsidR="00571780">
              <w:rPr>
                <w:rFonts w:hint="cs"/>
                <w:b/>
                <w:sz w:val="24"/>
                <w:rtl/>
              </w:rPr>
              <w:t>إتاحة</w:t>
            </w:r>
            <w:r w:rsidR="00FE5587" w:rsidRPr="00420AA1">
              <w:rPr>
                <w:b/>
                <w:sz w:val="24"/>
                <w:rtl/>
              </w:rPr>
              <w:t xml:space="preserve"> الموارد المالية </w:t>
            </w:r>
            <w:r>
              <w:rPr>
                <w:rFonts w:hint="cs"/>
                <w:b/>
                <w:sz w:val="24"/>
                <w:rtl/>
              </w:rPr>
              <w:t xml:space="preserve">بغرض </w:t>
            </w:r>
            <w:r w:rsidR="00FE5587" w:rsidRPr="00420AA1">
              <w:rPr>
                <w:b/>
                <w:sz w:val="24"/>
                <w:rtl/>
              </w:rPr>
              <w:t xml:space="preserve">دعم جهود البحث والتوثيق، ويمكن أن يسلط الضوء على مواضع </w:t>
            </w:r>
            <w:r w:rsidR="000771A5">
              <w:rPr>
                <w:rFonts w:hint="cs"/>
                <w:b/>
                <w:sz w:val="24"/>
                <w:rtl/>
              </w:rPr>
              <w:t xml:space="preserve">حيث قد توجد </w:t>
            </w:r>
            <w:r w:rsidR="00FE5587" w:rsidRPr="00420AA1">
              <w:rPr>
                <w:b/>
                <w:sz w:val="24"/>
                <w:rtl/>
              </w:rPr>
              <w:t xml:space="preserve">فجوات التمويل. كما أنه يؤكد </w:t>
            </w:r>
            <w:r w:rsidR="00BE3865">
              <w:rPr>
                <w:rFonts w:hint="cs"/>
                <w:b/>
                <w:sz w:val="24"/>
                <w:rtl/>
              </w:rPr>
              <w:t>ع</w:t>
            </w:r>
            <w:r w:rsidR="00FE5587" w:rsidRPr="00420AA1">
              <w:rPr>
                <w:b/>
                <w:sz w:val="24"/>
                <w:rtl/>
              </w:rPr>
              <w:t xml:space="preserve">ما إذا كانت المبادئ الأخلاقية ذات الصلة تُحترم أثناء عمليات البحث والتوثيق، ولا سيما مبدأ الموافقة </w:t>
            </w:r>
            <w:r w:rsidR="00722901" w:rsidRPr="00420AA1">
              <w:rPr>
                <w:rFonts w:hint="cs"/>
                <w:b/>
                <w:sz w:val="24"/>
                <w:rtl/>
              </w:rPr>
              <w:t>الحرة</w:t>
            </w:r>
            <w:r w:rsidR="00722901" w:rsidRPr="00420AA1">
              <w:rPr>
                <w:rFonts w:hint="eastAsia"/>
                <w:b/>
                <w:sz w:val="24"/>
                <w:rtl/>
              </w:rPr>
              <w:t>،</w:t>
            </w:r>
            <w:r w:rsidR="00FE5587" w:rsidRPr="00420AA1">
              <w:rPr>
                <w:b/>
                <w:sz w:val="24"/>
                <w:rtl/>
              </w:rPr>
              <w:t xml:space="preserve"> والمسبقة</w:t>
            </w:r>
            <w:r w:rsidR="00092DE2">
              <w:rPr>
                <w:rFonts w:hint="cs"/>
                <w:b/>
                <w:sz w:val="24"/>
                <w:rtl/>
              </w:rPr>
              <w:t>، والمستدامة،</w:t>
            </w:r>
            <w:r w:rsidR="00FE5587" w:rsidRPr="00420AA1">
              <w:rPr>
                <w:b/>
                <w:sz w:val="24"/>
                <w:rtl/>
              </w:rPr>
              <w:t xml:space="preserve"> والمستنيرة. وعلى ال</w:t>
            </w:r>
            <w:r w:rsidR="001A338C" w:rsidRPr="00420AA1">
              <w:rPr>
                <w:rFonts w:hint="cs"/>
                <w:b/>
                <w:sz w:val="24"/>
                <w:rtl/>
              </w:rPr>
              <w:t>صعيد</w:t>
            </w:r>
            <w:r w:rsidR="00FE5587" w:rsidRPr="00420AA1">
              <w:rPr>
                <w:b/>
                <w:sz w:val="24"/>
                <w:rtl/>
              </w:rPr>
              <w:t xml:space="preserve"> العالمي، قد يشير الرصد إلى نقص التمويل في بعض البلدان أو المناطق التي يمكن معالجتها من خلال التعاون والمساعدة الدوليين. كما </w:t>
            </w:r>
            <w:r w:rsidR="005F7C20">
              <w:rPr>
                <w:rFonts w:hint="cs"/>
                <w:b/>
                <w:sz w:val="24"/>
                <w:rtl/>
              </w:rPr>
              <w:t>يمكن أن</w:t>
            </w:r>
            <w:r w:rsidR="00FE5587" w:rsidRPr="00420AA1">
              <w:rPr>
                <w:b/>
                <w:sz w:val="24"/>
                <w:rtl/>
              </w:rPr>
              <w:t xml:space="preserve"> يحدد الرصد العالمي الممارسات الجيدة والاستراتيجيات المبتكرة التي أثبتت فعاليتها في تعزيز أوسع مشاركة ممكنة لممارسي </w:t>
            </w:r>
            <w:r w:rsidR="005F7C20">
              <w:rPr>
                <w:rFonts w:hint="cs"/>
                <w:b/>
                <w:sz w:val="24"/>
                <w:rtl/>
              </w:rPr>
              <w:t xml:space="preserve">التراث وحملته </w:t>
            </w:r>
            <w:r w:rsidR="00FE5587" w:rsidRPr="00420AA1">
              <w:rPr>
                <w:b/>
                <w:sz w:val="24"/>
                <w:rtl/>
              </w:rPr>
              <w:t>في جميع خطوات البحث والتوثيق، بما في ذلك نشر نتائجها.</w:t>
            </w:r>
          </w:p>
        </w:tc>
      </w:tr>
      <w:tr w:rsidR="0054175C" w:rsidRPr="00420AA1" w14:paraId="71239392" w14:textId="77777777" w:rsidTr="00C23006">
        <w:tc>
          <w:tcPr>
            <w:tcW w:w="730" w:type="pct"/>
            <w:shd w:val="clear" w:color="auto" w:fill="auto"/>
          </w:tcPr>
          <w:p w14:paraId="34006364" w14:textId="290057EB" w:rsidR="0054175C" w:rsidRPr="00420AA1" w:rsidRDefault="00C23006" w:rsidP="00180606">
            <w:pPr>
              <w:bidi/>
              <w:spacing w:before="120"/>
              <w:rPr>
                <w:b/>
                <w:sz w:val="24"/>
              </w:rPr>
            </w:pPr>
            <w:r w:rsidRPr="00420AA1">
              <w:rPr>
                <w:b/>
                <w:bCs/>
                <w:sz w:val="24"/>
                <w:rtl/>
              </w:rPr>
              <w:t>مصادر البيانات وجمعها</w:t>
            </w:r>
          </w:p>
        </w:tc>
        <w:tc>
          <w:tcPr>
            <w:tcW w:w="4270" w:type="pct"/>
            <w:shd w:val="clear" w:color="auto" w:fill="auto"/>
          </w:tcPr>
          <w:p w14:paraId="0DF1D078" w14:textId="252E6E35" w:rsidR="0054175C" w:rsidRPr="00420AA1" w:rsidRDefault="008B799F" w:rsidP="00180606">
            <w:pPr>
              <w:bidi/>
              <w:spacing w:before="120"/>
              <w:jc w:val="both"/>
              <w:rPr>
                <w:sz w:val="24"/>
              </w:rPr>
            </w:pPr>
            <w:r w:rsidRPr="00420AA1">
              <w:rPr>
                <w:sz w:val="24"/>
                <w:rtl/>
              </w:rPr>
              <w:t xml:space="preserve">إذا </w:t>
            </w:r>
            <w:r w:rsidR="004D3C94">
              <w:rPr>
                <w:rFonts w:hint="cs"/>
                <w:sz w:val="24"/>
                <w:rtl/>
              </w:rPr>
              <w:t>وفرت</w:t>
            </w:r>
            <w:r w:rsidRPr="00420AA1">
              <w:rPr>
                <w:sz w:val="24"/>
                <w:rtl/>
              </w:rPr>
              <w:t xml:space="preserve"> الدولة أموالًا لدعم أنشطة البحث والتوثيق، فمن المحتمل أن تكون سجلات هذا التمويل متاحة؛ </w:t>
            </w:r>
            <w:r w:rsidR="004D3C94">
              <w:rPr>
                <w:rFonts w:hint="cs"/>
                <w:sz w:val="24"/>
                <w:rtl/>
              </w:rPr>
              <w:t>في حالة</w:t>
            </w:r>
            <w:r w:rsidRPr="00420AA1">
              <w:rPr>
                <w:sz w:val="24"/>
                <w:rtl/>
              </w:rPr>
              <w:t xml:space="preserve"> وج</w:t>
            </w:r>
            <w:r w:rsidR="004D3C94">
              <w:rPr>
                <w:rFonts w:hint="cs"/>
                <w:sz w:val="24"/>
                <w:rtl/>
              </w:rPr>
              <w:t>و</w:t>
            </w:r>
            <w:r w:rsidRPr="00420AA1">
              <w:rPr>
                <w:sz w:val="24"/>
                <w:rtl/>
              </w:rPr>
              <w:t xml:space="preserve">د هيئة استشارية أو آلية تنسيق، فقد تتمتع بإمكانية الوصول إلى معلومات عن ممارسات تمويل الأطراف الأخرى. قد تتناول </w:t>
            </w:r>
            <w:r w:rsidR="00064FE1" w:rsidRPr="00420AA1">
              <w:rPr>
                <w:rFonts w:hint="cs"/>
                <w:sz w:val="24"/>
                <w:rtl/>
              </w:rPr>
              <w:t>المبادئ التوجيهية</w:t>
            </w:r>
            <w:r w:rsidRPr="00420AA1">
              <w:rPr>
                <w:sz w:val="24"/>
                <w:rtl/>
              </w:rPr>
              <w:t xml:space="preserve"> </w:t>
            </w:r>
            <w:r w:rsidR="00064FE1" w:rsidRPr="00420AA1">
              <w:rPr>
                <w:rFonts w:hint="cs"/>
                <w:sz w:val="24"/>
                <w:rtl/>
              </w:rPr>
              <w:t>ل</w:t>
            </w:r>
            <w:r w:rsidRPr="00420AA1">
              <w:rPr>
                <w:sz w:val="24"/>
                <w:rtl/>
              </w:rPr>
              <w:t xml:space="preserve">لتمويل واستراتيجيات البحث أوسع مشاركة ممكنة </w:t>
            </w:r>
            <w:r w:rsidR="00BA0EA3" w:rsidRPr="00420AA1">
              <w:rPr>
                <w:b/>
                <w:sz w:val="24"/>
                <w:rtl/>
              </w:rPr>
              <w:t xml:space="preserve">لممارسي </w:t>
            </w:r>
            <w:r w:rsidR="00BA0EA3">
              <w:rPr>
                <w:rFonts w:hint="cs"/>
                <w:b/>
                <w:sz w:val="24"/>
                <w:rtl/>
              </w:rPr>
              <w:t xml:space="preserve">التراث وحملته </w:t>
            </w:r>
            <w:r w:rsidRPr="00420AA1">
              <w:rPr>
                <w:sz w:val="24"/>
                <w:rtl/>
              </w:rPr>
              <w:t xml:space="preserve">في عمليات البحث والتوثيق. وإذا أسفرت عميات البحث والتوثيق عن </w:t>
            </w:r>
            <w:proofErr w:type="gramStart"/>
            <w:r w:rsidRPr="00420AA1">
              <w:rPr>
                <w:sz w:val="24"/>
                <w:rtl/>
              </w:rPr>
              <w:t>منشورات</w:t>
            </w:r>
            <w:proofErr w:type="gramEnd"/>
            <w:r w:rsidRPr="00420AA1">
              <w:rPr>
                <w:sz w:val="24"/>
                <w:rtl/>
              </w:rPr>
              <w:t xml:space="preserve"> أو معارض أو مؤتمرات أو عروض عامة أخرى، فعادةً ما تكون هذه النتائج</w:t>
            </w:r>
            <w:r w:rsidR="00DE697B" w:rsidRPr="00420AA1">
              <w:rPr>
                <w:rFonts w:hint="cs"/>
                <w:sz w:val="24"/>
                <w:rtl/>
              </w:rPr>
              <w:t xml:space="preserve"> متوسطة المدى</w:t>
            </w:r>
            <w:r w:rsidRPr="00420AA1">
              <w:rPr>
                <w:sz w:val="24"/>
                <w:rtl/>
              </w:rPr>
              <w:t xml:space="preserve"> متاحة. </w:t>
            </w:r>
            <w:r w:rsidR="009A0F11">
              <w:rPr>
                <w:rFonts w:hint="cs"/>
                <w:sz w:val="24"/>
                <w:rtl/>
              </w:rPr>
              <w:t>و</w:t>
            </w:r>
            <w:r w:rsidRPr="00420AA1">
              <w:rPr>
                <w:sz w:val="24"/>
                <w:rtl/>
              </w:rPr>
              <w:t>قد تحدد إجراءات البحث أو بروتوكولاته أو سياساته ضرورة الموافقة الحرة</w:t>
            </w:r>
            <w:r w:rsidR="006E6406">
              <w:rPr>
                <w:rFonts w:hint="cs"/>
                <w:sz w:val="24"/>
                <w:rtl/>
              </w:rPr>
              <w:t>،</w:t>
            </w:r>
            <w:r w:rsidRPr="00420AA1">
              <w:rPr>
                <w:sz w:val="24"/>
                <w:rtl/>
              </w:rPr>
              <w:t xml:space="preserve"> والمسبقة</w:t>
            </w:r>
            <w:r w:rsidR="006E6406">
              <w:rPr>
                <w:rFonts w:hint="cs"/>
                <w:sz w:val="24"/>
                <w:rtl/>
              </w:rPr>
              <w:t>، والمستدامة،</w:t>
            </w:r>
            <w:r w:rsidRPr="00420AA1">
              <w:rPr>
                <w:sz w:val="24"/>
                <w:rtl/>
              </w:rPr>
              <w:t xml:space="preserve"> والمستنيرة وقد تكون متاحة </w:t>
            </w:r>
            <w:r w:rsidR="009A0F11">
              <w:rPr>
                <w:rFonts w:hint="cs"/>
                <w:sz w:val="24"/>
                <w:rtl/>
              </w:rPr>
              <w:t>لل</w:t>
            </w:r>
            <w:r w:rsidR="00CD4859">
              <w:rPr>
                <w:rFonts w:hint="cs"/>
                <w:sz w:val="24"/>
                <w:rtl/>
              </w:rPr>
              <w:t>مشاورة</w:t>
            </w:r>
            <w:r w:rsidRPr="00420AA1">
              <w:rPr>
                <w:sz w:val="24"/>
                <w:rtl/>
              </w:rPr>
              <w:t>.</w:t>
            </w:r>
          </w:p>
          <w:p w14:paraId="1EDF3380" w14:textId="77777777" w:rsidR="003941C6" w:rsidRPr="00420AA1" w:rsidRDefault="003941C6" w:rsidP="00180606">
            <w:pPr>
              <w:keepNext/>
              <w:bidi/>
              <w:spacing w:before="120" w:after="60"/>
              <w:jc w:val="both"/>
              <w:rPr>
                <w:bCs/>
                <w:sz w:val="24"/>
              </w:rPr>
            </w:pPr>
            <w:r w:rsidRPr="00420AA1">
              <w:rPr>
                <w:bCs/>
                <w:sz w:val="24"/>
                <w:rtl/>
              </w:rPr>
              <w:t>مصادر البيانات المحتملة</w:t>
            </w:r>
          </w:p>
          <w:p w14:paraId="60599B9E" w14:textId="435250F5" w:rsidR="003D0B7B" w:rsidRPr="00420AA1" w:rsidRDefault="003D0B7B" w:rsidP="00180606">
            <w:pPr>
              <w:pStyle w:val="ListParagraph"/>
              <w:numPr>
                <w:ilvl w:val="0"/>
                <w:numId w:val="73"/>
              </w:numPr>
              <w:bidi/>
              <w:spacing w:before="120"/>
              <w:jc w:val="both"/>
              <w:rPr>
                <w:rFonts w:ascii="Times New Roman" w:hAnsi="Times New Roman"/>
                <w:sz w:val="24"/>
                <w:szCs w:val="24"/>
                <w:lang w:val="en-GB"/>
              </w:rPr>
            </w:pPr>
            <w:r w:rsidRPr="00420AA1">
              <w:rPr>
                <w:rFonts w:ascii="Times New Roman" w:hAnsi="Times New Roman"/>
                <w:sz w:val="24"/>
                <w:szCs w:val="24"/>
                <w:rtl/>
                <w:lang w:val="en-GB"/>
              </w:rPr>
              <w:t>ميزانيات و</w:t>
            </w:r>
            <w:r w:rsidR="00F33DF9" w:rsidRPr="00420AA1">
              <w:rPr>
                <w:rFonts w:ascii="Times New Roman" w:hAnsi="Times New Roman"/>
                <w:sz w:val="24"/>
                <w:szCs w:val="24"/>
                <w:rtl/>
                <w:lang w:val="en-GB"/>
              </w:rPr>
              <w:t xml:space="preserve">تقارير وزارة الثقافة أو مصادر تمويل </w:t>
            </w:r>
            <w:r w:rsidRPr="00420AA1">
              <w:rPr>
                <w:rFonts w:ascii="Times New Roman" w:hAnsi="Times New Roman"/>
                <w:sz w:val="24"/>
                <w:szCs w:val="24"/>
                <w:rtl/>
                <w:lang w:val="en-GB"/>
              </w:rPr>
              <w:t>أخرى</w:t>
            </w:r>
            <w:r w:rsidR="00F33DF9" w:rsidRPr="00420AA1">
              <w:rPr>
                <w:rFonts w:ascii="Times New Roman" w:hAnsi="Times New Roman"/>
                <w:sz w:val="24"/>
                <w:szCs w:val="24"/>
                <w:rtl/>
                <w:lang w:val="en-GB"/>
              </w:rPr>
              <w:t xml:space="preserve"> </w:t>
            </w:r>
            <w:r w:rsidRPr="00420AA1">
              <w:rPr>
                <w:rFonts w:ascii="Times New Roman" w:hAnsi="Times New Roman"/>
                <w:sz w:val="24"/>
                <w:szCs w:val="24"/>
                <w:rtl/>
                <w:lang w:val="en-GB"/>
              </w:rPr>
              <w:t>داعمة للبحث والتوثيق</w:t>
            </w:r>
          </w:p>
          <w:p w14:paraId="68B3DDBA" w14:textId="057B921D" w:rsidR="003D0B7B" w:rsidRPr="00420AA1" w:rsidRDefault="00F33DF9" w:rsidP="00180606">
            <w:pPr>
              <w:pStyle w:val="ListParagraph"/>
              <w:numPr>
                <w:ilvl w:val="0"/>
                <w:numId w:val="73"/>
              </w:numPr>
              <w:bidi/>
              <w:spacing w:before="120"/>
              <w:jc w:val="both"/>
              <w:rPr>
                <w:rFonts w:ascii="Times New Roman" w:hAnsi="Times New Roman"/>
                <w:sz w:val="24"/>
                <w:szCs w:val="24"/>
                <w:lang w:val="en-GB"/>
              </w:rPr>
            </w:pPr>
            <w:r w:rsidRPr="00420AA1">
              <w:rPr>
                <w:rFonts w:ascii="Times New Roman" w:hAnsi="Times New Roman"/>
                <w:sz w:val="24"/>
                <w:szCs w:val="24"/>
                <w:rtl/>
                <w:lang w:val="en-GB"/>
              </w:rPr>
              <w:t xml:space="preserve">إعلانات </w:t>
            </w:r>
            <w:r w:rsidR="00F31627">
              <w:rPr>
                <w:rFonts w:ascii="Times New Roman" w:hAnsi="Times New Roman" w:hint="cs"/>
                <w:sz w:val="24"/>
                <w:szCs w:val="24"/>
                <w:rtl/>
                <w:lang w:val="en-GB"/>
              </w:rPr>
              <w:t>ال</w:t>
            </w:r>
            <w:r w:rsidRPr="00420AA1">
              <w:rPr>
                <w:rFonts w:ascii="Times New Roman" w:hAnsi="Times New Roman"/>
                <w:sz w:val="24"/>
                <w:szCs w:val="24"/>
                <w:rtl/>
                <w:lang w:val="en-GB"/>
              </w:rPr>
              <w:t>تمويل ومبادئ</w:t>
            </w:r>
            <w:r w:rsidRPr="00420AA1">
              <w:rPr>
                <w:rFonts w:ascii="Times New Roman" w:hAnsi="Times New Roman" w:hint="cs"/>
                <w:sz w:val="24"/>
                <w:szCs w:val="24"/>
                <w:rtl/>
                <w:lang w:val="en-GB"/>
              </w:rPr>
              <w:t>ه</w:t>
            </w:r>
            <w:r w:rsidRPr="00420AA1">
              <w:rPr>
                <w:rFonts w:ascii="Times New Roman" w:hAnsi="Times New Roman"/>
                <w:sz w:val="24"/>
                <w:szCs w:val="24"/>
                <w:rtl/>
                <w:lang w:val="en-GB"/>
              </w:rPr>
              <w:t xml:space="preserve"> </w:t>
            </w:r>
            <w:r w:rsidR="00F31627">
              <w:rPr>
                <w:rFonts w:ascii="Times New Roman" w:hAnsi="Times New Roman" w:hint="cs"/>
                <w:sz w:val="24"/>
                <w:szCs w:val="24"/>
                <w:rtl/>
                <w:lang w:val="en-GB"/>
              </w:rPr>
              <w:t>ال</w:t>
            </w:r>
            <w:r w:rsidR="003D0B7B" w:rsidRPr="00420AA1">
              <w:rPr>
                <w:rFonts w:ascii="Times New Roman" w:hAnsi="Times New Roman"/>
                <w:sz w:val="24"/>
                <w:szCs w:val="24"/>
                <w:rtl/>
                <w:lang w:val="en-GB"/>
              </w:rPr>
              <w:t>توجيهية من الممولين</w:t>
            </w:r>
          </w:p>
          <w:p w14:paraId="574E26E6" w14:textId="12DB4EAC" w:rsidR="003D0B7B" w:rsidRPr="00420AA1" w:rsidRDefault="00F33DF9" w:rsidP="00180606">
            <w:pPr>
              <w:pStyle w:val="ListParagraph"/>
              <w:numPr>
                <w:ilvl w:val="0"/>
                <w:numId w:val="73"/>
              </w:numPr>
              <w:bidi/>
              <w:spacing w:before="120"/>
              <w:jc w:val="both"/>
              <w:rPr>
                <w:rFonts w:ascii="Times New Roman" w:hAnsi="Times New Roman"/>
                <w:sz w:val="24"/>
                <w:szCs w:val="24"/>
                <w:lang w:val="en-GB"/>
              </w:rPr>
            </w:pPr>
            <w:r w:rsidRPr="00420AA1">
              <w:rPr>
                <w:rFonts w:ascii="Times New Roman" w:hAnsi="Times New Roman"/>
                <w:sz w:val="24"/>
                <w:szCs w:val="24"/>
                <w:rtl/>
                <w:lang w:val="en-GB"/>
              </w:rPr>
              <w:t>لوائح أو بروتوكولات</w:t>
            </w:r>
            <w:r w:rsidR="003D0B7B" w:rsidRPr="00420AA1">
              <w:rPr>
                <w:rFonts w:ascii="Times New Roman" w:hAnsi="Times New Roman"/>
                <w:sz w:val="24"/>
                <w:szCs w:val="24"/>
                <w:rtl/>
                <w:lang w:val="en-GB"/>
              </w:rPr>
              <w:t xml:space="preserve"> تحكم ممارسات </w:t>
            </w:r>
            <w:r w:rsidRPr="00420AA1">
              <w:rPr>
                <w:rFonts w:ascii="Times New Roman" w:hAnsi="Times New Roman"/>
                <w:sz w:val="24"/>
                <w:szCs w:val="24"/>
                <w:rtl/>
                <w:lang w:val="en-GB"/>
              </w:rPr>
              <w:t xml:space="preserve">البحث، وخاصة تلك المتعلقة بمواضيع </w:t>
            </w:r>
            <w:r w:rsidR="003D0B7B" w:rsidRPr="00420AA1">
              <w:rPr>
                <w:rFonts w:ascii="Times New Roman" w:hAnsi="Times New Roman"/>
                <w:sz w:val="24"/>
                <w:szCs w:val="24"/>
                <w:rtl/>
                <w:lang w:val="en-GB"/>
              </w:rPr>
              <w:t>بشرية</w:t>
            </w:r>
          </w:p>
          <w:p w14:paraId="6C3728D5" w14:textId="26418DE0" w:rsidR="003D0B7B" w:rsidRPr="00420AA1" w:rsidRDefault="00F33DF9" w:rsidP="00180606">
            <w:pPr>
              <w:pStyle w:val="ListParagraph"/>
              <w:numPr>
                <w:ilvl w:val="0"/>
                <w:numId w:val="73"/>
              </w:numPr>
              <w:bidi/>
              <w:spacing w:before="120"/>
              <w:jc w:val="both"/>
              <w:rPr>
                <w:rFonts w:ascii="Times New Roman" w:hAnsi="Times New Roman"/>
                <w:sz w:val="24"/>
                <w:szCs w:val="24"/>
                <w:lang w:val="en-GB"/>
              </w:rPr>
            </w:pPr>
            <w:proofErr w:type="spellStart"/>
            <w:r w:rsidRPr="00420AA1">
              <w:rPr>
                <w:rFonts w:ascii="Times New Roman" w:hAnsi="Times New Roman"/>
                <w:sz w:val="24"/>
                <w:szCs w:val="24"/>
                <w:rtl/>
                <w:lang w:val="en-GB"/>
              </w:rPr>
              <w:t>ببليوغرافيات</w:t>
            </w:r>
            <w:proofErr w:type="spellEnd"/>
            <w:r w:rsidRPr="00420AA1">
              <w:rPr>
                <w:rFonts w:ascii="Times New Roman" w:hAnsi="Times New Roman"/>
                <w:sz w:val="24"/>
                <w:szCs w:val="24"/>
                <w:rtl/>
                <w:lang w:val="en-GB"/>
              </w:rPr>
              <w:t>، أو كتالوجات ناشرين، أو استعراض</w:t>
            </w:r>
            <w:r w:rsidRPr="00420AA1">
              <w:rPr>
                <w:rFonts w:ascii="Times New Roman" w:hAnsi="Times New Roman" w:hint="cs"/>
                <w:sz w:val="24"/>
                <w:szCs w:val="24"/>
                <w:rtl/>
                <w:lang w:val="en-GB"/>
              </w:rPr>
              <w:t>ات</w:t>
            </w:r>
            <w:r w:rsidRPr="00420AA1">
              <w:rPr>
                <w:rFonts w:ascii="Times New Roman" w:hAnsi="Times New Roman"/>
                <w:sz w:val="24"/>
                <w:szCs w:val="24"/>
                <w:rtl/>
                <w:lang w:val="en-GB"/>
              </w:rPr>
              <w:t xml:space="preserve"> أعمال </w:t>
            </w:r>
            <w:r w:rsidR="003D0B7B" w:rsidRPr="00420AA1">
              <w:rPr>
                <w:rFonts w:ascii="Times New Roman" w:hAnsi="Times New Roman"/>
                <w:sz w:val="24"/>
                <w:szCs w:val="24"/>
                <w:rtl/>
                <w:lang w:val="en-GB"/>
              </w:rPr>
              <w:t>منشورة</w:t>
            </w:r>
          </w:p>
          <w:p w14:paraId="1B266712" w14:textId="139FECBD" w:rsidR="003D0B7B" w:rsidRPr="00420AA1" w:rsidRDefault="00F33DF9" w:rsidP="00180606">
            <w:pPr>
              <w:pStyle w:val="ListParagraph"/>
              <w:numPr>
                <w:ilvl w:val="0"/>
                <w:numId w:val="73"/>
              </w:numPr>
              <w:bidi/>
              <w:spacing w:before="120"/>
              <w:jc w:val="both"/>
              <w:rPr>
                <w:rFonts w:ascii="Times New Roman" w:hAnsi="Times New Roman"/>
                <w:sz w:val="24"/>
                <w:szCs w:val="24"/>
                <w:lang w:val="en-GB"/>
              </w:rPr>
            </w:pPr>
            <w:r w:rsidRPr="00420AA1">
              <w:rPr>
                <w:rFonts w:ascii="Times New Roman" w:hAnsi="Times New Roman"/>
                <w:sz w:val="24"/>
                <w:szCs w:val="24"/>
                <w:rtl/>
                <w:lang w:val="en-GB"/>
              </w:rPr>
              <w:t xml:space="preserve">كتالوجات </w:t>
            </w:r>
            <w:proofErr w:type="gramStart"/>
            <w:r w:rsidR="00B05B7F" w:rsidRPr="00420AA1">
              <w:rPr>
                <w:rFonts w:ascii="Times New Roman" w:hAnsi="Times New Roman"/>
                <w:sz w:val="24"/>
                <w:szCs w:val="24"/>
                <w:rtl/>
                <w:lang w:val="en-GB"/>
              </w:rPr>
              <w:t>معارض</w:t>
            </w:r>
            <w:proofErr w:type="gramEnd"/>
            <w:r w:rsidR="003D0B7B" w:rsidRPr="00420AA1">
              <w:rPr>
                <w:rFonts w:ascii="Times New Roman" w:hAnsi="Times New Roman"/>
                <w:sz w:val="24"/>
                <w:szCs w:val="24"/>
                <w:rtl/>
                <w:lang w:val="en-GB"/>
              </w:rPr>
              <w:t xml:space="preserve"> أو جد</w:t>
            </w:r>
            <w:r w:rsidR="00B05B7F" w:rsidRPr="00420AA1">
              <w:rPr>
                <w:rFonts w:ascii="Times New Roman" w:hAnsi="Times New Roman"/>
                <w:sz w:val="24"/>
                <w:szCs w:val="24"/>
                <w:rtl/>
                <w:lang w:val="en-GB"/>
              </w:rPr>
              <w:t>اول أعمال</w:t>
            </w:r>
            <w:r w:rsidR="00F31627">
              <w:rPr>
                <w:rFonts w:ascii="Times New Roman" w:hAnsi="Times New Roman" w:hint="cs"/>
                <w:sz w:val="24"/>
                <w:szCs w:val="24"/>
                <w:rtl/>
                <w:lang w:val="en-GB"/>
              </w:rPr>
              <w:t xml:space="preserve"> </w:t>
            </w:r>
            <w:r w:rsidR="00B05B7F" w:rsidRPr="00420AA1">
              <w:rPr>
                <w:rFonts w:ascii="Times New Roman" w:hAnsi="Times New Roman"/>
                <w:sz w:val="24"/>
                <w:szCs w:val="24"/>
                <w:rtl/>
                <w:lang w:val="en-GB"/>
              </w:rPr>
              <w:t xml:space="preserve">أو إجراءات </w:t>
            </w:r>
            <w:r w:rsidR="00DC394F" w:rsidRPr="00420AA1">
              <w:rPr>
                <w:rFonts w:ascii="Times New Roman" w:hAnsi="Times New Roman"/>
                <w:sz w:val="24"/>
                <w:szCs w:val="24"/>
                <w:rtl/>
                <w:lang w:val="en-GB"/>
              </w:rPr>
              <w:t>مؤتمر</w:t>
            </w:r>
            <w:r w:rsidR="00B05B7F" w:rsidRPr="00420AA1">
              <w:rPr>
                <w:rFonts w:ascii="Times New Roman" w:hAnsi="Times New Roman"/>
                <w:sz w:val="24"/>
                <w:szCs w:val="24"/>
                <w:rtl/>
                <w:lang w:val="en-GB"/>
              </w:rPr>
              <w:t xml:space="preserve"> أو وثائق تصف عروض و</w:t>
            </w:r>
            <w:r w:rsidR="00F31627">
              <w:rPr>
                <w:rFonts w:ascii="Times New Roman" w:hAnsi="Times New Roman" w:hint="cs"/>
                <w:sz w:val="24"/>
                <w:szCs w:val="24"/>
                <w:rtl/>
                <w:lang w:val="en-GB"/>
              </w:rPr>
              <w:t>فعاليات</w:t>
            </w:r>
            <w:r w:rsidR="00B05B7F" w:rsidRPr="00420AA1">
              <w:rPr>
                <w:rFonts w:ascii="Times New Roman" w:hAnsi="Times New Roman"/>
                <w:sz w:val="24"/>
                <w:szCs w:val="24"/>
                <w:rtl/>
                <w:lang w:val="en-GB"/>
              </w:rPr>
              <w:t xml:space="preserve"> عامة </w:t>
            </w:r>
            <w:r w:rsidR="003D0B7B" w:rsidRPr="00420AA1">
              <w:rPr>
                <w:rFonts w:ascii="Times New Roman" w:hAnsi="Times New Roman"/>
                <w:sz w:val="24"/>
                <w:szCs w:val="24"/>
                <w:rtl/>
                <w:lang w:val="en-GB"/>
              </w:rPr>
              <w:t>أخرى</w:t>
            </w:r>
          </w:p>
          <w:p w14:paraId="7C47FF8C" w14:textId="421F2F91" w:rsidR="000A0D7B" w:rsidRPr="00420AA1" w:rsidRDefault="00B05B7F" w:rsidP="00180606">
            <w:pPr>
              <w:pStyle w:val="ListParagraph"/>
              <w:numPr>
                <w:ilvl w:val="0"/>
                <w:numId w:val="73"/>
              </w:numPr>
              <w:bidi/>
              <w:spacing w:before="120"/>
              <w:jc w:val="both"/>
              <w:rPr>
                <w:rFonts w:ascii="Times New Roman" w:hAnsi="Times New Roman"/>
                <w:sz w:val="24"/>
                <w:szCs w:val="24"/>
                <w:lang w:val="en-GB"/>
              </w:rPr>
            </w:pPr>
            <w:r w:rsidRPr="00420AA1">
              <w:rPr>
                <w:rFonts w:ascii="Times New Roman" w:hAnsi="Times New Roman"/>
                <w:sz w:val="24"/>
                <w:szCs w:val="24"/>
                <w:rtl/>
                <w:lang w:val="en-GB"/>
              </w:rPr>
              <w:t xml:space="preserve">تغطية إعلامية لبرامج وأنشطة </w:t>
            </w:r>
            <w:r w:rsidR="003D0B7B" w:rsidRPr="00420AA1">
              <w:rPr>
                <w:rFonts w:ascii="Times New Roman" w:hAnsi="Times New Roman"/>
                <w:sz w:val="24"/>
                <w:szCs w:val="24"/>
                <w:rtl/>
                <w:lang w:val="en-GB"/>
              </w:rPr>
              <w:t>تشاركي</w:t>
            </w:r>
            <w:r w:rsidRPr="00420AA1">
              <w:rPr>
                <w:rFonts w:ascii="Times New Roman" w:hAnsi="Times New Roman"/>
                <w:sz w:val="24"/>
                <w:szCs w:val="24"/>
                <w:rtl/>
                <w:lang w:val="en-GB"/>
              </w:rPr>
              <w:t xml:space="preserve">ة </w:t>
            </w:r>
            <w:r w:rsidR="003D0B7B" w:rsidRPr="00420AA1">
              <w:rPr>
                <w:rFonts w:ascii="Times New Roman" w:hAnsi="Times New Roman"/>
                <w:sz w:val="24"/>
                <w:szCs w:val="24"/>
                <w:rtl/>
                <w:lang w:val="en-GB"/>
              </w:rPr>
              <w:t>خاصة بالبحث والتوثيق</w:t>
            </w:r>
          </w:p>
        </w:tc>
      </w:tr>
    </w:tbl>
    <w:p w14:paraId="5FD87A1C" w14:textId="77777777" w:rsidR="00320242" w:rsidRPr="00B03E2D" w:rsidRDefault="00320242" w:rsidP="00180606">
      <w:pPr>
        <w:bidi/>
      </w:pPr>
    </w:p>
    <w:sectPr w:rsidR="00320242" w:rsidRPr="00B03E2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61A88" w14:textId="77777777" w:rsidR="0043641E" w:rsidRDefault="0043641E" w:rsidP="002938F2">
      <w:r>
        <w:separator/>
      </w:r>
    </w:p>
    <w:p w14:paraId="0DD4C3A7" w14:textId="77777777" w:rsidR="0043641E" w:rsidRDefault="0043641E"/>
  </w:endnote>
  <w:endnote w:type="continuationSeparator" w:id="0">
    <w:p w14:paraId="7EF6C3A5" w14:textId="77777777" w:rsidR="0043641E" w:rsidRDefault="0043641E" w:rsidP="002938F2">
      <w:r>
        <w:continuationSeparator/>
      </w:r>
    </w:p>
    <w:p w14:paraId="5BBC8275" w14:textId="77777777" w:rsidR="0043641E" w:rsidRDefault="0043641E"/>
  </w:endnote>
  <w:endnote w:type="continuationNotice" w:id="1">
    <w:p w14:paraId="29BFA13A" w14:textId="77777777" w:rsidR="0043641E" w:rsidRDefault="004364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457A" w14:textId="44F0C0FD" w:rsidR="00C04344" w:rsidRPr="000A0709" w:rsidRDefault="00FE6C94" w:rsidP="00C16923">
    <w:pPr>
      <w:pStyle w:val="Footer"/>
      <w:bidi/>
      <w:jc w:val="center"/>
      <w:rPr>
        <w:rFonts w:ascii="Arial" w:hAnsi="Arial"/>
      </w:rPr>
    </w:pPr>
    <w:r w:rsidRPr="000F25BA">
      <w:rPr>
        <w:rFonts w:ascii="Arial" w:hAnsi="Arial" w:cs="Arial"/>
      </w:rPr>
      <w:fldChar w:fldCharType="begin"/>
    </w:r>
    <w:r w:rsidR="000F25BA" w:rsidRPr="000F25BA">
      <w:rPr>
        <w:rFonts w:ascii="Arial" w:hAnsi="Arial" w:cs="Arial"/>
      </w:rPr>
      <w:instrText xml:space="preserve"> PAGE   \* MERGEFORMAT </w:instrText>
    </w:r>
    <w:r w:rsidRPr="000F25BA">
      <w:rPr>
        <w:rFonts w:ascii="Arial" w:hAnsi="Arial" w:cs="Arial"/>
      </w:rPr>
      <w:fldChar w:fldCharType="separate"/>
    </w:r>
    <w:r w:rsidR="00A75ABD">
      <w:rPr>
        <w:rFonts w:ascii="Arial" w:hAnsi="Arial" w:cs="Arial"/>
        <w:noProof/>
        <w:rtl/>
      </w:rPr>
      <w:t>1</w:t>
    </w:r>
    <w:r w:rsidRPr="000F25B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D2216" w14:textId="77777777" w:rsidR="0043641E" w:rsidRDefault="0043641E" w:rsidP="002938F2">
      <w:r>
        <w:separator/>
      </w:r>
    </w:p>
  </w:footnote>
  <w:footnote w:type="continuationSeparator" w:id="0">
    <w:p w14:paraId="0C4A9A9F" w14:textId="77777777" w:rsidR="0043641E" w:rsidRDefault="0043641E" w:rsidP="002938F2">
      <w:r>
        <w:continuationSeparator/>
      </w:r>
    </w:p>
    <w:p w14:paraId="251A8B86" w14:textId="77777777" w:rsidR="0043641E" w:rsidRDefault="0043641E"/>
  </w:footnote>
  <w:footnote w:type="continuationNotice" w:id="1">
    <w:p w14:paraId="43BFB417" w14:textId="77777777" w:rsidR="0043641E" w:rsidRDefault="0043641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AD0CFE"/>
    <w:multiLevelType w:val="multilevel"/>
    <w:tmpl w:val="D81A10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0"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4"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8" w15:restartNumberingAfterBreak="0">
    <w:nsid w:val="3B1C5F62"/>
    <w:multiLevelType w:val="hybridMultilevel"/>
    <w:tmpl w:val="1BAA933E"/>
    <w:lvl w:ilvl="0" w:tplc="C7C6701A">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8"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40"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4"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4"/>
  </w:num>
  <w:num w:numId="2">
    <w:abstractNumId w:val="26"/>
  </w:num>
  <w:num w:numId="3">
    <w:abstractNumId w:val="12"/>
  </w:num>
  <w:num w:numId="4">
    <w:abstractNumId w:val="56"/>
  </w:num>
  <w:num w:numId="5">
    <w:abstractNumId w:val="47"/>
  </w:num>
  <w:num w:numId="6">
    <w:abstractNumId w:val="4"/>
  </w:num>
  <w:num w:numId="7">
    <w:abstractNumId w:val="16"/>
  </w:num>
  <w:num w:numId="8">
    <w:abstractNumId w:val="25"/>
  </w:num>
  <w:num w:numId="9">
    <w:abstractNumId w:val="50"/>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3"/>
  </w:num>
  <w:num w:numId="17">
    <w:abstractNumId w:val="40"/>
  </w:num>
  <w:num w:numId="18">
    <w:abstractNumId w:val="25"/>
  </w:num>
  <w:num w:numId="19">
    <w:abstractNumId w:val="25"/>
  </w:num>
  <w:num w:numId="20">
    <w:abstractNumId w:val="25"/>
  </w:num>
  <w:num w:numId="21">
    <w:abstractNumId w:val="25"/>
  </w:num>
  <w:num w:numId="22">
    <w:abstractNumId w:val="25"/>
  </w:num>
  <w:num w:numId="23">
    <w:abstractNumId w:val="25"/>
  </w:num>
  <w:num w:numId="24">
    <w:abstractNumId w:val="25"/>
  </w:num>
  <w:num w:numId="25">
    <w:abstractNumId w:val="25"/>
  </w:num>
  <w:num w:numId="26">
    <w:abstractNumId w:val="54"/>
  </w:num>
  <w:num w:numId="27">
    <w:abstractNumId w:val="25"/>
  </w:num>
  <w:num w:numId="28">
    <w:abstractNumId w:val="25"/>
  </w:num>
  <w:num w:numId="29">
    <w:abstractNumId w:val="25"/>
  </w:num>
  <w:num w:numId="30">
    <w:abstractNumId w:val="25"/>
  </w:num>
  <w:num w:numId="31">
    <w:abstractNumId w:val="11"/>
  </w:num>
  <w:num w:numId="32">
    <w:abstractNumId w:val="8"/>
  </w:num>
  <w:num w:numId="33">
    <w:abstractNumId w:val="17"/>
  </w:num>
  <w:num w:numId="34">
    <w:abstractNumId w:val="48"/>
  </w:num>
  <w:num w:numId="35">
    <w:abstractNumId w:val="21"/>
  </w:num>
  <w:num w:numId="36">
    <w:abstractNumId w:val="42"/>
  </w:num>
  <w:num w:numId="37">
    <w:abstractNumId w:val="18"/>
  </w:num>
  <w:num w:numId="38">
    <w:abstractNumId w:val="10"/>
  </w:num>
  <w:num w:numId="39">
    <w:abstractNumId w:val="6"/>
  </w:num>
  <w:num w:numId="40">
    <w:abstractNumId w:val="20"/>
  </w:num>
  <w:num w:numId="41">
    <w:abstractNumId w:val="55"/>
  </w:num>
  <w:num w:numId="42">
    <w:abstractNumId w:val="52"/>
  </w:num>
  <w:num w:numId="43">
    <w:abstractNumId w:val="30"/>
  </w:num>
  <w:num w:numId="44">
    <w:abstractNumId w:val="13"/>
  </w:num>
  <w:num w:numId="45">
    <w:abstractNumId w:val="53"/>
  </w:num>
  <w:num w:numId="46">
    <w:abstractNumId w:val="5"/>
  </w:num>
  <w:num w:numId="47">
    <w:abstractNumId w:val="37"/>
  </w:num>
  <w:num w:numId="48">
    <w:abstractNumId w:val="57"/>
  </w:num>
  <w:num w:numId="49">
    <w:abstractNumId w:val="33"/>
  </w:num>
  <w:num w:numId="50">
    <w:abstractNumId w:val="31"/>
  </w:num>
  <w:num w:numId="51">
    <w:abstractNumId w:val="27"/>
  </w:num>
  <w:num w:numId="52">
    <w:abstractNumId w:val="39"/>
  </w:num>
  <w:num w:numId="53">
    <w:abstractNumId w:val="15"/>
  </w:num>
  <w:num w:numId="54">
    <w:abstractNumId w:val="1"/>
  </w:num>
  <w:num w:numId="55">
    <w:abstractNumId w:val="35"/>
  </w:num>
  <w:num w:numId="56">
    <w:abstractNumId w:val="41"/>
  </w:num>
  <w:num w:numId="57">
    <w:abstractNumId w:val="0"/>
  </w:num>
  <w:num w:numId="58">
    <w:abstractNumId w:val="3"/>
  </w:num>
  <w:num w:numId="59">
    <w:abstractNumId w:val="45"/>
  </w:num>
  <w:num w:numId="60">
    <w:abstractNumId w:val="2"/>
  </w:num>
  <w:num w:numId="61">
    <w:abstractNumId w:val="32"/>
  </w:num>
  <w:num w:numId="62">
    <w:abstractNumId w:val="22"/>
  </w:num>
  <w:num w:numId="63">
    <w:abstractNumId w:val="49"/>
  </w:num>
  <w:num w:numId="64">
    <w:abstractNumId w:val="19"/>
  </w:num>
  <w:num w:numId="65">
    <w:abstractNumId w:val="24"/>
  </w:num>
  <w:num w:numId="66">
    <w:abstractNumId w:val="46"/>
  </w:num>
  <w:num w:numId="67">
    <w:abstractNumId w:val="38"/>
  </w:num>
  <w:num w:numId="68">
    <w:abstractNumId w:val="14"/>
  </w:num>
  <w:num w:numId="69">
    <w:abstractNumId w:val="43"/>
  </w:num>
  <w:num w:numId="70">
    <w:abstractNumId w:val="34"/>
  </w:num>
  <w:num w:numId="71">
    <w:abstractNumId w:val="29"/>
  </w:num>
  <w:num w:numId="72">
    <w:abstractNumId w:val="51"/>
  </w:num>
  <w:num w:numId="73">
    <w:abstractNumId w:val="7"/>
  </w:num>
  <w:num w:numId="74">
    <w:abstractNumId w:val="36"/>
  </w:num>
  <w:num w:numId="75">
    <w:abstractNumId w:val="9"/>
  </w:num>
  <w:num w:numId="76">
    <w:abstractNumId w:val="2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ar-SA" w:vendorID="64" w:dllVersion="0" w:nlCheck="1" w:checkStyle="0"/>
  <w:activeWritingStyle w:appName="MSWord" w:lang="ar-EG"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68"/>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26E35"/>
    <w:rsid w:val="00031A37"/>
    <w:rsid w:val="0003593D"/>
    <w:rsid w:val="00036843"/>
    <w:rsid w:val="000454F4"/>
    <w:rsid w:val="00047E58"/>
    <w:rsid w:val="00054FDC"/>
    <w:rsid w:val="000632E2"/>
    <w:rsid w:val="00064FE1"/>
    <w:rsid w:val="00067AA2"/>
    <w:rsid w:val="0007203D"/>
    <w:rsid w:val="000729D2"/>
    <w:rsid w:val="00073D20"/>
    <w:rsid w:val="00074E7D"/>
    <w:rsid w:val="000755E1"/>
    <w:rsid w:val="0007681B"/>
    <w:rsid w:val="000769F1"/>
    <w:rsid w:val="000771A5"/>
    <w:rsid w:val="0008318A"/>
    <w:rsid w:val="00083694"/>
    <w:rsid w:val="0008520C"/>
    <w:rsid w:val="00085541"/>
    <w:rsid w:val="00092AE6"/>
    <w:rsid w:val="00092DE2"/>
    <w:rsid w:val="00093063"/>
    <w:rsid w:val="000A0709"/>
    <w:rsid w:val="000A0D7B"/>
    <w:rsid w:val="000A0F0D"/>
    <w:rsid w:val="000A112A"/>
    <w:rsid w:val="000A21DA"/>
    <w:rsid w:val="000A34CE"/>
    <w:rsid w:val="000C03BF"/>
    <w:rsid w:val="000C15BD"/>
    <w:rsid w:val="000C65E4"/>
    <w:rsid w:val="000C7EE0"/>
    <w:rsid w:val="000D1EBC"/>
    <w:rsid w:val="000D260B"/>
    <w:rsid w:val="000D345F"/>
    <w:rsid w:val="000D7375"/>
    <w:rsid w:val="000E2EE7"/>
    <w:rsid w:val="000F25BA"/>
    <w:rsid w:val="000F2B3F"/>
    <w:rsid w:val="000F7E6F"/>
    <w:rsid w:val="00106B72"/>
    <w:rsid w:val="00106D19"/>
    <w:rsid w:val="0011334A"/>
    <w:rsid w:val="00115830"/>
    <w:rsid w:val="00116489"/>
    <w:rsid w:val="0011750D"/>
    <w:rsid w:val="00121B41"/>
    <w:rsid w:val="00127EAD"/>
    <w:rsid w:val="001301DF"/>
    <w:rsid w:val="001412DE"/>
    <w:rsid w:val="00142D78"/>
    <w:rsid w:val="00144A4D"/>
    <w:rsid w:val="00151351"/>
    <w:rsid w:val="001538DF"/>
    <w:rsid w:val="00156788"/>
    <w:rsid w:val="001609A1"/>
    <w:rsid w:val="00162554"/>
    <w:rsid w:val="00163F68"/>
    <w:rsid w:val="00164289"/>
    <w:rsid w:val="00170EDA"/>
    <w:rsid w:val="00173B50"/>
    <w:rsid w:val="00173E0E"/>
    <w:rsid w:val="00174B39"/>
    <w:rsid w:val="00180606"/>
    <w:rsid w:val="00182E36"/>
    <w:rsid w:val="00183F6C"/>
    <w:rsid w:val="00194802"/>
    <w:rsid w:val="00194AEB"/>
    <w:rsid w:val="001A338C"/>
    <w:rsid w:val="001A431C"/>
    <w:rsid w:val="001A5519"/>
    <w:rsid w:val="001A7C3A"/>
    <w:rsid w:val="001B5C26"/>
    <w:rsid w:val="001C08BC"/>
    <w:rsid w:val="001C56BA"/>
    <w:rsid w:val="001C6D7D"/>
    <w:rsid w:val="001D00B5"/>
    <w:rsid w:val="001D1CAA"/>
    <w:rsid w:val="001D3B29"/>
    <w:rsid w:val="001D4A39"/>
    <w:rsid w:val="001D59C8"/>
    <w:rsid w:val="001E4EEB"/>
    <w:rsid w:val="001E6026"/>
    <w:rsid w:val="001E70B9"/>
    <w:rsid w:val="001F3696"/>
    <w:rsid w:val="001F37CA"/>
    <w:rsid w:val="001F4BFA"/>
    <w:rsid w:val="0020163D"/>
    <w:rsid w:val="00203AD7"/>
    <w:rsid w:val="002042CC"/>
    <w:rsid w:val="00204B37"/>
    <w:rsid w:val="002074D6"/>
    <w:rsid w:val="00210CBC"/>
    <w:rsid w:val="002119C5"/>
    <w:rsid w:val="00213817"/>
    <w:rsid w:val="00222AF2"/>
    <w:rsid w:val="00223C3B"/>
    <w:rsid w:val="0022422F"/>
    <w:rsid w:val="00224346"/>
    <w:rsid w:val="0022597C"/>
    <w:rsid w:val="00226582"/>
    <w:rsid w:val="00230F77"/>
    <w:rsid w:val="00232E4E"/>
    <w:rsid w:val="00234AE4"/>
    <w:rsid w:val="00237935"/>
    <w:rsid w:val="00237E43"/>
    <w:rsid w:val="00245E26"/>
    <w:rsid w:val="002539EA"/>
    <w:rsid w:val="002542FD"/>
    <w:rsid w:val="00254984"/>
    <w:rsid w:val="00254B4E"/>
    <w:rsid w:val="00254CA1"/>
    <w:rsid w:val="0026007A"/>
    <w:rsid w:val="00262BA9"/>
    <w:rsid w:val="002638C0"/>
    <w:rsid w:val="00265E42"/>
    <w:rsid w:val="00266B45"/>
    <w:rsid w:val="0027198B"/>
    <w:rsid w:val="00273658"/>
    <w:rsid w:val="00281AA4"/>
    <w:rsid w:val="00282A9D"/>
    <w:rsid w:val="00286C0C"/>
    <w:rsid w:val="0028719D"/>
    <w:rsid w:val="00287687"/>
    <w:rsid w:val="00290D5F"/>
    <w:rsid w:val="002938F2"/>
    <w:rsid w:val="00293CCC"/>
    <w:rsid w:val="002A195D"/>
    <w:rsid w:val="002B1E8B"/>
    <w:rsid w:val="002B2ED9"/>
    <w:rsid w:val="002B43D6"/>
    <w:rsid w:val="002B6B98"/>
    <w:rsid w:val="002B7CCE"/>
    <w:rsid w:val="002C28BA"/>
    <w:rsid w:val="002C3897"/>
    <w:rsid w:val="002C3B8F"/>
    <w:rsid w:val="002C444C"/>
    <w:rsid w:val="002C5021"/>
    <w:rsid w:val="002C5280"/>
    <w:rsid w:val="002C5C29"/>
    <w:rsid w:val="002D396D"/>
    <w:rsid w:val="002D71D4"/>
    <w:rsid w:val="002E113D"/>
    <w:rsid w:val="002F16A0"/>
    <w:rsid w:val="002F17E1"/>
    <w:rsid w:val="003043A9"/>
    <w:rsid w:val="0030454E"/>
    <w:rsid w:val="003050A1"/>
    <w:rsid w:val="00320242"/>
    <w:rsid w:val="00322A3A"/>
    <w:rsid w:val="00324A32"/>
    <w:rsid w:val="00325D6E"/>
    <w:rsid w:val="00332003"/>
    <w:rsid w:val="00334977"/>
    <w:rsid w:val="00337194"/>
    <w:rsid w:val="00342EE8"/>
    <w:rsid w:val="00344D78"/>
    <w:rsid w:val="00346517"/>
    <w:rsid w:val="00351CCB"/>
    <w:rsid w:val="0035648A"/>
    <w:rsid w:val="00361679"/>
    <w:rsid w:val="00362B41"/>
    <w:rsid w:val="00363995"/>
    <w:rsid w:val="00364E5E"/>
    <w:rsid w:val="00370E9B"/>
    <w:rsid w:val="00377E4B"/>
    <w:rsid w:val="00382244"/>
    <w:rsid w:val="00383BA9"/>
    <w:rsid w:val="003845B0"/>
    <w:rsid w:val="00385B34"/>
    <w:rsid w:val="00386C08"/>
    <w:rsid w:val="00387D88"/>
    <w:rsid w:val="00390882"/>
    <w:rsid w:val="003941C6"/>
    <w:rsid w:val="0039446E"/>
    <w:rsid w:val="003A260A"/>
    <w:rsid w:val="003A2BC4"/>
    <w:rsid w:val="003A3240"/>
    <w:rsid w:val="003B31BE"/>
    <w:rsid w:val="003B504D"/>
    <w:rsid w:val="003C37A3"/>
    <w:rsid w:val="003C7065"/>
    <w:rsid w:val="003C7E70"/>
    <w:rsid w:val="003D0B7B"/>
    <w:rsid w:val="003D2E0D"/>
    <w:rsid w:val="003D5113"/>
    <w:rsid w:val="003D5BFC"/>
    <w:rsid w:val="003D6E10"/>
    <w:rsid w:val="003E0C0F"/>
    <w:rsid w:val="003E0E28"/>
    <w:rsid w:val="003E19D5"/>
    <w:rsid w:val="003E76A8"/>
    <w:rsid w:val="003F5B90"/>
    <w:rsid w:val="003F6FA2"/>
    <w:rsid w:val="00404856"/>
    <w:rsid w:val="00406ED7"/>
    <w:rsid w:val="004108B6"/>
    <w:rsid w:val="0041110F"/>
    <w:rsid w:val="0041300C"/>
    <w:rsid w:val="00414B68"/>
    <w:rsid w:val="00420AA1"/>
    <w:rsid w:val="00430ED2"/>
    <w:rsid w:val="0043141E"/>
    <w:rsid w:val="00431AA0"/>
    <w:rsid w:val="00434773"/>
    <w:rsid w:val="0043641E"/>
    <w:rsid w:val="004367F5"/>
    <w:rsid w:val="004458C9"/>
    <w:rsid w:val="00447C66"/>
    <w:rsid w:val="004611A3"/>
    <w:rsid w:val="00462F38"/>
    <w:rsid w:val="00471B34"/>
    <w:rsid w:val="00474AFE"/>
    <w:rsid w:val="00477E66"/>
    <w:rsid w:val="00480809"/>
    <w:rsid w:val="004831C7"/>
    <w:rsid w:val="00486A5E"/>
    <w:rsid w:val="00493F92"/>
    <w:rsid w:val="004A0C2B"/>
    <w:rsid w:val="004A610E"/>
    <w:rsid w:val="004C20E2"/>
    <w:rsid w:val="004C36D9"/>
    <w:rsid w:val="004D3C94"/>
    <w:rsid w:val="004D43F2"/>
    <w:rsid w:val="004E056C"/>
    <w:rsid w:val="004E2817"/>
    <w:rsid w:val="004E2AE8"/>
    <w:rsid w:val="004E418A"/>
    <w:rsid w:val="004F4352"/>
    <w:rsid w:val="005016FB"/>
    <w:rsid w:val="00504256"/>
    <w:rsid w:val="00507507"/>
    <w:rsid w:val="00511D17"/>
    <w:rsid w:val="005157E2"/>
    <w:rsid w:val="0051699F"/>
    <w:rsid w:val="00516DE3"/>
    <w:rsid w:val="005209BC"/>
    <w:rsid w:val="005223AE"/>
    <w:rsid w:val="00523E3C"/>
    <w:rsid w:val="005300BF"/>
    <w:rsid w:val="005317DE"/>
    <w:rsid w:val="00531C49"/>
    <w:rsid w:val="00532631"/>
    <w:rsid w:val="005414A1"/>
    <w:rsid w:val="0054175C"/>
    <w:rsid w:val="005473CF"/>
    <w:rsid w:val="005526B9"/>
    <w:rsid w:val="0056595D"/>
    <w:rsid w:val="00570355"/>
    <w:rsid w:val="00571780"/>
    <w:rsid w:val="00572EDA"/>
    <w:rsid w:val="00574530"/>
    <w:rsid w:val="00581423"/>
    <w:rsid w:val="00582402"/>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0630"/>
    <w:rsid w:val="005E3A3E"/>
    <w:rsid w:val="005E6A2B"/>
    <w:rsid w:val="005E7C7C"/>
    <w:rsid w:val="005F7C20"/>
    <w:rsid w:val="00601DD6"/>
    <w:rsid w:val="006032AE"/>
    <w:rsid w:val="00603F71"/>
    <w:rsid w:val="00605202"/>
    <w:rsid w:val="00614AE4"/>
    <w:rsid w:val="00621092"/>
    <w:rsid w:val="00621208"/>
    <w:rsid w:val="00632B22"/>
    <w:rsid w:val="00632B30"/>
    <w:rsid w:val="006340A1"/>
    <w:rsid w:val="006351E9"/>
    <w:rsid w:val="00636760"/>
    <w:rsid w:val="00637271"/>
    <w:rsid w:val="00644B92"/>
    <w:rsid w:val="00645B77"/>
    <w:rsid w:val="0065099D"/>
    <w:rsid w:val="006515C9"/>
    <w:rsid w:val="00651944"/>
    <w:rsid w:val="00651A24"/>
    <w:rsid w:val="00652318"/>
    <w:rsid w:val="00652484"/>
    <w:rsid w:val="00653314"/>
    <w:rsid w:val="006539B7"/>
    <w:rsid w:val="006651FD"/>
    <w:rsid w:val="006664E7"/>
    <w:rsid w:val="0067005F"/>
    <w:rsid w:val="0067015A"/>
    <w:rsid w:val="006736EC"/>
    <w:rsid w:val="00673D90"/>
    <w:rsid w:val="00676C1E"/>
    <w:rsid w:val="00686D60"/>
    <w:rsid w:val="00691869"/>
    <w:rsid w:val="00693F70"/>
    <w:rsid w:val="006A0D86"/>
    <w:rsid w:val="006A2171"/>
    <w:rsid w:val="006A49AE"/>
    <w:rsid w:val="006A56C0"/>
    <w:rsid w:val="006C0911"/>
    <w:rsid w:val="006C737A"/>
    <w:rsid w:val="006D46FB"/>
    <w:rsid w:val="006E29C0"/>
    <w:rsid w:val="006E2FD2"/>
    <w:rsid w:val="006E6406"/>
    <w:rsid w:val="006E668F"/>
    <w:rsid w:val="006E752A"/>
    <w:rsid w:val="006E7CF0"/>
    <w:rsid w:val="006F3E83"/>
    <w:rsid w:val="006F4B83"/>
    <w:rsid w:val="006F7F47"/>
    <w:rsid w:val="00701458"/>
    <w:rsid w:val="00701D7E"/>
    <w:rsid w:val="00703441"/>
    <w:rsid w:val="00704766"/>
    <w:rsid w:val="007119B8"/>
    <w:rsid w:val="00722901"/>
    <w:rsid w:val="0072415E"/>
    <w:rsid w:val="007247D7"/>
    <w:rsid w:val="007250E3"/>
    <w:rsid w:val="007277C8"/>
    <w:rsid w:val="00732057"/>
    <w:rsid w:val="007368A2"/>
    <w:rsid w:val="007418AE"/>
    <w:rsid w:val="00742DD1"/>
    <w:rsid w:val="0074360F"/>
    <w:rsid w:val="00746204"/>
    <w:rsid w:val="00747715"/>
    <w:rsid w:val="00747F86"/>
    <w:rsid w:val="00750138"/>
    <w:rsid w:val="0075273E"/>
    <w:rsid w:val="00753DA3"/>
    <w:rsid w:val="007610D3"/>
    <w:rsid w:val="007629DB"/>
    <w:rsid w:val="00764F50"/>
    <w:rsid w:val="00767871"/>
    <w:rsid w:val="00770A92"/>
    <w:rsid w:val="00774D9C"/>
    <w:rsid w:val="00776A63"/>
    <w:rsid w:val="00777BAF"/>
    <w:rsid w:val="00790C65"/>
    <w:rsid w:val="00792584"/>
    <w:rsid w:val="0079316B"/>
    <w:rsid w:val="007A0565"/>
    <w:rsid w:val="007A0EAA"/>
    <w:rsid w:val="007A1247"/>
    <w:rsid w:val="007A1E0A"/>
    <w:rsid w:val="007A593F"/>
    <w:rsid w:val="007A6F91"/>
    <w:rsid w:val="007A7D45"/>
    <w:rsid w:val="007B4ADA"/>
    <w:rsid w:val="007C105C"/>
    <w:rsid w:val="007C1B00"/>
    <w:rsid w:val="007D0F1D"/>
    <w:rsid w:val="007D2881"/>
    <w:rsid w:val="007D2CE3"/>
    <w:rsid w:val="007D31CE"/>
    <w:rsid w:val="007D3AD8"/>
    <w:rsid w:val="007D5BB7"/>
    <w:rsid w:val="007D6A69"/>
    <w:rsid w:val="007E0621"/>
    <w:rsid w:val="007E4C26"/>
    <w:rsid w:val="007E4E37"/>
    <w:rsid w:val="007F3996"/>
    <w:rsid w:val="007F4B07"/>
    <w:rsid w:val="008029A6"/>
    <w:rsid w:val="008147BA"/>
    <w:rsid w:val="00825F17"/>
    <w:rsid w:val="008269B0"/>
    <w:rsid w:val="0083067E"/>
    <w:rsid w:val="00832357"/>
    <w:rsid w:val="0083488D"/>
    <w:rsid w:val="008466C3"/>
    <w:rsid w:val="00846809"/>
    <w:rsid w:val="00851458"/>
    <w:rsid w:val="00851A80"/>
    <w:rsid w:val="00852CE0"/>
    <w:rsid w:val="00861A47"/>
    <w:rsid w:val="008707FF"/>
    <w:rsid w:val="008724E5"/>
    <w:rsid w:val="00877AC5"/>
    <w:rsid w:val="00877F27"/>
    <w:rsid w:val="0088173A"/>
    <w:rsid w:val="00881EB9"/>
    <w:rsid w:val="008848E9"/>
    <w:rsid w:val="00884C09"/>
    <w:rsid w:val="00885596"/>
    <w:rsid w:val="00885B33"/>
    <w:rsid w:val="00886B71"/>
    <w:rsid w:val="0089499E"/>
    <w:rsid w:val="00896177"/>
    <w:rsid w:val="00897607"/>
    <w:rsid w:val="008A0BE3"/>
    <w:rsid w:val="008A2566"/>
    <w:rsid w:val="008A6663"/>
    <w:rsid w:val="008B6B4C"/>
    <w:rsid w:val="008B729E"/>
    <w:rsid w:val="008B7346"/>
    <w:rsid w:val="008B799F"/>
    <w:rsid w:val="008C7F60"/>
    <w:rsid w:val="008D2E61"/>
    <w:rsid w:val="008D3BF7"/>
    <w:rsid w:val="008E0DAA"/>
    <w:rsid w:val="008E194D"/>
    <w:rsid w:val="008E22E3"/>
    <w:rsid w:val="008F16C6"/>
    <w:rsid w:val="008F2A76"/>
    <w:rsid w:val="008F34A1"/>
    <w:rsid w:val="008F4F13"/>
    <w:rsid w:val="008F5052"/>
    <w:rsid w:val="008F5193"/>
    <w:rsid w:val="0090187D"/>
    <w:rsid w:val="00903C3D"/>
    <w:rsid w:val="0090710F"/>
    <w:rsid w:val="00910B12"/>
    <w:rsid w:val="00911179"/>
    <w:rsid w:val="009121CE"/>
    <w:rsid w:val="009127D8"/>
    <w:rsid w:val="00915F00"/>
    <w:rsid w:val="00916F7B"/>
    <w:rsid w:val="00917A4D"/>
    <w:rsid w:val="00921F65"/>
    <w:rsid w:val="0092574C"/>
    <w:rsid w:val="009342E8"/>
    <w:rsid w:val="009357B4"/>
    <w:rsid w:val="00946D71"/>
    <w:rsid w:val="009577E1"/>
    <w:rsid w:val="00971CA1"/>
    <w:rsid w:val="0097349C"/>
    <w:rsid w:val="009814C2"/>
    <w:rsid w:val="00982FFD"/>
    <w:rsid w:val="00984D55"/>
    <w:rsid w:val="00985265"/>
    <w:rsid w:val="00985856"/>
    <w:rsid w:val="009A0F11"/>
    <w:rsid w:val="009A4969"/>
    <w:rsid w:val="009B1466"/>
    <w:rsid w:val="009B6973"/>
    <w:rsid w:val="009C0510"/>
    <w:rsid w:val="009C3663"/>
    <w:rsid w:val="009D098F"/>
    <w:rsid w:val="009D4547"/>
    <w:rsid w:val="009D4AC1"/>
    <w:rsid w:val="009D5A49"/>
    <w:rsid w:val="009D5E38"/>
    <w:rsid w:val="009D602F"/>
    <w:rsid w:val="009D68D0"/>
    <w:rsid w:val="009E17AF"/>
    <w:rsid w:val="009E7562"/>
    <w:rsid w:val="009F0D42"/>
    <w:rsid w:val="009F1B82"/>
    <w:rsid w:val="009F34A4"/>
    <w:rsid w:val="009F3988"/>
    <w:rsid w:val="00A003D0"/>
    <w:rsid w:val="00A0041A"/>
    <w:rsid w:val="00A073FD"/>
    <w:rsid w:val="00A150C7"/>
    <w:rsid w:val="00A2307A"/>
    <w:rsid w:val="00A30631"/>
    <w:rsid w:val="00A44620"/>
    <w:rsid w:val="00A462C6"/>
    <w:rsid w:val="00A519A2"/>
    <w:rsid w:val="00A51BDC"/>
    <w:rsid w:val="00A535B7"/>
    <w:rsid w:val="00A5709F"/>
    <w:rsid w:val="00A616C4"/>
    <w:rsid w:val="00A61F20"/>
    <w:rsid w:val="00A64796"/>
    <w:rsid w:val="00A66CD4"/>
    <w:rsid w:val="00A70883"/>
    <w:rsid w:val="00A75ABD"/>
    <w:rsid w:val="00A77AEB"/>
    <w:rsid w:val="00A818D6"/>
    <w:rsid w:val="00A81F0A"/>
    <w:rsid w:val="00A85C7A"/>
    <w:rsid w:val="00A86042"/>
    <w:rsid w:val="00A87D6A"/>
    <w:rsid w:val="00AA34C3"/>
    <w:rsid w:val="00AA36F9"/>
    <w:rsid w:val="00AA444A"/>
    <w:rsid w:val="00AA6F84"/>
    <w:rsid w:val="00AB1528"/>
    <w:rsid w:val="00AB454C"/>
    <w:rsid w:val="00AD6BD4"/>
    <w:rsid w:val="00AE1B18"/>
    <w:rsid w:val="00AE1D83"/>
    <w:rsid w:val="00AE2DFB"/>
    <w:rsid w:val="00AE3061"/>
    <w:rsid w:val="00AF15BA"/>
    <w:rsid w:val="00AF1C32"/>
    <w:rsid w:val="00AF65C6"/>
    <w:rsid w:val="00B03E2D"/>
    <w:rsid w:val="00B04ADB"/>
    <w:rsid w:val="00B05B7F"/>
    <w:rsid w:val="00B11AE3"/>
    <w:rsid w:val="00B121A6"/>
    <w:rsid w:val="00B12738"/>
    <w:rsid w:val="00B245A5"/>
    <w:rsid w:val="00B300B8"/>
    <w:rsid w:val="00B32A28"/>
    <w:rsid w:val="00B33904"/>
    <w:rsid w:val="00B3751E"/>
    <w:rsid w:val="00B427FE"/>
    <w:rsid w:val="00B51737"/>
    <w:rsid w:val="00B53239"/>
    <w:rsid w:val="00B6102A"/>
    <w:rsid w:val="00B6167A"/>
    <w:rsid w:val="00B62ED0"/>
    <w:rsid w:val="00B64196"/>
    <w:rsid w:val="00B66A7A"/>
    <w:rsid w:val="00B70266"/>
    <w:rsid w:val="00B74304"/>
    <w:rsid w:val="00B82F05"/>
    <w:rsid w:val="00B87142"/>
    <w:rsid w:val="00B8750E"/>
    <w:rsid w:val="00B91878"/>
    <w:rsid w:val="00B92374"/>
    <w:rsid w:val="00B924C8"/>
    <w:rsid w:val="00B92837"/>
    <w:rsid w:val="00B9301C"/>
    <w:rsid w:val="00B95E33"/>
    <w:rsid w:val="00B96BCF"/>
    <w:rsid w:val="00B973B5"/>
    <w:rsid w:val="00B97FD1"/>
    <w:rsid w:val="00BA0EA3"/>
    <w:rsid w:val="00BA6367"/>
    <w:rsid w:val="00BA7EF2"/>
    <w:rsid w:val="00BB1062"/>
    <w:rsid w:val="00BB28EF"/>
    <w:rsid w:val="00BB4850"/>
    <w:rsid w:val="00BB5DEE"/>
    <w:rsid w:val="00BC002E"/>
    <w:rsid w:val="00BC393F"/>
    <w:rsid w:val="00BC75FC"/>
    <w:rsid w:val="00BD59BD"/>
    <w:rsid w:val="00BE3865"/>
    <w:rsid w:val="00BE5B3F"/>
    <w:rsid w:val="00BF351F"/>
    <w:rsid w:val="00BF3F50"/>
    <w:rsid w:val="00BF57E3"/>
    <w:rsid w:val="00BF6F37"/>
    <w:rsid w:val="00C02924"/>
    <w:rsid w:val="00C04344"/>
    <w:rsid w:val="00C16923"/>
    <w:rsid w:val="00C17FE4"/>
    <w:rsid w:val="00C21897"/>
    <w:rsid w:val="00C23006"/>
    <w:rsid w:val="00C276EE"/>
    <w:rsid w:val="00C33560"/>
    <w:rsid w:val="00C3497B"/>
    <w:rsid w:val="00C43146"/>
    <w:rsid w:val="00C43757"/>
    <w:rsid w:val="00C43BCE"/>
    <w:rsid w:val="00C47CF1"/>
    <w:rsid w:val="00C52006"/>
    <w:rsid w:val="00C53AB4"/>
    <w:rsid w:val="00C542F1"/>
    <w:rsid w:val="00C572B3"/>
    <w:rsid w:val="00C57CA1"/>
    <w:rsid w:val="00C6300B"/>
    <w:rsid w:val="00C6426B"/>
    <w:rsid w:val="00C6478B"/>
    <w:rsid w:val="00C87194"/>
    <w:rsid w:val="00C90629"/>
    <w:rsid w:val="00C90C51"/>
    <w:rsid w:val="00C95B1C"/>
    <w:rsid w:val="00CA3ED6"/>
    <w:rsid w:val="00CA7CF4"/>
    <w:rsid w:val="00CB0F37"/>
    <w:rsid w:val="00CB1135"/>
    <w:rsid w:val="00CB4F13"/>
    <w:rsid w:val="00CB590B"/>
    <w:rsid w:val="00CC02C5"/>
    <w:rsid w:val="00CC2BC6"/>
    <w:rsid w:val="00CC3AAB"/>
    <w:rsid w:val="00CC3BCB"/>
    <w:rsid w:val="00CD324E"/>
    <w:rsid w:val="00CD4859"/>
    <w:rsid w:val="00CD4A28"/>
    <w:rsid w:val="00CD54BD"/>
    <w:rsid w:val="00CD6623"/>
    <w:rsid w:val="00CD6C36"/>
    <w:rsid w:val="00CE2586"/>
    <w:rsid w:val="00CF05D7"/>
    <w:rsid w:val="00CF34A6"/>
    <w:rsid w:val="00CF3F93"/>
    <w:rsid w:val="00D020F3"/>
    <w:rsid w:val="00D04515"/>
    <w:rsid w:val="00D065AD"/>
    <w:rsid w:val="00D102B3"/>
    <w:rsid w:val="00D17FDF"/>
    <w:rsid w:val="00D20C2E"/>
    <w:rsid w:val="00D213A5"/>
    <w:rsid w:val="00D22831"/>
    <w:rsid w:val="00D370B6"/>
    <w:rsid w:val="00D404B7"/>
    <w:rsid w:val="00D44509"/>
    <w:rsid w:val="00D448CB"/>
    <w:rsid w:val="00D47226"/>
    <w:rsid w:val="00D47ED5"/>
    <w:rsid w:val="00D61779"/>
    <w:rsid w:val="00D620E7"/>
    <w:rsid w:val="00D62FA0"/>
    <w:rsid w:val="00D65B21"/>
    <w:rsid w:val="00D67A3E"/>
    <w:rsid w:val="00D67FFB"/>
    <w:rsid w:val="00D73DB6"/>
    <w:rsid w:val="00D809E5"/>
    <w:rsid w:val="00D80F43"/>
    <w:rsid w:val="00D81948"/>
    <w:rsid w:val="00D90819"/>
    <w:rsid w:val="00D93291"/>
    <w:rsid w:val="00D9501F"/>
    <w:rsid w:val="00D977E6"/>
    <w:rsid w:val="00DB50D5"/>
    <w:rsid w:val="00DC2318"/>
    <w:rsid w:val="00DC394F"/>
    <w:rsid w:val="00DC5537"/>
    <w:rsid w:val="00DD11EE"/>
    <w:rsid w:val="00DD52A0"/>
    <w:rsid w:val="00DE41A8"/>
    <w:rsid w:val="00DE5590"/>
    <w:rsid w:val="00DE6268"/>
    <w:rsid w:val="00DE6364"/>
    <w:rsid w:val="00DE697B"/>
    <w:rsid w:val="00DF1D9E"/>
    <w:rsid w:val="00DF3D68"/>
    <w:rsid w:val="00DF3DA3"/>
    <w:rsid w:val="00DF5DA4"/>
    <w:rsid w:val="00E06492"/>
    <w:rsid w:val="00E065CE"/>
    <w:rsid w:val="00E06A00"/>
    <w:rsid w:val="00E13E03"/>
    <w:rsid w:val="00E22B99"/>
    <w:rsid w:val="00E24A9D"/>
    <w:rsid w:val="00E258D9"/>
    <w:rsid w:val="00E35B8C"/>
    <w:rsid w:val="00E361BF"/>
    <w:rsid w:val="00E439CA"/>
    <w:rsid w:val="00E46DDB"/>
    <w:rsid w:val="00E473F3"/>
    <w:rsid w:val="00E5219B"/>
    <w:rsid w:val="00E56905"/>
    <w:rsid w:val="00E57CB9"/>
    <w:rsid w:val="00E64BE4"/>
    <w:rsid w:val="00E760A1"/>
    <w:rsid w:val="00E85565"/>
    <w:rsid w:val="00E87F91"/>
    <w:rsid w:val="00E94BC6"/>
    <w:rsid w:val="00EA0563"/>
    <w:rsid w:val="00EA198F"/>
    <w:rsid w:val="00EA2EA1"/>
    <w:rsid w:val="00EA3CB9"/>
    <w:rsid w:val="00EA4493"/>
    <w:rsid w:val="00EA59EB"/>
    <w:rsid w:val="00EA67F3"/>
    <w:rsid w:val="00EB48F8"/>
    <w:rsid w:val="00ED0C60"/>
    <w:rsid w:val="00ED3D26"/>
    <w:rsid w:val="00ED5218"/>
    <w:rsid w:val="00ED7BB8"/>
    <w:rsid w:val="00EE1D9D"/>
    <w:rsid w:val="00EF0BCB"/>
    <w:rsid w:val="00EF0E74"/>
    <w:rsid w:val="00EF2549"/>
    <w:rsid w:val="00F0055D"/>
    <w:rsid w:val="00F00E8A"/>
    <w:rsid w:val="00F1384F"/>
    <w:rsid w:val="00F16242"/>
    <w:rsid w:val="00F17FCB"/>
    <w:rsid w:val="00F226CC"/>
    <w:rsid w:val="00F25D54"/>
    <w:rsid w:val="00F2691E"/>
    <w:rsid w:val="00F279DD"/>
    <w:rsid w:val="00F311C3"/>
    <w:rsid w:val="00F31627"/>
    <w:rsid w:val="00F3242E"/>
    <w:rsid w:val="00F33650"/>
    <w:rsid w:val="00F33DF9"/>
    <w:rsid w:val="00F348F9"/>
    <w:rsid w:val="00F35B13"/>
    <w:rsid w:val="00F37E4B"/>
    <w:rsid w:val="00F4144E"/>
    <w:rsid w:val="00F41B00"/>
    <w:rsid w:val="00F41F4E"/>
    <w:rsid w:val="00F473CB"/>
    <w:rsid w:val="00F50245"/>
    <w:rsid w:val="00F63DDA"/>
    <w:rsid w:val="00F67029"/>
    <w:rsid w:val="00F70858"/>
    <w:rsid w:val="00F71BBC"/>
    <w:rsid w:val="00F7397F"/>
    <w:rsid w:val="00F75420"/>
    <w:rsid w:val="00F75949"/>
    <w:rsid w:val="00F75CF4"/>
    <w:rsid w:val="00F8614C"/>
    <w:rsid w:val="00F866CD"/>
    <w:rsid w:val="00F941F0"/>
    <w:rsid w:val="00F96B39"/>
    <w:rsid w:val="00F97FF5"/>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E5587"/>
    <w:rsid w:val="00FE6C94"/>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0A0B7F"/>
  <w15:docId w15:val="{919781BA-43F6-452E-A9E2-135EC2D8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DefaultParagraphFont"/>
    <w:uiPriority w:val="99"/>
    <w:semiHidden/>
    <w:unhideWhenUsed/>
    <w:rsid w:val="00BB4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E0F73-5DB9-4FDF-9B56-1968BFC47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template_20190423.dotx</Template>
  <TotalTime>1</TotalTime>
  <Pages>2</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Joseph, George</cp:lastModifiedBy>
  <cp:revision>2</cp:revision>
  <dcterms:created xsi:type="dcterms:W3CDTF">2022-04-06T09:47:00Z</dcterms:created>
  <dcterms:modified xsi:type="dcterms:W3CDTF">2022-04-06T09:47:00Z</dcterms:modified>
</cp:coreProperties>
</file>