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BB66"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6B7CFD55" w14:textId="77777777" w:rsidTr="004C36D9">
        <w:trPr>
          <w:cantSplit/>
        </w:trPr>
        <w:tc>
          <w:tcPr>
            <w:tcW w:w="786" w:type="pct"/>
            <w:shd w:val="clear" w:color="auto" w:fill="auto"/>
          </w:tcPr>
          <w:p w14:paraId="7F391C74"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4D059DA1" w14:textId="77777777" w:rsidR="005473CF" w:rsidRPr="00F866CD" w:rsidRDefault="0008520C" w:rsidP="00777BAF">
            <w:pPr>
              <w:keepLines/>
              <w:spacing w:before="120"/>
              <w:ind w:left="567" w:hanging="567"/>
              <w:rPr>
                <w:rFonts w:ascii="Arial" w:hAnsi="Arial" w:cs="Arial"/>
                <w:b/>
                <w:szCs w:val="22"/>
              </w:rPr>
            </w:pPr>
            <w:r w:rsidRPr="0008520C">
              <w:rPr>
                <w:rFonts w:ascii="Arial" w:hAnsi="Arial" w:cs="Arial"/>
                <w:b/>
                <w:szCs w:val="22"/>
              </w:rPr>
              <w:t>9.</w:t>
            </w:r>
            <w:r w:rsidRPr="0008520C">
              <w:rPr>
                <w:rFonts w:ascii="Arial" w:hAnsi="Arial" w:cs="Arial"/>
                <w:b/>
                <w:szCs w:val="22"/>
              </w:rPr>
              <w:tab/>
              <w:t>Extent to which research and documentation, including scientific, technical and artistic studies, contribute to safeguarding</w:t>
            </w:r>
          </w:p>
        </w:tc>
      </w:tr>
      <w:tr w:rsidR="005B0FE5" w:rsidRPr="00F866CD" w14:paraId="40A09BC3" w14:textId="77777777" w:rsidTr="004C36D9">
        <w:trPr>
          <w:cantSplit/>
        </w:trPr>
        <w:tc>
          <w:tcPr>
            <w:tcW w:w="786" w:type="pct"/>
            <w:vMerge w:val="restart"/>
            <w:shd w:val="clear" w:color="auto" w:fill="auto"/>
          </w:tcPr>
          <w:p w14:paraId="350F8989"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301C16BA"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08520C">
              <w:rPr>
                <w:rFonts w:ascii="Arial" w:hAnsi="Arial" w:cs="Arial"/>
                <w:szCs w:val="22"/>
              </w:rPr>
              <w:t>three</w:t>
            </w:r>
            <w:r w:rsidRPr="00F866CD">
              <w:rPr>
                <w:rFonts w:ascii="Arial" w:hAnsi="Arial" w:cs="Arial"/>
                <w:szCs w:val="22"/>
              </w:rPr>
              <w:t xml:space="preserve"> country-level factors monitored and reported by each State Party:</w:t>
            </w:r>
          </w:p>
        </w:tc>
      </w:tr>
      <w:tr w:rsidR="00B96BCF" w:rsidRPr="00F866CD" w14:paraId="510ECA46" w14:textId="77777777" w:rsidTr="004C36D9">
        <w:trPr>
          <w:cantSplit/>
        </w:trPr>
        <w:tc>
          <w:tcPr>
            <w:tcW w:w="786" w:type="pct"/>
            <w:vMerge/>
            <w:shd w:val="clear" w:color="auto" w:fill="auto"/>
          </w:tcPr>
          <w:p w14:paraId="6C845889" w14:textId="77777777" w:rsidR="00B96BCF" w:rsidRPr="00F866CD" w:rsidRDefault="00B96BCF" w:rsidP="00B96BCF">
            <w:pPr>
              <w:spacing w:before="120"/>
              <w:rPr>
                <w:rFonts w:ascii="Arial" w:hAnsi="Arial" w:cs="Arial"/>
                <w:b/>
                <w:szCs w:val="22"/>
              </w:rPr>
            </w:pPr>
          </w:p>
        </w:tc>
        <w:tc>
          <w:tcPr>
            <w:tcW w:w="3418" w:type="pct"/>
            <w:shd w:val="clear" w:color="auto" w:fill="auto"/>
            <w:vAlign w:val="center"/>
          </w:tcPr>
          <w:p w14:paraId="6758276E" w14:textId="0D33C8DB" w:rsidR="00B96BCF" w:rsidRPr="00322A3A" w:rsidRDefault="00B96BCF" w:rsidP="003050A1">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Financial and other forms of support foster research, scientific, technical and artistic studies, documentation and archiving, oriented towards safeguarding and carried out in conformity with relevant ethical principles.</w:t>
            </w:r>
          </w:p>
        </w:tc>
        <w:tc>
          <w:tcPr>
            <w:tcW w:w="796" w:type="pct"/>
            <w:shd w:val="clear" w:color="auto" w:fill="auto"/>
            <w:vAlign w:val="center"/>
          </w:tcPr>
          <w:p w14:paraId="3BED8EE3" w14:textId="77777777" w:rsidR="00F8614C" w:rsidRDefault="00F8614C" w:rsidP="00B96BCF">
            <w:pPr>
              <w:keepLines/>
              <w:spacing w:before="120"/>
              <w:rPr>
                <w:rFonts w:ascii="Arial" w:hAnsi="Arial" w:cs="Arial"/>
                <w:sz w:val="20"/>
                <w:szCs w:val="20"/>
              </w:rPr>
            </w:pPr>
            <w:r>
              <w:rPr>
                <w:rFonts w:ascii="Arial" w:hAnsi="Arial" w:cs="Arial"/>
                <w:sz w:val="20"/>
                <w:szCs w:val="20"/>
              </w:rPr>
              <w:t>Article 13(c)</w:t>
            </w:r>
          </w:p>
          <w:p w14:paraId="238F71D5" w14:textId="77777777" w:rsidR="00B96BCF" w:rsidRPr="0074360F" w:rsidRDefault="00B96BCF" w:rsidP="00B96BCF">
            <w:pPr>
              <w:keepLines/>
              <w:spacing w:before="120"/>
              <w:rPr>
                <w:rFonts w:ascii="Arial" w:hAnsi="Arial" w:cs="Arial"/>
                <w:sz w:val="20"/>
                <w:szCs w:val="20"/>
              </w:rPr>
            </w:pPr>
            <w:r w:rsidRPr="00A8072E">
              <w:rPr>
                <w:rFonts w:ascii="Arial" w:hAnsi="Arial" w:cs="Arial"/>
                <w:sz w:val="20"/>
                <w:szCs w:val="20"/>
              </w:rPr>
              <w:t>OD 173, OD</w:t>
            </w:r>
            <w:r w:rsidR="00EA4493">
              <w:rPr>
                <w:rFonts w:ascii="Arial" w:hAnsi="Arial" w:cs="Arial"/>
                <w:sz w:val="20"/>
                <w:szCs w:val="20"/>
              </w:rPr>
              <w:t> </w:t>
            </w:r>
            <w:r w:rsidRPr="00A8072E">
              <w:rPr>
                <w:rFonts w:ascii="Arial" w:hAnsi="Arial" w:cs="Arial"/>
                <w:sz w:val="20"/>
                <w:szCs w:val="20"/>
              </w:rPr>
              <w:t>175</w:t>
            </w:r>
          </w:p>
        </w:tc>
      </w:tr>
      <w:tr w:rsidR="00B96BCF" w:rsidRPr="00F866CD" w14:paraId="6A2DFEC3" w14:textId="77777777" w:rsidTr="004C36D9">
        <w:trPr>
          <w:cantSplit/>
        </w:trPr>
        <w:tc>
          <w:tcPr>
            <w:tcW w:w="786" w:type="pct"/>
            <w:vMerge/>
            <w:shd w:val="clear" w:color="auto" w:fill="auto"/>
          </w:tcPr>
          <w:p w14:paraId="3F72CDB9" w14:textId="77777777" w:rsidR="00B96BCF" w:rsidRPr="00F866CD" w:rsidRDefault="00B96BCF" w:rsidP="00B96BCF">
            <w:pPr>
              <w:spacing w:before="120"/>
              <w:rPr>
                <w:rFonts w:ascii="Arial" w:hAnsi="Arial" w:cs="Arial"/>
                <w:b/>
                <w:szCs w:val="22"/>
              </w:rPr>
            </w:pPr>
          </w:p>
        </w:tc>
        <w:tc>
          <w:tcPr>
            <w:tcW w:w="3418" w:type="pct"/>
            <w:shd w:val="clear" w:color="auto" w:fill="auto"/>
            <w:vAlign w:val="center"/>
          </w:tcPr>
          <w:p w14:paraId="324B1A6F" w14:textId="77777777" w:rsidR="00B96BCF" w:rsidRPr="00322A3A" w:rsidRDefault="00B96BCF" w:rsidP="003050A1">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Research is fostered concerning approaches towards, and impacts of, safeguarding ICH in general and specific elements of ICH, whether or not inscribed.</w:t>
            </w:r>
          </w:p>
        </w:tc>
        <w:tc>
          <w:tcPr>
            <w:tcW w:w="796" w:type="pct"/>
            <w:shd w:val="clear" w:color="auto" w:fill="auto"/>
            <w:vAlign w:val="center"/>
          </w:tcPr>
          <w:p w14:paraId="0641E134" w14:textId="77777777" w:rsidR="00F8614C" w:rsidRDefault="00F8614C" w:rsidP="00B96BCF">
            <w:pPr>
              <w:spacing w:before="60" w:after="60"/>
              <w:rPr>
                <w:rFonts w:ascii="Arial" w:hAnsi="Arial" w:cs="Arial"/>
                <w:sz w:val="20"/>
                <w:szCs w:val="20"/>
              </w:rPr>
            </w:pPr>
            <w:r>
              <w:rPr>
                <w:rFonts w:ascii="Arial" w:hAnsi="Arial" w:cs="Arial"/>
                <w:sz w:val="20"/>
                <w:szCs w:val="20"/>
              </w:rPr>
              <w:t>Article 13(c)</w:t>
            </w:r>
          </w:p>
          <w:p w14:paraId="2869494E" w14:textId="77777777" w:rsidR="00B96BCF" w:rsidRPr="0074360F" w:rsidRDefault="00B96BCF" w:rsidP="00B96BCF">
            <w:pPr>
              <w:spacing w:before="60" w:after="60"/>
              <w:rPr>
                <w:rFonts w:ascii="Arial" w:hAnsi="Arial" w:cs="Arial"/>
                <w:sz w:val="20"/>
                <w:szCs w:val="20"/>
              </w:rPr>
            </w:pPr>
            <w:r w:rsidRPr="00A8072E">
              <w:rPr>
                <w:rFonts w:ascii="Arial" w:hAnsi="Arial" w:cs="Arial"/>
                <w:sz w:val="20"/>
                <w:szCs w:val="20"/>
              </w:rPr>
              <w:t>OD 162</w:t>
            </w:r>
          </w:p>
        </w:tc>
      </w:tr>
      <w:tr w:rsidR="00B96BCF" w:rsidRPr="00F866CD" w14:paraId="4CF90D4D" w14:textId="77777777" w:rsidTr="004C36D9">
        <w:trPr>
          <w:cantSplit/>
        </w:trPr>
        <w:tc>
          <w:tcPr>
            <w:tcW w:w="786" w:type="pct"/>
            <w:vMerge/>
            <w:shd w:val="clear" w:color="auto" w:fill="auto"/>
          </w:tcPr>
          <w:p w14:paraId="01937F59" w14:textId="77777777" w:rsidR="00B96BCF" w:rsidRPr="00F866CD" w:rsidRDefault="00B96BCF" w:rsidP="00B96BCF">
            <w:pPr>
              <w:spacing w:before="120"/>
              <w:rPr>
                <w:rFonts w:ascii="Arial" w:hAnsi="Arial" w:cs="Arial"/>
                <w:b/>
                <w:szCs w:val="22"/>
              </w:rPr>
            </w:pPr>
          </w:p>
        </w:tc>
        <w:tc>
          <w:tcPr>
            <w:tcW w:w="3418" w:type="pct"/>
            <w:shd w:val="clear" w:color="auto" w:fill="auto"/>
            <w:vAlign w:val="center"/>
          </w:tcPr>
          <w:p w14:paraId="12891A27" w14:textId="77777777" w:rsidR="00B96BCF" w:rsidRPr="00322A3A" w:rsidRDefault="00B96BCF" w:rsidP="003050A1">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 xml:space="preserve">Practitioners and bearers of ICH participate in the management, implementation and dissemination of research </w:t>
            </w:r>
            <w:r>
              <w:rPr>
                <w:rFonts w:ascii="Arial" w:hAnsi="Arial" w:cs="Arial"/>
                <w:sz w:val="20"/>
                <w:szCs w:val="20"/>
                <w:lang w:val="en-GB"/>
              </w:rPr>
              <w:t xml:space="preserve">findings </w:t>
            </w:r>
            <w:r w:rsidRPr="00A8072E">
              <w:rPr>
                <w:rFonts w:ascii="Arial" w:hAnsi="Arial" w:cs="Arial"/>
                <w:sz w:val="20"/>
                <w:szCs w:val="20"/>
                <w:lang w:val="en-GB"/>
              </w:rPr>
              <w:t>and scientific, technical and artistic studies, all done with their free, prior, sustained and informed consent.</w:t>
            </w:r>
          </w:p>
        </w:tc>
        <w:tc>
          <w:tcPr>
            <w:tcW w:w="796" w:type="pct"/>
            <w:shd w:val="clear" w:color="auto" w:fill="auto"/>
            <w:vAlign w:val="center"/>
          </w:tcPr>
          <w:p w14:paraId="30BD1313" w14:textId="77777777" w:rsidR="00B96BCF" w:rsidRPr="00A8072E" w:rsidRDefault="00B96BCF" w:rsidP="00B96BCF">
            <w:pPr>
              <w:spacing w:before="60" w:after="60"/>
              <w:rPr>
                <w:rFonts w:ascii="Arial" w:hAnsi="Arial" w:cs="Arial"/>
                <w:sz w:val="20"/>
                <w:szCs w:val="20"/>
              </w:rPr>
            </w:pPr>
            <w:r w:rsidRPr="00A8072E">
              <w:rPr>
                <w:rFonts w:ascii="Arial" w:hAnsi="Arial" w:cs="Arial"/>
                <w:sz w:val="20"/>
                <w:szCs w:val="20"/>
              </w:rPr>
              <w:t xml:space="preserve">OD 109(a), </w:t>
            </w:r>
            <w:r>
              <w:rPr>
                <w:rFonts w:ascii="Arial" w:hAnsi="Arial" w:cs="Arial"/>
                <w:sz w:val="20"/>
                <w:szCs w:val="20"/>
              </w:rPr>
              <w:t>OD</w:t>
            </w:r>
            <w:r w:rsidR="00EA4493">
              <w:rPr>
                <w:rFonts w:ascii="Arial" w:hAnsi="Arial" w:cs="Arial"/>
                <w:sz w:val="20"/>
                <w:szCs w:val="20"/>
              </w:rPr>
              <w:t> </w:t>
            </w:r>
            <w:r w:rsidRPr="00A8072E">
              <w:rPr>
                <w:rFonts w:ascii="Arial" w:hAnsi="Arial" w:cs="Arial"/>
                <w:sz w:val="20"/>
                <w:szCs w:val="20"/>
              </w:rPr>
              <w:t>109(e)</w:t>
            </w:r>
            <w:r>
              <w:rPr>
                <w:rFonts w:ascii="Arial" w:hAnsi="Arial" w:cs="Arial"/>
                <w:sz w:val="20"/>
                <w:szCs w:val="20"/>
              </w:rPr>
              <w:t xml:space="preserve">, </w:t>
            </w:r>
            <w:r w:rsidRPr="00A8072E">
              <w:rPr>
                <w:rFonts w:ascii="Arial" w:hAnsi="Arial" w:cs="Arial"/>
                <w:sz w:val="20"/>
                <w:szCs w:val="20"/>
              </w:rPr>
              <w:t>OD</w:t>
            </w:r>
            <w:r w:rsidR="00EA4493">
              <w:rPr>
                <w:rFonts w:ascii="Arial" w:hAnsi="Arial" w:cs="Arial"/>
                <w:sz w:val="20"/>
                <w:szCs w:val="20"/>
              </w:rPr>
              <w:t> </w:t>
            </w:r>
            <w:r w:rsidRPr="00A8072E">
              <w:rPr>
                <w:rFonts w:ascii="Arial" w:hAnsi="Arial" w:cs="Arial"/>
                <w:sz w:val="20"/>
                <w:szCs w:val="20"/>
              </w:rPr>
              <w:t>153(b)(ii)</w:t>
            </w:r>
            <w:r>
              <w:rPr>
                <w:rFonts w:ascii="Arial" w:hAnsi="Arial" w:cs="Arial"/>
                <w:sz w:val="20"/>
                <w:szCs w:val="20"/>
              </w:rPr>
              <w:t xml:space="preserve">, </w:t>
            </w:r>
            <w:r w:rsidRPr="00A8072E">
              <w:rPr>
                <w:rFonts w:ascii="Arial" w:hAnsi="Arial" w:cs="Arial"/>
                <w:sz w:val="20"/>
                <w:szCs w:val="20"/>
              </w:rPr>
              <w:t>OD</w:t>
            </w:r>
            <w:r w:rsidR="00EA4493">
              <w:rPr>
                <w:rFonts w:ascii="Arial" w:hAnsi="Arial" w:cs="Arial"/>
                <w:sz w:val="20"/>
                <w:szCs w:val="20"/>
              </w:rPr>
              <w:t> </w:t>
            </w:r>
            <w:r w:rsidRPr="00A8072E">
              <w:rPr>
                <w:rFonts w:ascii="Arial" w:hAnsi="Arial" w:cs="Arial"/>
                <w:sz w:val="20"/>
                <w:szCs w:val="20"/>
              </w:rPr>
              <w:t>175</w:t>
            </w:r>
          </w:p>
          <w:p w14:paraId="60919B20" w14:textId="77777777" w:rsidR="00B96BCF" w:rsidRPr="0074360F" w:rsidRDefault="00B96BCF" w:rsidP="00B96BCF">
            <w:pPr>
              <w:keepLines/>
              <w:spacing w:before="120"/>
              <w:rPr>
                <w:rFonts w:ascii="Arial" w:hAnsi="Arial" w:cs="Arial"/>
                <w:sz w:val="20"/>
                <w:szCs w:val="20"/>
              </w:rPr>
            </w:pPr>
            <w:r w:rsidRPr="00A8072E">
              <w:rPr>
                <w:rFonts w:ascii="Arial" w:hAnsi="Arial" w:cs="Arial"/>
                <w:sz w:val="20"/>
                <w:szCs w:val="20"/>
              </w:rPr>
              <w:t>EP 1, EP 7</w:t>
            </w:r>
          </w:p>
        </w:tc>
      </w:tr>
      <w:tr w:rsidR="005473CF" w:rsidRPr="00F866CD" w14:paraId="6B3CCFC5" w14:textId="77777777" w:rsidTr="004C36D9">
        <w:trPr>
          <w:cantSplit/>
        </w:trPr>
        <w:tc>
          <w:tcPr>
            <w:tcW w:w="786" w:type="pct"/>
            <w:shd w:val="clear" w:color="auto" w:fill="auto"/>
          </w:tcPr>
          <w:p w14:paraId="09803012"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15C0E800" w14:textId="79B9E60A" w:rsidR="005473CF" w:rsidRPr="00777BAF" w:rsidRDefault="005473CF" w:rsidP="005473CF">
            <w:pPr>
              <w:keepLines/>
              <w:spacing w:before="120"/>
              <w:jc w:val="both"/>
              <w:rPr>
                <w:rFonts w:ascii="Arial" w:hAnsi="Arial" w:cs="Arial"/>
                <w:szCs w:val="22"/>
              </w:rPr>
            </w:pPr>
            <w:r w:rsidRPr="00F866CD">
              <w:rPr>
                <w:rFonts w:ascii="Arial" w:hAnsi="Arial" w:cs="Arial"/>
                <w:b/>
                <w:bCs/>
                <w:szCs w:val="22"/>
              </w:rPr>
              <w:t xml:space="preserve">Sustainable Development Goals: </w:t>
            </w:r>
            <w:r w:rsidR="00777BAF" w:rsidRPr="00777BAF">
              <w:rPr>
                <w:rFonts w:ascii="Arial" w:hAnsi="Arial" w:cs="Arial"/>
                <w:szCs w:val="22"/>
              </w:rPr>
              <w:t>This indicator responds to SDG Target 11.4, ‘Strengthen efforts to protect and safeguard the world’s cultural and natural heritage.’</w:t>
            </w:r>
            <w:r w:rsidR="00B245A5">
              <w:rPr>
                <w:rFonts w:ascii="Arial" w:hAnsi="Arial" w:cs="Arial"/>
                <w:szCs w:val="22"/>
              </w:rPr>
              <w:t xml:space="preserve"> In a broader sense, research and documentation on ICH </w:t>
            </w:r>
            <w:r w:rsidR="00B9301C">
              <w:rPr>
                <w:rFonts w:ascii="Arial" w:hAnsi="Arial" w:cs="Arial"/>
                <w:szCs w:val="22"/>
              </w:rPr>
              <w:t xml:space="preserve">and its </w:t>
            </w:r>
            <w:r w:rsidR="00B245A5">
              <w:rPr>
                <w:rFonts w:ascii="Arial" w:hAnsi="Arial" w:cs="Arial"/>
                <w:szCs w:val="22"/>
              </w:rPr>
              <w:t>safeguarding can have an impact on a range of SDGs such as those related to sustainable agriculture (SDG 2), health and well-being (SDG 3), sustainable water-use (SDG 6), biodiversity (SDG 15), or others.</w:t>
            </w:r>
          </w:p>
          <w:p w14:paraId="24910A17" w14:textId="71D27573" w:rsidR="005473CF" w:rsidRPr="00777BAF" w:rsidRDefault="005473CF" w:rsidP="003050A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777BAF">
              <w:rPr>
                <w:rFonts w:ascii="Arial" w:hAnsi="Arial" w:cs="Arial"/>
                <w:bCs/>
                <w:szCs w:val="22"/>
              </w:rPr>
              <w:t xml:space="preserve">This indicator should be considered alongside Indicator 10. </w:t>
            </w:r>
            <w:r w:rsidR="0008318A">
              <w:rPr>
                <w:rFonts w:ascii="Arial" w:hAnsi="Arial" w:cs="Arial"/>
                <w:bCs/>
                <w:szCs w:val="22"/>
              </w:rPr>
              <w:t>T</w:t>
            </w:r>
            <w:r w:rsidR="00777BAF">
              <w:rPr>
                <w:rFonts w:ascii="Arial" w:hAnsi="Arial" w:cs="Arial"/>
                <w:bCs/>
                <w:szCs w:val="22"/>
              </w:rPr>
              <w:t xml:space="preserve">he focus </w:t>
            </w:r>
            <w:r w:rsidR="0008318A">
              <w:rPr>
                <w:rFonts w:ascii="Arial" w:hAnsi="Arial" w:cs="Arial"/>
                <w:bCs/>
                <w:szCs w:val="22"/>
              </w:rPr>
              <w:t xml:space="preserve">here </w:t>
            </w:r>
            <w:r w:rsidR="00777BAF">
              <w:rPr>
                <w:rFonts w:ascii="Arial" w:hAnsi="Arial" w:cs="Arial"/>
                <w:bCs/>
                <w:szCs w:val="22"/>
              </w:rPr>
              <w:t xml:space="preserve">is on the processes of research and documentation and how they should be conducted </w:t>
            </w:r>
            <w:r w:rsidR="007F3996">
              <w:rPr>
                <w:rFonts w:ascii="Arial" w:hAnsi="Arial" w:cs="Arial"/>
                <w:bCs/>
                <w:szCs w:val="22"/>
              </w:rPr>
              <w:t>and supported</w:t>
            </w:r>
            <w:r w:rsidR="00777BAF">
              <w:rPr>
                <w:rFonts w:ascii="Arial" w:hAnsi="Arial" w:cs="Arial"/>
                <w:bCs/>
                <w:szCs w:val="22"/>
              </w:rPr>
              <w:t xml:space="preserve"> </w:t>
            </w:r>
            <w:r w:rsidR="00BB4850">
              <w:rPr>
                <w:rFonts w:ascii="Arial" w:hAnsi="Arial" w:cs="Arial"/>
                <w:bCs/>
                <w:szCs w:val="22"/>
              </w:rPr>
              <w:t>in keeping with</w:t>
            </w:r>
            <w:r w:rsidR="00777BAF">
              <w:rPr>
                <w:rFonts w:ascii="Arial" w:hAnsi="Arial" w:cs="Arial"/>
                <w:bCs/>
                <w:szCs w:val="22"/>
              </w:rPr>
              <w:t xml:space="preserve"> the </w:t>
            </w:r>
            <w:r w:rsidR="0008318A">
              <w:rPr>
                <w:rFonts w:ascii="Arial" w:hAnsi="Arial" w:cs="Arial"/>
                <w:bCs/>
                <w:szCs w:val="22"/>
              </w:rPr>
              <w:t xml:space="preserve">spirit and </w:t>
            </w:r>
            <w:r w:rsidR="003050A1">
              <w:rPr>
                <w:rFonts w:ascii="Arial" w:hAnsi="Arial" w:cs="Arial"/>
                <w:bCs/>
                <w:szCs w:val="22"/>
              </w:rPr>
              <w:t>purpose</w:t>
            </w:r>
            <w:r w:rsidR="0008318A">
              <w:rPr>
                <w:rFonts w:ascii="Arial" w:hAnsi="Arial" w:cs="Arial"/>
                <w:bCs/>
                <w:szCs w:val="22"/>
              </w:rPr>
              <w:t xml:space="preserve"> of the </w:t>
            </w:r>
            <w:r w:rsidR="00777BAF">
              <w:rPr>
                <w:rFonts w:ascii="Arial" w:hAnsi="Arial" w:cs="Arial"/>
                <w:bCs/>
                <w:szCs w:val="22"/>
              </w:rPr>
              <w:t>Convention. Indicator 10 turns the spotlight to</w:t>
            </w:r>
            <w:r w:rsidR="007F3996">
              <w:rPr>
                <w:rFonts w:ascii="Arial" w:hAnsi="Arial" w:cs="Arial"/>
                <w:bCs/>
                <w:szCs w:val="22"/>
              </w:rPr>
              <w:t>wards</w:t>
            </w:r>
            <w:r w:rsidR="00777BAF">
              <w:rPr>
                <w:rFonts w:ascii="Arial" w:hAnsi="Arial" w:cs="Arial"/>
                <w:bCs/>
                <w:szCs w:val="22"/>
              </w:rPr>
              <w:t xml:space="preserve"> the findings and results of research and documentation and how those results can be utilized both to improve safeguarding and to strengthen policy-making. In focusing on the processes and outcomes of research and documentation, these two indicators </w:t>
            </w:r>
            <w:r w:rsidR="00B91878">
              <w:rPr>
                <w:rFonts w:ascii="Arial" w:hAnsi="Arial" w:cs="Arial"/>
                <w:bCs/>
                <w:szCs w:val="22"/>
              </w:rPr>
              <w:t>complement</w:t>
            </w:r>
            <w:r w:rsidR="00777BAF">
              <w:rPr>
                <w:rFonts w:ascii="Arial" w:hAnsi="Arial" w:cs="Arial"/>
                <w:bCs/>
                <w:szCs w:val="22"/>
              </w:rPr>
              <w:t xml:space="preserve"> Indicator 1, which concerns fostering institutions for documentation, and Indicator 24, which concerns international cooperation through </w:t>
            </w:r>
            <w:r w:rsidR="00D370B6">
              <w:rPr>
                <w:rFonts w:ascii="Arial" w:hAnsi="Arial" w:cs="Arial"/>
                <w:bCs/>
                <w:szCs w:val="22"/>
              </w:rPr>
              <w:t>sharing</w:t>
            </w:r>
            <w:r w:rsidR="00777BAF">
              <w:rPr>
                <w:rFonts w:ascii="Arial" w:hAnsi="Arial" w:cs="Arial"/>
                <w:bCs/>
                <w:szCs w:val="22"/>
              </w:rPr>
              <w:t xml:space="preserve"> of documentation.</w:t>
            </w:r>
            <w:r w:rsidR="003C7E70">
              <w:rPr>
                <w:rFonts w:ascii="Arial" w:hAnsi="Arial" w:cs="Arial"/>
                <w:bCs/>
                <w:szCs w:val="22"/>
              </w:rPr>
              <w:t xml:space="preserve"> Indicator 22 also concerns scientific, technical and artistic studies, but </w:t>
            </w:r>
            <w:r w:rsidR="00BB4850">
              <w:rPr>
                <w:rFonts w:ascii="Arial" w:hAnsi="Arial" w:cs="Arial"/>
                <w:bCs/>
                <w:szCs w:val="22"/>
              </w:rPr>
              <w:t xml:space="preserve">there the object of study is not </w:t>
            </w:r>
            <w:r w:rsidR="003C7E70">
              <w:rPr>
                <w:rFonts w:ascii="Arial" w:hAnsi="Arial" w:cs="Arial"/>
                <w:bCs/>
                <w:szCs w:val="22"/>
              </w:rPr>
              <w:t>ICH itself but rather ICH safeguarding programmes and measures.</w:t>
            </w:r>
          </w:p>
        </w:tc>
      </w:tr>
      <w:tr w:rsidR="00896177" w:rsidRPr="00F866CD" w14:paraId="78A3C040" w14:textId="77777777" w:rsidTr="004C36D9">
        <w:trPr>
          <w:cantSplit/>
        </w:trPr>
        <w:tc>
          <w:tcPr>
            <w:tcW w:w="786" w:type="pct"/>
            <w:shd w:val="clear" w:color="auto" w:fill="auto"/>
          </w:tcPr>
          <w:p w14:paraId="16FBBA58"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52288C86" w14:textId="618E05F3" w:rsidR="00704766" w:rsidRPr="00F866CD" w:rsidRDefault="00F8614C" w:rsidP="006664E7">
            <w:pPr>
              <w:keepLines/>
              <w:spacing w:before="120"/>
              <w:jc w:val="both"/>
              <w:rPr>
                <w:rFonts w:asciiTheme="minorBidi" w:hAnsiTheme="minorBidi" w:cstheme="minorBidi"/>
                <w:szCs w:val="22"/>
              </w:rPr>
            </w:pPr>
            <w:r>
              <w:rPr>
                <w:rFonts w:asciiTheme="minorBidi" w:hAnsiTheme="minorBidi" w:cstheme="minorBidi"/>
                <w:szCs w:val="22"/>
              </w:rPr>
              <w:t xml:space="preserve">Documentation and research are prominent among the measures that constitute safeguarding, as </w:t>
            </w:r>
            <w:r w:rsidR="007F3996">
              <w:rPr>
                <w:rFonts w:asciiTheme="minorBidi" w:hAnsiTheme="minorBidi" w:cstheme="minorBidi"/>
                <w:szCs w:val="22"/>
              </w:rPr>
              <w:t xml:space="preserve">understood </w:t>
            </w:r>
            <w:r>
              <w:rPr>
                <w:rFonts w:asciiTheme="minorBidi" w:hAnsiTheme="minorBidi" w:cstheme="minorBidi"/>
                <w:szCs w:val="22"/>
              </w:rPr>
              <w:t xml:space="preserve">in Article 2.3. </w:t>
            </w:r>
            <w:r w:rsidR="00D370B6">
              <w:rPr>
                <w:rFonts w:asciiTheme="minorBidi" w:hAnsiTheme="minorBidi" w:cstheme="minorBidi"/>
                <w:szCs w:val="22"/>
              </w:rPr>
              <w:t>State</w:t>
            </w:r>
            <w:r w:rsidR="0008318A">
              <w:rPr>
                <w:rFonts w:asciiTheme="minorBidi" w:hAnsiTheme="minorBidi" w:cstheme="minorBidi"/>
                <w:szCs w:val="22"/>
              </w:rPr>
              <w:t>s</w:t>
            </w:r>
            <w:r w:rsidR="00D370B6">
              <w:rPr>
                <w:rFonts w:asciiTheme="minorBidi" w:hAnsiTheme="minorBidi" w:cstheme="minorBidi"/>
                <w:szCs w:val="22"/>
              </w:rPr>
              <w:t xml:space="preserve"> </w:t>
            </w:r>
            <w:r w:rsidR="0008318A">
              <w:rPr>
                <w:rFonts w:asciiTheme="minorBidi" w:hAnsiTheme="minorBidi" w:cstheme="minorBidi"/>
                <w:szCs w:val="22"/>
              </w:rPr>
              <w:t xml:space="preserve">are </w:t>
            </w:r>
            <w:r w:rsidR="00D370B6">
              <w:rPr>
                <w:rFonts w:asciiTheme="minorBidi" w:hAnsiTheme="minorBidi" w:cstheme="minorBidi"/>
                <w:szCs w:val="22"/>
              </w:rPr>
              <w:t xml:space="preserve">encouraged to ‘foster scientific, technical </w:t>
            </w:r>
            <w:r w:rsidR="00D370B6" w:rsidRPr="00D370B6">
              <w:rPr>
                <w:rFonts w:asciiTheme="minorBidi" w:hAnsiTheme="minorBidi" w:cstheme="minorBidi"/>
                <w:szCs w:val="22"/>
              </w:rPr>
              <w:t>and artistic studies, as well as research methodologies, with a</w:t>
            </w:r>
            <w:r w:rsidR="00D370B6">
              <w:rPr>
                <w:rFonts w:asciiTheme="minorBidi" w:hAnsiTheme="minorBidi" w:cstheme="minorBidi"/>
                <w:szCs w:val="22"/>
              </w:rPr>
              <w:t xml:space="preserve"> </w:t>
            </w:r>
            <w:r w:rsidR="00D370B6" w:rsidRPr="00D370B6">
              <w:rPr>
                <w:rFonts w:asciiTheme="minorBidi" w:hAnsiTheme="minorBidi" w:cstheme="minorBidi"/>
                <w:szCs w:val="22"/>
              </w:rPr>
              <w:t>view to effective safeguarding</w:t>
            </w:r>
            <w:r w:rsidR="00D370B6">
              <w:rPr>
                <w:rFonts w:asciiTheme="minorBidi" w:hAnsiTheme="minorBidi" w:cstheme="minorBidi"/>
                <w:szCs w:val="22"/>
              </w:rPr>
              <w:t>’ (Article 13(c)</w:t>
            </w:r>
            <w:r w:rsidR="005209BC">
              <w:rPr>
                <w:rFonts w:asciiTheme="minorBidi" w:hAnsiTheme="minorBidi" w:cstheme="minorBidi"/>
                <w:szCs w:val="22"/>
              </w:rPr>
              <w:t>)</w:t>
            </w:r>
            <w:r w:rsidR="00D370B6">
              <w:rPr>
                <w:rFonts w:asciiTheme="minorBidi" w:hAnsiTheme="minorBidi" w:cstheme="minorBidi"/>
                <w:szCs w:val="22"/>
              </w:rPr>
              <w:t xml:space="preserve">. Specific provisions of the Operational Directives further specify the scope of such research and how it should be carried out, </w:t>
            </w:r>
            <w:r w:rsidR="00D977E6">
              <w:rPr>
                <w:rFonts w:asciiTheme="minorBidi" w:hAnsiTheme="minorBidi" w:cstheme="minorBidi"/>
                <w:szCs w:val="22"/>
              </w:rPr>
              <w:t>highlighting</w:t>
            </w:r>
            <w:r w:rsidR="00D370B6">
              <w:rPr>
                <w:rFonts w:asciiTheme="minorBidi" w:hAnsiTheme="minorBidi" w:cstheme="minorBidi"/>
                <w:szCs w:val="22"/>
              </w:rPr>
              <w:t xml:space="preserve"> broad and active participation </w:t>
            </w:r>
            <w:r w:rsidR="005209BC">
              <w:rPr>
                <w:rFonts w:asciiTheme="minorBidi" w:hAnsiTheme="minorBidi" w:cstheme="minorBidi"/>
                <w:szCs w:val="22"/>
              </w:rPr>
              <w:t xml:space="preserve">in the research process </w:t>
            </w:r>
            <w:r w:rsidR="00D977E6">
              <w:rPr>
                <w:rFonts w:asciiTheme="minorBidi" w:hAnsiTheme="minorBidi" w:cstheme="minorBidi"/>
                <w:szCs w:val="22"/>
              </w:rPr>
              <w:t>by</w:t>
            </w:r>
            <w:r w:rsidR="00D370B6">
              <w:rPr>
                <w:rFonts w:asciiTheme="minorBidi" w:hAnsiTheme="minorBidi" w:cstheme="minorBidi"/>
                <w:szCs w:val="22"/>
              </w:rPr>
              <w:t xml:space="preserve"> practitioners and bearers</w:t>
            </w:r>
            <w:r w:rsidR="006664E7">
              <w:rPr>
                <w:rFonts w:asciiTheme="minorBidi" w:hAnsiTheme="minorBidi" w:cstheme="minorBidi"/>
                <w:szCs w:val="22"/>
              </w:rPr>
              <w:t>, including ensuring their free, prior, sustained and informed consent</w:t>
            </w:r>
            <w:r w:rsidR="00D370B6">
              <w:rPr>
                <w:rFonts w:asciiTheme="minorBidi" w:hAnsiTheme="minorBidi" w:cstheme="minorBidi"/>
                <w:szCs w:val="22"/>
              </w:rPr>
              <w:t>. Research and documentation of ICH practices and expressions have of course been carried out for centuries</w:t>
            </w:r>
            <w:r w:rsidR="00D977E6">
              <w:rPr>
                <w:rFonts w:asciiTheme="minorBidi" w:hAnsiTheme="minorBidi" w:cstheme="minorBidi"/>
                <w:szCs w:val="22"/>
              </w:rPr>
              <w:t xml:space="preserve"> in many countries</w:t>
            </w:r>
            <w:r w:rsidR="00D370B6">
              <w:rPr>
                <w:rFonts w:asciiTheme="minorBidi" w:hAnsiTheme="minorBidi" w:cstheme="minorBidi"/>
                <w:szCs w:val="22"/>
              </w:rPr>
              <w:t>, but the Convention emphasizes that such work should be oriented toward</w:t>
            </w:r>
            <w:r w:rsidR="006664E7">
              <w:rPr>
                <w:rFonts w:asciiTheme="minorBidi" w:hAnsiTheme="minorBidi" w:cstheme="minorBidi"/>
                <w:szCs w:val="22"/>
              </w:rPr>
              <w:t>s</w:t>
            </w:r>
            <w:r w:rsidR="00D370B6">
              <w:rPr>
                <w:rFonts w:asciiTheme="minorBidi" w:hAnsiTheme="minorBidi" w:cstheme="minorBidi"/>
                <w:szCs w:val="22"/>
              </w:rPr>
              <w:t xml:space="preserve"> safeguarding.</w:t>
            </w:r>
            <w:r w:rsidR="006664E7">
              <w:rPr>
                <w:rFonts w:asciiTheme="minorBidi" w:hAnsiTheme="minorBidi" w:cstheme="minorBidi"/>
                <w:szCs w:val="22"/>
              </w:rPr>
              <w:t xml:space="preserve"> This may also include </w:t>
            </w:r>
            <w:r w:rsidR="00D370B6">
              <w:rPr>
                <w:rFonts w:asciiTheme="minorBidi" w:hAnsiTheme="minorBidi" w:cstheme="minorBidi"/>
                <w:szCs w:val="22"/>
              </w:rPr>
              <w:t>studies of the effectiveness</w:t>
            </w:r>
            <w:r w:rsidR="00637271">
              <w:rPr>
                <w:rFonts w:asciiTheme="minorBidi" w:hAnsiTheme="minorBidi" w:cstheme="minorBidi"/>
                <w:szCs w:val="22"/>
              </w:rPr>
              <w:t xml:space="preserve"> and impacts</w:t>
            </w:r>
            <w:r w:rsidR="00D370B6">
              <w:rPr>
                <w:rFonts w:asciiTheme="minorBidi" w:hAnsiTheme="minorBidi" w:cstheme="minorBidi"/>
                <w:szCs w:val="22"/>
              </w:rPr>
              <w:t xml:space="preserve"> of diverse safeguarding strategies and </w:t>
            </w:r>
            <w:r w:rsidR="00637271">
              <w:rPr>
                <w:rFonts w:asciiTheme="minorBidi" w:hAnsiTheme="minorBidi" w:cstheme="minorBidi"/>
                <w:szCs w:val="22"/>
              </w:rPr>
              <w:t>methods</w:t>
            </w:r>
            <w:r w:rsidR="00D370B6">
              <w:rPr>
                <w:rFonts w:asciiTheme="minorBidi" w:hAnsiTheme="minorBidi" w:cstheme="minorBidi"/>
                <w:szCs w:val="22"/>
              </w:rPr>
              <w:t>.</w:t>
            </w:r>
          </w:p>
        </w:tc>
      </w:tr>
      <w:tr w:rsidR="00704766" w:rsidRPr="00F866CD" w14:paraId="68D95CF1" w14:textId="77777777" w:rsidTr="004C36D9">
        <w:trPr>
          <w:cantSplit/>
        </w:trPr>
        <w:tc>
          <w:tcPr>
            <w:tcW w:w="786" w:type="pct"/>
            <w:shd w:val="clear" w:color="auto" w:fill="auto"/>
          </w:tcPr>
          <w:p w14:paraId="71DB509E"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lastRenderedPageBreak/>
              <w:t>Key terms</w:t>
            </w:r>
          </w:p>
        </w:tc>
        <w:tc>
          <w:tcPr>
            <w:tcW w:w="4214" w:type="pct"/>
            <w:gridSpan w:val="2"/>
            <w:shd w:val="clear" w:color="auto" w:fill="auto"/>
          </w:tcPr>
          <w:p w14:paraId="05B0A028" w14:textId="77777777" w:rsidR="006539B7" w:rsidRDefault="006539B7" w:rsidP="006539B7">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Scientific, technical and artistic studies</w:t>
            </w:r>
          </w:p>
          <w:p w14:paraId="63FCE197" w14:textId="77777777" w:rsidR="00704766" w:rsidRDefault="003C37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Ethical Principles for Safeguarding Intangible Cultural Heritage</w:t>
            </w:r>
          </w:p>
          <w:p w14:paraId="77674D7F" w14:textId="77777777" w:rsidR="003C37A3" w:rsidRDefault="003C37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p w14:paraId="5114F3B4" w14:textId="77777777" w:rsidR="005E0630" w:rsidRDefault="005E0630"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Inscribed (whether or not inscribed)</w:t>
            </w:r>
          </w:p>
          <w:p w14:paraId="2BD60FE4" w14:textId="77777777" w:rsidR="003C37A3" w:rsidRDefault="003C37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Practitioners and bearers</w:t>
            </w:r>
          </w:p>
          <w:p w14:paraId="4E2C6CF4" w14:textId="77777777" w:rsidR="003C37A3" w:rsidRDefault="003C37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Participation or involvement</w:t>
            </w:r>
          </w:p>
          <w:p w14:paraId="195C9F4A" w14:textId="77777777" w:rsidR="00182E36" w:rsidRDefault="00182E36"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Dissemination</w:t>
            </w:r>
          </w:p>
          <w:p w14:paraId="11579AC6" w14:textId="77777777" w:rsidR="003C37A3" w:rsidRPr="00F866CD" w:rsidRDefault="003C37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Free, prior, sustained and informed consent</w:t>
            </w:r>
          </w:p>
        </w:tc>
      </w:tr>
    </w:tbl>
    <w:p w14:paraId="75CF8089"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482F2B1"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3ECF5BC5" w14:textId="77777777" w:rsidTr="00BB4850">
        <w:tc>
          <w:tcPr>
            <w:tcW w:w="730" w:type="pct"/>
            <w:shd w:val="clear" w:color="auto" w:fill="auto"/>
          </w:tcPr>
          <w:p w14:paraId="1EA551EF"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47450B4D" w14:textId="15417EC7" w:rsidR="002C28BA" w:rsidRPr="00621208" w:rsidRDefault="006664E7" w:rsidP="006664E7">
            <w:pPr>
              <w:keepLines/>
              <w:spacing w:before="120"/>
              <w:jc w:val="both"/>
              <w:rPr>
                <w:rFonts w:ascii="Arial" w:hAnsi="Arial" w:cs="Arial"/>
                <w:bCs/>
                <w:szCs w:val="22"/>
              </w:rPr>
            </w:pPr>
            <w:r>
              <w:rPr>
                <w:rFonts w:ascii="Arial" w:hAnsi="Arial" w:cs="Arial"/>
                <w:bCs/>
                <w:szCs w:val="22"/>
              </w:rPr>
              <w:t>M</w:t>
            </w:r>
            <w:r w:rsidR="00D977E6">
              <w:rPr>
                <w:rFonts w:ascii="Arial" w:hAnsi="Arial" w:cs="Arial"/>
                <w:bCs/>
                <w:szCs w:val="22"/>
              </w:rPr>
              <w:t xml:space="preserve">onitoring can help a State to assess the extent to which its various research and documentation institutions (cf. Indicator 1) are effectively contributing to safeguarding. Monitoring provides a window on the availability of financial resources to support such research and documentation efforts and </w:t>
            </w:r>
            <w:r>
              <w:rPr>
                <w:rFonts w:ascii="Arial" w:hAnsi="Arial" w:cs="Arial"/>
                <w:bCs/>
                <w:szCs w:val="22"/>
              </w:rPr>
              <w:t xml:space="preserve">can highlight </w:t>
            </w:r>
            <w:r w:rsidR="00D977E6">
              <w:rPr>
                <w:rFonts w:ascii="Arial" w:hAnsi="Arial" w:cs="Arial"/>
                <w:bCs/>
                <w:szCs w:val="22"/>
              </w:rPr>
              <w:t>where there may be funding gaps. It also ascertains whether the relevant ethical principles are respected during the research and documentation processes, and particularly the principle of free, prior, sustained and informed consent. At the global level, monitoring can point to funding shortfalls in certain countries or regions that could potentially be addressed through international cooperation</w:t>
            </w:r>
            <w:r w:rsidR="007F3996">
              <w:rPr>
                <w:rFonts w:ascii="Arial" w:hAnsi="Arial" w:cs="Arial"/>
                <w:bCs/>
                <w:szCs w:val="22"/>
              </w:rPr>
              <w:t xml:space="preserve"> and assistance</w:t>
            </w:r>
            <w:r w:rsidR="00D977E6">
              <w:rPr>
                <w:rFonts w:ascii="Arial" w:hAnsi="Arial" w:cs="Arial"/>
                <w:bCs/>
                <w:szCs w:val="22"/>
              </w:rPr>
              <w:t xml:space="preserve">. Global monitoring can also identify good practices and innovative strategies that have proven their effectiveness in fostering the </w:t>
            </w:r>
            <w:r w:rsidR="00D213A5">
              <w:rPr>
                <w:rFonts w:ascii="Arial" w:hAnsi="Arial" w:cs="Arial"/>
                <w:bCs/>
                <w:szCs w:val="22"/>
              </w:rPr>
              <w:t>wi</w:t>
            </w:r>
            <w:r w:rsidR="00D977E6">
              <w:rPr>
                <w:rFonts w:ascii="Arial" w:hAnsi="Arial" w:cs="Arial"/>
                <w:bCs/>
                <w:szCs w:val="22"/>
              </w:rPr>
              <w:t>dest possible participation of practitioners and bearers in all steps of research and documentation, including the dissemination of their results.</w:t>
            </w:r>
          </w:p>
        </w:tc>
      </w:tr>
      <w:tr w:rsidR="0054175C" w:rsidRPr="00F866CD" w14:paraId="71239392" w14:textId="77777777" w:rsidTr="00BB4850">
        <w:tc>
          <w:tcPr>
            <w:tcW w:w="730" w:type="pct"/>
            <w:shd w:val="clear" w:color="auto" w:fill="auto"/>
          </w:tcPr>
          <w:p w14:paraId="34006364"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0DF1D078" w14:textId="410AB9CD" w:rsidR="0054175C" w:rsidRPr="00F866CD" w:rsidRDefault="00D213A5" w:rsidP="0054175C">
            <w:pPr>
              <w:spacing w:before="120"/>
              <w:jc w:val="both"/>
              <w:rPr>
                <w:rFonts w:ascii="Arial" w:hAnsi="Arial" w:cs="Arial"/>
                <w:szCs w:val="22"/>
              </w:rPr>
            </w:pPr>
            <w:r>
              <w:rPr>
                <w:rFonts w:ascii="Arial" w:hAnsi="Arial" w:cs="Arial"/>
                <w:szCs w:val="22"/>
              </w:rPr>
              <w:t>If the State provides funds to support research and documentation activities, records of such funding are likely to be accessible; if there is a consultative body or coordination mechanism in place, it may also have access to information about third-party funding practices. Funding guidelines and research strategies may address the widest possible participation of practitioners and bearers within the processes of research and documentation. If research and documentation result in publications, exhibitions, conferences or other public presentations, such outcomes</w:t>
            </w:r>
            <w:r w:rsidR="006664E7">
              <w:rPr>
                <w:rFonts w:ascii="Arial" w:hAnsi="Arial" w:cs="Arial"/>
                <w:szCs w:val="22"/>
              </w:rPr>
              <w:t xml:space="preserve"> will usually be available</w:t>
            </w:r>
            <w:r>
              <w:rPr>
                <w:rFonts w:ascii="Arial" w:hAnsi="Arial" w:cs="Arial"/>
                <w:szCs w:val="22"/>
              </w:rPr>
              <w:t xml:space="preserve">. Research </w:t>
            </w:r>
            <w:r w:rsidR="008E22E3">
              <w:rPr>
                <w:rFonts w:ascii="Arial" w:hAnsi="Arial" w:cs="Arial"/>
                <w:szCs w:val="22"/>
              </w:rPr>
              <w:t xml:space="preserve">procedures, </w:t>
            </w:r>
            <w:r>
              <w:rPr>
                <w:rFonts w:ascii="Arial" w:hAnsi="Arial" w:cs="Arial"/>
                <w:szCs w:val="22"/>
              </w:rPr>
              <w:t xml:space="preserve">protocols </w:t>
            </w:r>
            <w:r w:rsidR="006664E7">
              <w:rPr>
                <w:rFonts w:ascii="Arial" w:hAnsi="Arial" w:cs="Arial"/>
                <w:szCs w:val="22"/>
              </w:rPr>
              <w:t xml:space="preserve">or policies </w:t>
            </w:r>
            <w:r>
              <w:rPr>
                <w:rFonts w:ascii="Arial" w:hAnsi="Arial" w:cs="Arial"/>
                <w:szCs w:val="22"/>
              </w:rPr>
              <w:t xml:space="preserve">may specify the necessity </w:t>
            </w:r>
            <w:r w:rsidR="008E22E3">
              <w:rPr>
                <w:rFonts w:ascii="Arial" w:hAnsi="Arial" w:cs="Arial"/>
                <w:szCs w:val="22"/>
              </w:rPr>
              <w:t xml:space="preserve">for </w:t>
            </w:r>
            <w:r>
              <w:rPr>
                <w:rFonts w:ascii="Arial" w:hAnsi="Arial" w:cs="Arial"/>
                <w:szCs w:val="22"/>
              </w:rPr>
              <w:t>free, prior, sustained and informed consent</w:t>
            </w:r>
            <w:r w:rsidR="008E22E3">
              <w:rPr>
                <w:rFonts w:ascii="Arial" w:hAnsi="Arial" w:cs="Arial"/>
                <w:szCs w:val="22"/>
              </w:rPr>
              <w:t xml:space="preserve"> and may be available for consultation</w:t>
            </w:r>
            <w:r>
              <w:rPr>
                <w:rFonts w:ascii="Arial" w:hAnsi="Arial" w:cs="Arial"/>
                <w:szCs w:val="22"/>
              </w:rPr>
              <w:t>.</w:t>
            </w:r>
          </w:p>
          <w:p w14:paraId="10D7369B"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2B5695D4" w14:textId="77777777" w:rsidR="0054175C" w:rsidRDefault="000A0D7B" w:rsidP="00BE5B3F">
            <w:pPr>
              <w:pStyle w:val="ListParagraph"/>
              <w:numPr>
                <w:ilvl w:val="0"/>
                <w:numId w:val="73"/>
              </w:numPr>
              <w:spacing w:before="120"/>
              <w:jc w:val="both"/>
              <w:rPr>
                <w:rFonts w:ascii="Arial" w:hAnsi="Arial" w:cs="Arial"/>
                <w:lang w:val="en-GB"/>
              </w:rPr>
            </w:pPr>
            <w:r>
              <w:rPr>
                <w:rFonts w:ascii="Arial" w:hAnsi="Arial" w:cs="Arial"/>
                <w:lang w:val="en-GB"/>
              </w:rPr>
              <w:t>Budgets and reports of Ministry of Culture or other funding sources that support research and documentation</w:t>
            </w:r>
          </w:p>
          <w:p w14:paraId="33BE9E5D" w14:textId="77777777" w:rsidR="000A0D7B" w:rsidRDefault="000A0D7B" w:rsidP="00BE5B3F">
            <w:pPr>
              <w:pStyle w:val="ListParagraph"/>
              <w:numPr>
                <w:ilvl w:val="0"/>
                <w:numId w:val="73"/>
              </w:numPr>
              <w:spacing w:before="120"/>
              <w:jc w:val="both"/>
              <w:rPr>
                <w:rFonts w:ascii="Arial" w:hAnsi="Arial" w:cs="Arial"/>
                <w:lang w:val="en-GB"/>
              </w:rPr>
            </w:pPr>
            <w:r>
              <w:rPr>
                <w:rFonts w:ascii="Arial" w:hAnsi="Arial" w:cs="Arial"/>
                <w:lang w:val="en-GB"/>
              </w:rPr>
              <w:t>Funding announcements and guidelines from funders</w:t>
            </w:r>
          </w:p>
          <w:p w14:paraId="32CE200A" w14:textId="77777777" w:rsidR="000A0D7B" w:rsidRDefault="000A0D7B" w:rsidP="00BE5B3F">
            <w:pPr>
              <w:pStyle w:val="ListParagraph"/>
              <w:numPr>
                <w:ilvl w:val="0"/>
                <w:numId w:val="73"/>
              </w:numPr>
              <w:spacing w:before="120"/>
              <w:jc w:val="both"/>
              <w:rPr>
                <w:rFonts w:ascii="Arial" w:hAnsi="Arial" w:cs="Arial"/>
                <w:lang w:val="en-GB"/>
              </w:rPr>
            </w:pPr>
            <w:r>
              <w:rPr>
                <w:rFonts w:ascii="Arial" w:hAnsi="Arial" w:cs="Arial"/>
                <w:lang w:val="en-GB"/>
              </w:rPr>
              <w:t>Regulations or protocols governing research practices, especially those concerning human subjects</w:t>
            </w:r>
          </w:p>
          <w:p w14:paraId="28AFF9B3" w14:textId="77777777" w:rsidR="000A0D7B" w:rsidRDefault="000A0D7B" w:rsidP="00BE5B3F">
            <w:pPr>
              <w:pStyle w:val="ListParagraph"/>
              <w:numPr>
                <w:ilvl w:val="0"/>
                <w:numId w:val="73"/>
              </w:numPr>
              <w:spacing w:before="120"/>
              <w:jc w:val="both"/>
              <w:rPr>
                <w:rFonts w:ascii="Arial" w:hAnsi="Arial" w:cs="Arial"/>
                <w:lang w:val="en-GB"/>
              </w:rPr>
            </w:pPr>
            <w:r>
              <w:rPr>
                <w:rFonts w:ascii="Arial" w:hAnsi="Arial" w:cs="Arial"/>
                <w:lang w:val="en-GB"/>
              </w:rPr>
              <w:t>Bibliographies, publishers’ catalogues, or reviews of published works</w:t>
            </w:r>
          </w:p>
          <w:p w14:paraId="020B083F" w14:textId="77777777" w:rsidR="000A0D7B" w:rsidRDefault="000A0D7B" w:rsidP="00BE5B3F">
            <w:pPr>
              <w:pStyle w:val="ListParagraph"/>
              <w:numPr>
                <w:ilvl w:val="0"/>
                <w:numId w:val="73"/>
              </w:numPr>
              <w:spacing w:before="120"/>
              <w:jc w:val="both"/>
              <w:rPr>
                <w:rFonts w:ascii="Arial" w:hAnsi="Arial" w:cs="Arial"/>
                <w:lang w:val="en-GB"/>
              </w:rPr>
            </w:pPr>
            <w:r>
              <w:rPr>
                <w:rFonts w:ascii="Arial" w:hAnsi="Arial" w:cs="Arial"/>
                <w:lang w:val="en-GB"/>
              </w:rPr>
              <w:t>Exhibition catalogues, conference agendas or proceedings, or documents describing other public presentations and events</w:t>
            </w:r>
          </w:p>
          <w:p w14:paraId="7C47FF8C" w14:textId="77777777" w:rsidR="000A0D7B" w:rsidRPr="000A0D7B" w:rsidRDefault="000A0D7B" w:rsidP="000A0D7B">
            <w:pPr>
              <w:pStyle w:val="ListParagraph"/>
              <w:numPr>
                <w:ilvl w:val="0"/>
                <w:numId w:val="73"/>
              </w:numPr>
              <w:spacing w:before="120"/>
              <w:jc w:val="both"/>
              <w:rPr>
                <w:rFonts w:ascii="Arial" w:hAnsi="Arial" w:cs="Arial"/>
                <w:lang w:val="en-GB"/>
              </w:rPr>
            </w:pPr>
            <w:r>
              <w:rPr>
                <w:rFonts w:ascii="Arial" w:hAnsi="Arial" w:cs="Arial"/>
                <w:lang w:val="en-GB"/>
              </w:rPr>
              <w:t>Media coverage of participatory research and documentation programmes and activities</w:t>
            </w:r>
          </w:p>
        </w:tc>
      </w:tr>
    </w:tbl>
    <w:p w14:paraId="5FD87A1C" w14:textId="77777777" w:rsidR="00320242" w:rsidRPr="00F866CD" w:rsidRDefault="00320242" w:rsidP="003050A1">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A1B2B" w14:textId="77777777" w:rsidR="00A0041A" w:rsidRDefault="00A0041A" w:rsidP="002938F2">
      <w:r>
        <w:separator/>
      </w:r>
    </w:p>
    <w:p w14:paraId="6D710E05" w14:textId="77777777" w:rsidR="00A0041A" w:rsidRDefault="00A0041A"/>
  </w:endnote>
  <w:endnote w:type="continuationSeparator" w:id="0">
    <w:p w14:paraId="4E8CC7AC" w14:textId="77777777" w:rsidR="00A0041A" w:rsidRDefault="00A0041A" w:rsidP="002938F2">
      <w:r>
        <w:continuationSeparator/>
      </w:r>
    </w:p>
    <w:p w14:paraId="09D4EE40" w14:textId="77777777" w:rsidR="00A0041A" w:rsidRDefault="00A0041A"/>
  </w:endnote>
  <w:endnote w:type="continuationNotice" w:id="1">
    <w:p w14:paraId="3E64B9C7" w14:textId="77777777" w:rsidR="00A0041A" w:rsidRDefault="00A00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457A" w14:textId="428C75E8" w:rsidR="00C04344" w:rsidRPr="000A0709" w:rsidRDefault="00FE6C94"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3050A1">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F432" w14:textId="77777777" w:rsidR="00A0041A" w:rsidRDefault="00A0041A" w:rsidP="002938F2">
      <w:r>
        <w:separator/>
      </w:r>
    </w:p>
  </w:footnote>
  <w:footnote w:type="continuationSeparator" w:id="0">
    <w:p w14:paraId="6796F91D" w14:textId="77777777" w:rsidR="00A0041A" w:rsidRDefault="00A0041A" w:rsidP="002938F2">
      <w:r>
        <w:continuationSeparator/>
      </w:r>
    </w:p>
    <w:p w14:paraId="25DFBA7C" w14:textId="77777777" w:rsidR="00A0041A" w:rsidRDefault="00A0041A"/>
  </w:footnote>
  <w:footnote w:type="continuationNotice" w:id="1">
    <w:p w14:paraId="49C4515E" w14:textId="77777777" w:rsidR="00A0041A" w:rsidRDefault="00A004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8ACF" w14:textId="77777777" w:rsidR="00BB4850" w:rsidRDefault="00BB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D0CFE"/>
    <w:multiLevelType w:val="multilevel"/>
    <w:tmpl w:val="3E9406CC"/>
    <w:lvl w:ilvl="0">
      <w:start w:val="9"/>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4"/>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8"/>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6"/>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F3D68"/>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67AA2"/>
    <w:rsid w:val="0007203D"/>
    <w:rsid w:val="000729D2"/>
    <w:rsid w:val="00073D20"/>
    <w:rsid w:val="00074E7D"/>
    <w:rsid w:val="000755E1"/>
    <w:rsid w:val="0007681B"/>
    <w:rsid w:val="000769F1"/>
    <w:rsid w:val="0008318A"/>
    <w:rsid w:val="00083694"/>
    <w:rsid w:val="0008520C"/>
    <w:rsid w:val="00085541"/>
    <w:rsid w:val="00092AE6"/>
    <w:rsid w:val="00093063"/>
    <w:rsid w:val="000A0709"/>
    <w:rsid w:val="000A0D7B"/>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7EAD"/>
    <w:rsid w:val="001301DF"/>
    <w:rsid w:val="001412DE"/>
    <w:rsid w:val="00142D78"/>
    <w:rsid w:val="00144A4D"/>
    <w:rsid w:val="00151351"/>
    <w:rsid w:val="001538DF"/>
    <w:rsid w:val="00156788"/>
    <w:rsid w:val="001609A1"/>
    <w:rsid w:val="00162554"/>
    <w:rsid w:val="00163F68"/>
    <w:rsid w:val="00173B50"/>
    <w:rsid w:val="00173E0E"/>
    <w:rsid w:val="00174B39"/>
    <w:rsid w:val="00182E36"/>
    <w:rsid w:val="00183F6C"/>
    <w:rsid w:val="00194802"/>
    <w:rsid w:val="00194AEB"/>
    <w:rsid w:val="001A431C"/>
    <w:rsid w:val="001A5519"/>
    <w:rsid w:val="001A7C3A"/>
    <w:rsid w:val="001B5C26"/>
    <w:rsid w:val="001C08BC"/>
    <w:rsid w:val="001C56BA"/>
    <w:rsid w:val="001C6D7D"/>
    <w:rsid w:val="001D00B5"/>
    <w:rsid w:val="001D1CAA"/>
    <w:rsid w:val="001D3B29"/>
    <w:rsid w:val="001D59C8"/>
    <w:rsid w:val="001E4EEB"/>
    <w:rsid w:val="001E6026"/>
    <w:rsid w:val="001F3696"/>
    <w:rsid w:val="001F37CA"/>
    <w:rsid w:val="001F4BF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6A0"/>
    <w:rsid w:val="002F17E1"/>
    <w:rsid w:val="003043A9"/>
    <w:rsid w:val="0030454E"/>
    <w:rsid w:val="003050A1"/>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0882"/>
    <w:rsid w:val="0039446E"/>
    <w:rsid w:val="003A260A"/>
    <w:rsid w:val="003A2BC4"/>
    <w:rsid w:val="003B31BE"/>
    <w:rsid w:val="003B504D"/>
    <w:rsid w:val="003C37A3"/>
    <w:rsid w:val="003C7065"/>
    <w:rsid w:val="003C7E70"/>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4AFE"/>
    <w:rsid w:val="00477E66"/>
    <w:rsid w:val="00480809"/>
    <w:rsid w:val="004831C7"/>
    <w:rsid w:val="00486A5E"/>
    <w:rsid w:val="00493F92"/>
    <w:rsid w:val="004A0C2B"/>
    <w:rsid w:val="004A610E"/>
    <w:rsid w:val="004C20E2"/>
    <w:rsid w:val="004C36D9"/>
    <w:rsid w:val="004E056C"/>
    <w:rsid w:val="004E2817"/>
    <w:rsid w:val="004E2AE8"/>
    <w:rsid w:val="004E418A"/>
    <w:rsid w:val="005016FB"/>
    <w:rsid w:val="00504256"/>
    <w:rsid w:val="00511D17"/>
    <w:rsid w:val="005157E2"/>
    <w:rsid w:val="0051699F"/>
    <w:rsid w:val="00516DE3"/>
    <w:rsid w:val="005209BC"/>
    <w:rsid w:val="005223AE"/>
    <w:rsid w:val="00523E3C"/>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0630"/>
    <w:rsid w:val="005E3A3E"/>
    <w:rsid w:val="005E6A2B"/>
    <w:rsid w:val="005E7C7C"/>
    <w:rsid w:val="00601DD6"/>
    <w:rsid w:val="006032AE"/>
    <w:rsid w:val="00603F71"/>
    <w:rsid w:val="00605202"/>
    <w:rsid w:val="00621092"/>
    <w:rsid w:val="00621208"/>
    <w:rsid w:val="00632B30"/>
    <w:rsid w:val="006340A1"/>
    <w:rsid w:val="00636760"/>
    <w:rsid w:val="00637271"/>
    <w:rsid w:val="00644B92"/>
    <w:rsid w:val="00645B77"/>
    <w:rsid w:val="0065099D"/>
    <w:rsid w:val="006515C9"/>
    <w:rsid w:val="00651944"/>
    <w:rsid w:val="00652318"/>
    <w:rsid w:val="00652484"/>
    <w:rsid w:val="00653314"/>
    <w:rsid w:val="006539B7"/>
    <w:rsid w:val="006664E7"/>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77BAF"/>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C26"/>
    <w:rsid w:val="007E4E37"/>
    <w:rsid w:val="007F3996"/>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E22E3"/>
    <w:rsid w:val="008F16C6"/>
    <w:rsid w:val="008F2A76"/>
    <w:rsid w:val="008F34A1"/>
    <w:rsid w:val="008F4F13"/>
    <w:rsid w:val="008F5052"/>
    <w:rsid w:val="008F5193"/>
    <w:rsid w:val="0090187D"/>
    <w:rsid w:val="00903C3D"/>
    <w:rsid w:val="0090710F"/>
    <w:rsid w:val="00910B12"/>
    <w:rsid w:val="00911179"/>
    <w:rsid w:val="009121CE"/>
    <w:rsid w:val="009127D8"/>
    <w:rsid w:val="00915F00"/>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041A"/>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A6F84"/>
    <w:rsid w:val="00AB1528"/>
    <w:rsid w:val="00AD6BD4"/>
    <w:rsid w:val="00AE1B18"/>
    <w:rsid w:val="00AE1D83"/>
    <w:rsid w:val="00AE2DFB"/>
    <w:rsid w:val="00AE3061"/>
    <w:rsid w:val="00AF15BA"/>
    <w:rsid w:val="00AF1C32"/>
    <w:rsid w:val="00AF65C6"/>
    <w:rsid w:val="00B11AE3"/>
    <w:rsid w:val="00B121A6"/>
    <w:rsid w:val="00B245A5"/>
    <w:rsid w:val="00B300B8"/>
    <w:rsid w:val="00B32A28"/>
    <w:rsid w:val="00B33904"/>
    <w:rsid w:val="00B3751E"/>
    <w:rsid w:val="00B427FE"/>
    <w:rsid w:val="00B51737"/>
    <w:rsid w:val="00B53239"/>
    <w:rsid w:val="00B6102A"/>
    <w:rsid w:val="00B6167A"/>
    <w:rsid w:val="00B62ED0"/>
    <w:rsid w:val="00B64196"/>
    <w:rsid w:val="00B66A7A"/>
    <w:rsid w:val="00B70266"/>
    <w:rsid w:val="00B74304"/>
    <w:rsid w:val="00B82F05"/>
    <w:rsid w:val="00B87142"/>
    <w:rsid w:val="00B8750E"/>
    <w:rsid w:val="00B91878"/>
    <w:rsid w:val="00B92374"/>
    <w:rsid w:val="00B924C8"/>
    <w:rsid w:val="00B9301C"/>
    <w:rsid w:val="00B95E33"/>
    <w:rsid w:val="00B96BCF"/>
    <w:rsid w:val="00B973B5"/>
    <w:rsid w:val="00B97FD1"/>
    <w:rsid w:val="00BA6367"/>
    <w:rsid w:val="00BB1062"/>
    <w:rsid w:val="00BB28EF"/>
    <w:rsid w:val="00BB4850"/>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0C2E"/>
    <w:rsid w:val="00D213A5"/>
    <w:rsid w:val="00D22831"/>
    <w:rsid w:val="00D370B6"/>
    <w:rsid w:val="00D404B7"/>
    <w:rsid w:val="00D44509"/>
    <w:rsid w:val="00D448CB"/>
    <w:rsid w:val="00D47226"/>
    <w:rsid w:val="00D47ED5"/>
    <w:rsid w:val="00D61779"/>
    <w:rsid w:val="00D73DB6"/>
    <w:rsid w:val="00D809E5"/>
    <w:rsid w:val="00D81948"/>
    <w:rsid w:val="00D90819"/>
    <w:rsid w:val="00D93291"/>
    <w:rsid w:val="00D9501F"/>
    <w:rsid w:val="00D977E6"/>
    <w:rsid w:val="00DB50D5"/>
    <w:rsid w:val="00DC5537"/>
    <w:rsid w:val="00DD11EE"/>
    <w:rsid w:val="00DD52A0"/>
    <w:rsid w:val="00DE5590"/>
    <w:rsid w:val="00DE6364"/>
    <w:rsid w:val="00DF1D9E"/>
    <w:rsid w:val="00DF3D68"/>
    <w:rsid w:val="00DF3DA3"/>
    <w:rsid w:val="00DF5DA4"/>
    <w:rsid w:val="00E06492"/>
    <w:rsid w:val="00E065CE"/>
    <w:rsid w:val="00E06A00"/>
    <w:rsid w:val="00E13E03"/>
    <w:rsid w:val="00E22B99"/>
    <w:rsid w:val="00E24A9D"/>
    <w:rsid w:val="00E258D9"/>
    <w:rsid w:val="00E260C5"/>
    <w:rsid w:val="00E35B8C"/>
    <w:rsid w:val="00E439CA"/>
    <w:rsid w:val="00E46DDB"/>
    <w:rsid w:val="00E473F3"/>
    <w:rsid w:val="00E5219B"/>
    <w:rsid w:val="00E56905"/>
    <w:rsid w:val="00E64BE4"/>
    <w:rsid w:val="00E760A1"/>
    <w:rsid w:val="00E85565"/>
    <w:rsid w:val="00E87F91"/>
    <w:rsid w:val="00E94BC6"/>
    <w:rsid w:val="00EA0563"/>
    <w:rsid w:val="00EA198F"/>
    <w:rsid w:val="00EA2EA1"/>
    <w:rsid w:val="00EA3CB9"/>
    <w:rsid w:val="00EA4493"/>
    <w:rsid w:val="00EA59EB"/>
    <w:rsid w:val="00EA67F3"/>
    <w:rsid w:val="00EB48F8"/>
    <w:rsid w:val="00ED0C60"/>
    <w:rsid w:val="00ED3D26"/>
    <w:rsid w:val="00ED5218"/>
    <w:rsid w:val="00EE1D9D"/>
    <w:rsid w:val="00EF0BCB"/>
    <w:rsid w:val="00EF0E74"/>
    <w:rsid w:val="00EF2549"/>
    <w:rsid w:val="00F0055D"/>
    <w:rsid w:val="00F00E8A"/>
    <w:rsid w:val="00F16242"/>
    <w:rsid w:val="00F17FCB"/>
    <w:rsid w:val="00F226CC"/>
    <w:rsid w:val="00F25D54"/>
    <w:rsid w:val="00F2691E"/>
    <w:rsid w:val="00F279DD"/>
    <w:rsid w:val="00F311C3"/>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14C"/>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6C94"/>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A0B7F"/>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BB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3F33-38C6-438F-BC4B-ED1EAD75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5</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2019-07-22T23:57:00Z</dcterms:created>
  <dcterms:modified xsi:type="dcterms:W3CDTF">2019-12-06T17:06:00Z</dcterms:modified>
</cp:coreProperties>
</file>